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8"/>
          <w:szCs w:val="38"/>
        </w:rPr>
        <w:t xml:space="preserve">🦴 HIPERCALCEMIA DA DOENÇA MALIGNA</w:t>
      </w:r>
    </w:p>
    <w:p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 xml:space="preserve">Abordagem completa e prática — Emergência oncológica em UTI / Clínica Médica</w:t>
      </w:r>
    </w:p>
    <w:p>
      <w:pPr>
        <w:spacing w:after="200"/>
        <w:jc w:val="center"/>
      </w:pPr>
      <w:r>
        <w:rPr>
          <w:color w:val="808080"/>
          <w:sz w:val="18"/>
          <w:szCs w:val="18"/>
        </w:rPr>
        <w:t xml:space="preserve">Material de plantão e preparação TEMI • Dr. Aldenir Rocha — CRM-CE 16587 / RQE 11846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7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⚡ RESUMO EXECUTIVO (5 segundos)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Emergência oncológica. O que mata é o </w:t>
            </w:r>
            <w:r>
              <w:rPr>
                <w:b/>
                <w:bCs/>
                <w:sz w:val="20"/>
                <w:szCs w:val="20"/>
              </w:rPr>
              <w:t xml:space="preserve">cérebro (coma) e o coração (arritmia)</w:t>
            </w:r>
            <w:r>
              <w:rPr>
                <w:sz w:val="20"/>
                <w:szCs w:val="20"/>
              </w:rPr>
              <w:t xml:space="preserve"> — a velocidade de instalação importa mais que o número.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Tripé do tratamento: </w:t>
            </w:r>
            <w:r>
              <w:rPr>
                <w:b/>
                <w:bCs/>
                <w:sz w:val="20"/>
                <w:szCs w:val="20"/>
              </w:rPr>
              <w:t xml:space="preserve">💧 Salina + 💉 Calcitonina (rápida, ponte) + 🦴 Bisfosfonato/Denosumabe (sustentado).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C00000"/>
                <w:sz w:val="20"/>
                <w:szCs w:val="20"/>
              </w:rPr>
              <w:t xml:space="preserve">Furosemida NÃO é rotina </w:t>
            </w:r>
            <w:r>
              <w:rPr>
                <w:sz w:val="20"/>
                <w:szCs w:val="20"/>
              </w:rPr>
              <w:t xml:space="preserve">— só após reposição volêmica e se sobrecarga/ICC.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sz w:val="20"/>
                <w:szCs w:val="20"/>
              </w:rPr>
              <w:t xml:space="preserve">Diálise </w:t>
            </w:r>
            <w:r>
              <w:rPr>
                <w:sz w:val="20"/>
                <w:szCs w:val="20"/>
              </w:rPr>
              <w:t xml:space="preserve">se DRC/oligúria, ICC que impede volume, ou crise refratária grave (Ca &gt; 18 mg/dL).</w:t>
            </w:r>
          </w:p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i/>
                <w:iCs/>
                <w:sz w:val="20"/>
                <w:szCs w:val="20"/>
              </w:rPr>
              <w:t xml:space="preserve">Tratamento definitivo = tratar a neoplasia. Tudo o mais é ponte.</w:t>
            </w:r>
          </w:p>
        </w:tc>
      </w:tr>
    </w:tbl>
    <w:p>
      <w:pPr>
        <w:spacing w:after="120"/>
      </w:pP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🧪 Definição e Classificação de Gravidade</w:t>
      </w:r>
    </w:p>
    <w:p>
      <w:pPr>
        <w:spacing w:after="120"/>
      </w:pPr>
      <w:r>
        <w:rPr>
          <w:sz w:val="22"/>
          <w:szCs w:val="22"/>
        </w:rPr>
        <w:t xml:space="preserve">Hipercalcemia da malignidade (HCM) é a causa mais comum de hipercalcemia em pacientes </w:t>
      </w:r>
      <w:r>
        <w:rPr>
          <w:b/>
          <w:bCs/>
          <w:sz w:val="22"/>
          <w:szCs w:val="22"/>
        </w:rPr>
        <w:t xml:space="preserve">internados/oncológicos</w:t>
      </w:r>
      <w:r>
        <w:rPr>
          <w:sz w:val="22"/>
          <w:szCs w:val="22"/>
        </w:rPr>
        <w:t xml:space="preserve">. Ocorre em até ~20–30% dos pacientes com câncer em algum momento, sendo marcador de </w:t>
      </w:r>
      <w:r>
        <w:rPr>
          <w:b/>
          <w:bCs/>
          <w:sz w:val="22"/>
          <w:szCs w:val="22"/>
        </w:rPr>
        <w:t xml:space="preserve">mau prognóstico</w:t>
      </w:r>
      <w:r>
        <w:rPr>
          <w:sz w:val="22"/>
          <w:szCs w:val="22"/>
        </w:rPr>
        <w:t xml:space="preserve"> (sobrevida frequentemente reduzida). Sempre estratificar por cálcio corrigido pela albumina e, na UTI, </w:t>
      </w:r>
      <w:r>
        <w:rPr>
          <w:b/>
          <w:bCs/>
          <w:sz w:val="22"/>
          <w:szCs w:val="22"/>
        </w:rPr>
        <w:t xml:space="preserve">preferir o cálcio iônico</w:t>
      </w:r>
      <w:r>
        <w:rPr>
          <w:sz w:val="22"/>
          <w:szCs w:val="22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sz w:val="21"/>
                <w:szCs w:val="21"/>
              </w:rPr>
              <w:t xml:space="preserve">🧮 Cálcio corrigido (mg/dL) = Ca medido + 0,8 × (4 − albumina g/dL)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Conversão: mg/dL × 0,25 = mmol/L • Cálcio iônico normal ≈ 1,1–1,3 mmol/L (4,5–5,3 mg/dL)</w:t>
            </w:r>
          </w:p>
          <w:p>
            <w:pPr>
              <w:spacing w:after="0"/>
            </w:pPr>
            <w:r>
              <w:rPr>
                <w:i/>
                <w:iCs/>
                <w:color w:val="C00000"/>
                <w:sz w:val="19"/>
                <w:szCs w:val="19"/>
              </w:rPr>
              <w:t xml:space="preserve">⚠️ Em paciente crítico (hipoalbuminemia, distúrbio ácido-base) a fórmula é pouco confiável → use cálcio iônico.</w:t>
            </w:r>
          </w:p>
        </w:tc>
      </w:tr>
    </w:tbl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100"/>
        <w:gridCol w:w="344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Gravidade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 total corrigido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 iônico (aprox.)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Conduta inicial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Leve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10,5–11,9 mg/dL (2,6–3,0 mmol/L)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~1,3–1,5 mmol/L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Hidratação VO, retirar agravantes, tratar causa. Geralmente sem terapia IV urgente.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Moderada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12,0–13,9 mg/dL (3,0–3,5 mmol/L)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~1,5–1,8 mmol/L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Sintomático ou instalação rápida → salina IV ± calcitonina ± bisfosfonato.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D2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Grave / Crise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D2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≥ 14,0 mg/dL (≥ 3,5 mmol/L)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D2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&gt; ~1,8 mmol/L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D2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Terapia AGRESSIVA combinada (salina + calcitonina + zoledrônico/denosumabe). Considerar diálise se renal/ICC/refratário.</w:t>
            </w:r>
          </w:p>
        </w:tc>
      </w:tr>
    </w:tbl>
    <w:p>
      <w:pPr>
        <w:spacing w:after="160" w:before="80"/>
      </w:pPr>
      <w:r>
        <w:rPr>
          <w:i/>
          <w:iCs/>
          <w:sz w:val="20"/>
          <w:szCs w:val="20"/>
        </w:rPr>
        <w:t xml:space="preserve">Obs.: os limiares iônicos não são tão padronizados quanto o cálcio total; interprete proporcionalmente e em conjunto com a clínica. </w:t>
      </w:r>
      <w:r>
        <w:rPr>
          <w:b/>
          <w:bCs/>
          <w:sz w:val="20"/>
          <w:szCs w:val="20"/>
        </w:rPr>
        <w:t xml:space="preserve">Crise hipercalcêmica</w:t>
      </w:r>
      <w:r>
        <w:rPr>
          <w:sz w:val="20"/>
          <w:szCs w:val="20"/>
        </w:rPr>
        <w:t xml:space="preserve"> = Ca muito alto + sintomas neurológicos/cardíacos graves.</w:t>
      </w:r>
    </w:p>
    <w:p>
      <w:pPr>
        <w:pStyle w:val="Heading1"/>
      </w:pPr>
      <w:r>
        <w:t xml:space="preserve">2. 🔬 Fisiopatologia — 4 Mecanismos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Reconhecer o mecanismo muda a terapia (ex.: corticoide só funciona no mecanismo do calcitriol).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50"/>
        <w:gridCol w:w="3850"/>
        <w:gridCol w:w="284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  <w:tc>
          <w:tcPr>
            <w:tcW w:type="dxa" w:w="3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Tumores típicos</w:t>
            </w:r>
          </w:p>
        </w:tc>
        <w:tc>
          <w:tcPr>
            <w:tcW w:type="dxa" w:w="28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Pista laboratorial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PTHrP (humoral)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~80%</w:t>
            </w:r>
          </w:p>
        </w:tc>
        <w:tc>
          <w:tcPr>
            <w:tcW w:type="dxa" w:w="3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CEC (pulmão, cabeça/pescoço, esôfago), rim, bexiga, mama, ovário</w:t>
            </w:r>
          </w:p>
        </w:tc>
        <w:tc>
          <w:tcPr>
            <w:tcW w:type="dxa" w:w="28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PTHrP ↑ • PTH ↓ (suprimido) • 1,25-vit D normal/↓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Osteólise local / metástases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~20%</w:t>
            </w:r>
          </w:p>
        </w:tc>
        <w:tc>
          <w:tcPr>
            <w:tcW w:type="dxa" w:w="3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Mama, mieloma múltiplo, linfoma, leucemias</w:t>
            </w:r>
          </w:p>
        </w:tc>
        <w:tc>
          <w:tcPr>
            <w:tcW w:type="dxa" w:w="28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Citocinas locais (RANKL, IL-6, TNF) • PTH ↓ • PTHrP normal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Calcitriol (1,25-OH-vit D)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raro</w:t>
            </w:r>
          </w:p>
        </w:tc>
        <w:tc>
          <w:tcPr>
            <w:tcW w:type="dxa" w:w="3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Linfomas (Hodgkin e não-Hodgkin), doença granulomatosa</w:t>
            </w:r>
          </w:p>
        </w:tc>
        <w:tc>
          <w:tcPr>
            <w:tcW w:type="dxa" w:w="28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1,25-vit D ↑ • PTH ↓ • RESPONDE a corticoide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PTH ectópico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muito raro</w:t>
            </w:r>
          </w:p>
        </w:tc>
        <w:tc>
          <w:tcPr>
            <w:tcW w:type="dxa" w:w="3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Casos isolados (ovário, pulmão, tireoide)</w:t>
            </w:r>
          </w:p>
        </w:tc>
        <w:tc>
          <w:tcPr>
            <w:tcW w:type="dxa" w:w="28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PTH ↑ (paradoxal) — confunde com hiperparatireoidismo</w:t>
            </w:r>
          </w:p>
        </w:tc>
      </w:tr>
    </w:tbl>
    <w:p>
      <w:pPr>
        <w:spacing w:after="160" w:before="80"/>
      </w:pPr>
      <w:r>
        <w:rPr>
          <w:sz w:val="20"/>
          <w:szCs w:val="20"/>
        </w:rPr>
        <w:t xml:space="preserve">🔑 </w:t>
      </w:r>
      <w:r>
        <w:rPr>
          <w:b/>
          <w:bCs/>
          <w:sz w:val="20"/>
          <w:szCs w:val="20"/>
        </w:rPr>
        <w:t xml:space="preserve">Regra de ouro: </w:t>
      </w:r>
      <w:r>
        <w:rPr>
          <w:sz w:val="20"/>
          <w:szCs w:val="20"/>
        </w:rPr>
        <w:t xml:space="preserve">na malignidade o </w:t>
      </w:r>
      <w:r>
        <w:rPr>
          <w:b/>
          <w:bCs/>
          <w:sz w:val="20"/>
          <w:szCs w:val="20"/>
        </w:rPr>
        <w:t xml:space="preserve">PTH está SUPRIMIDO</w:t>
      </w:r>
      <w:r>
        <w:rPr>
          <w:sz w:val="20"/>
          <w:szCs w:val="20"/>
        </w:rPr>
        <w:t xml:space="preserve"> (≠ hiperparatireoidismo primário, onde PTH está alto/inapropriado).</w:t>
      </w:r>
    </w:p>
    <w:p>
      <w:pPr>
        <w:pStyle w:val="Heading1"/>
      </w:pPr>
      <w:r>
        <w:t xml:space="preserve">3. 🩺 Quadro Clínico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Mnemônico clássico: </w:t>
      </w:r>
      <w:r>
        <w:rPr>
          <w:i/>
          <w:iCs/>
          <w:sz w:val="22"/>
          <w:szCs w:val="22"/>
        </w:rPr>
        <w:t xml:space="preserve">“stones, bones, abdominal groans, psychic moans” </w:t>
      </w:r>
      <w:r>
        <w:rPr>
          <w:sz w:val="22"/>
          <w:szCs w:val="22"/>
        </w:rPr>
        <w:t xml:space="preserve">(pedras, ossos, queixas abdominais, alterações psíquicas). </w:t>
      </w:r>
      <w:r>
        <w:rPr>
          <w:b/>
          <w:bCs/>
          <w:sz w:val="22"/>
          <w:szCs w:val="22"/>
        </w:rPr>
        <w:t xml:space="preserve">A velocidade de instalação determina a gravidade dos sintomas mais do que o valor absoluto.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64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76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Manifestações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🧠 Neurológico</w:t>
            </w:r>
          </w:p>
        </w:tc>
        <w:tc>
          <w:tcPr>
            <w:tcW w:type="dxa" w:w="76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Letargia, fadiga, confusão, irritabilidade, fraqueza, hiporreflexia, estupor, COMA. Sintomas dominam a apresentação grave.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🫀 Cardiovascular</w:t>
            </w:r>
          </w:p>
        </w:tc>
        <w:tc>
          <w:tcPr>
            <w:tcW w:type="dxa" w:w="76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Encurtamento do intervalo QT, bradiarritmias, BAV, ondas J (Osborn) em níveis muito altos, HAS, ↑ sensibilidade à digoxina (risco de intoxicação digitálica).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🍽️ Gastrointestinal</w:t>
            </w:r>
          </w:p>
        </w:tc>
        <w:tc>
          <w:tcPr>
            <w:tcW w:type="dxa" w:w="76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Anorexia, náuseas, vômitos, constipação, íleo, dor abdominal, pancreatite aguda, úlcera péptica.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💧 Renal</w:t>
            </w:r>
          </w:p>
        </w:tc>
        <w:tc>
          <w:tcPr>
            <w:tcW w:type="dxa" w:w="76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Poliúria e polidipsia (diabetes insipidus nefrogênico), desidratação, lesão renal aguda (pré-renal → ATN), nefrolitíase, nefrocalcinose.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🦴 Musculoesquelético</w:t>
            </w:r>
          </w:p>
        </w:tc>
        <w:tc>
          <w:tcPr>
            <w:tcW w:type="dxa" w:w="76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Dor óssea, fraqueza muscular proximal, fraturas patológicas (osteólise).</w:t>
            </w:r>
          </w:p>
        </w:tc>
      </w:tr>
    </w:tbl>
    <w:p>
      <w:pPr>
        <w:spacing w:after="160" w:before="80"/>
      </w:pPr>
      <w:r>
        <w:rPr>
          <w:sz w:val="20"/>
          <w:szCs w:val="20"/>
        </w:rPr>
        <w:t xml:space="preserve">⚠️ </w:t>
      </w:r>
      <w:r>
        <w:rPr>
          <w:b/>
          <w:bCs/>
          <w:sz w:val="20"/>
          <w:szCs w:val="20"/>
        </w:rPr>
        <w:t xml:space="preserve">Círculo vicioso: </w:t>
      </w:r>
      <w:r>
        <w:rPr>
          <w:sz w:val="20"/>
          <w:szCs w:val="20"/>
        </w:rPr>
        <w:t xml:space="preserve">hipercalcemia → DI nefrogênico → poliúria → desidratação → ↓ TFG → ↓ excreção de cálcio → piora a hipercalcemia. </w:t>
      </w:r>
      <w:r>
        <w:rPr>
          <w:b/>
          <w:bCs/>
          <w:sz w:val="20"/>
          <w:szCs w:val="20"/>
        </w:rPr>
        <w:t xml:space="preserve">Por isso a HIDRATAÇÃO é o primeiro passo.</w:t>
      </w:r>
    </w:p>
    <w:p>
      <w:pPr>
        <w:pStyle w:val="Heading1"/>
      </w:pPr>
      <w:r>
        <w:t xml:space="preserve">4. 📋 Avaliação Inicial e Exames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Cálcio total + albumina </w:t>
      </w:r>
      <w:r>
        <w:rPr>
          <w:sz w:val="22"/>
          <w:szCs w:val="22"/>
        </w:rPr>
        <w:t xml:space="preserve">(corrigir) — ou, idealmente em UTI, cálcio iônico.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Função renal </w:t>
      </w:r>
      <w:r>
        <w:rPr>
          <w:sz w:val="22"/>
          <w:szCs w:val="22"/>
        </w:rPr>
        <w:t xml:space="preserve">(ureia, creatinina), eletrólitos: Na⁺, K⁺, </w:t>
      </w:r>
      <w:r>
        <w:rPr>
          <w:sz w:val="22"/>
          <w:szCs w:val="22"/>
        </w:rPr>
        <w:t xml:space="preserve">Mg²⁺</w:t>
      </w:r>
      <w:r>
        <w:rPr>
          <w:sz w:val="22"/>
          <w:szCs w:val="22"/>
        </w:rPr>
        <w:t xml:space="preserve">, fósforo.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PTH </w:t>
      </w:r>
      <w:r>
        <w:rPr>
          <w:sz w:val="22"/>
          <w:szCs w:val="22"/>
        </w:rPr>
        <w:t xml:space="preserve">(suprimido na malignidade), </w:t>
      </w:r>
      <w:r>
        <w:rPr>
          <w:b/>
          <w:bCs/>
          <w:sz w:val="22"/>
          <w:szCs w:val="22"/>
        </w:rPr>
        <w:t xml:space="preserve">PTHrP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25-OH e 1,25-OH vitamina 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ECG </w:t>
      </w:r>
      <w:r>
        <w:rPr>
          <w:sz w:val="22"/>
          <w:szCs w:val="22"/>
        </w:rPr>
        <w:t xml:space="preserve">(QT curto, arritmias). Fosfatase alcalina, eletroforese de proteínas se suspeita de mieloma.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Investigar a neoplasia </w:t>
      </w:r>
      <w:r>
        <w:rPr>
          <w:sz w:val="22"/>
          <w:szCs w:val="22"/>
        </w:rPr>
        <w:t xml:space="preserve">se ainda não conhecida (imagem, marcadores). Hipercalcemia pode ser a 1ª manifestação.</w:t>
      </w:r>
    </w:p>
    <w:p>
      <w:pPr>
        <w:spacing w:after="140"/>
      </w:pPr>
    </w:p>
    <w:p>
      <w:pPr>
        <w:pStyle w:val="Heading1"/>
      </w:pPr>
      <w:r>
        <w:t xml:space="preserve">5. 🚀 Escalada Terapêutica (núcleo prático)</w:t>
      </w:r>
    </w:p>
    <w:p>
      <w:pPr>
        <w:spacing w:after="120"/>
      </w:pPr>
      <w:r>
        <w:rPr>
          <w:sz w:val="22"/>
          <w:szCs w:val="22"/>
        </w:rPr>
        <w:t xml:space="preserve">Combine agentes de </w:t>
      </w:r>
      <w:r>
        <w:rPr>
          <w:b/>
          <w:bCs/>
          <w:sz w:val="22"/>
          <w:szCs w:val="22"/>
        </w:rPr>
        <w:t xml:space="preserve">ação rápida (horas)</w:t>
      </w:r>
      <w:r>
        <w:rPr>
          <w:sz w:val="22"/>
          <w:szCs w:val="22"/>
        </w:rPr>
        <w:t xml:space="preserve"> com agentes de </w:t>
      </w:r>
      <w:r>
        <w:rPr>
          <w:b/>
          <w:bCs/>
          <w:sz w:val="22"/>
          <w:szCs w:val="22"/>
        </w:rPr>
        <w:t xml:space="preserve">ação sustentada (dias)</w:t>
      </w:r>
      <w:r>
        <w:rPr>
          <w:sz w:val="22"/>
          <w:szCs w:val="22"/>
        </w:rPr>
        <w:t xml:space="preserve">. A calcitonina “segura o paciente” enquanto o bisfosfonato/denosumabe ainda não fez efeito.</w:t>
      </w:r>
    </w:p>
    <w:p>
      <w:pPr>
        <w:pStyle w:val="Heading2"/>
      </w:pPr>
      <w:r>
        <w:t xml:space="preserve">5.1 💧 Pilar 1 — Hidratação com Salina (1ª medida em TODOS)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Soro: </w:t>
      </w:r>
      <w:r>
        <w:rPr>
          <w:sz w:val="22"/>
          <w:szCs w:val="22"/>
        </w:rPr>
        <w:t xml:space="preserve">NaCl 0,9% (salina isotônica). Corrige a desidratação e aumenta a excreção renal de cálcio.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Ritmo: </w:t>
      </w:r>
      <w:r>
        <w:rPr>
          <w:b/>
          <w:bCs/>
          <w:sz w:val="22"/>
          <w:szCs w:val="22"/>
        </w:rPr>
        <w:t xml:space="preserve">200–300 mL/h </w:t>
      </w:r>
      <w:r>
        <w:rPr>
          <w:sz w:val="22"/>
          <w:szCs w:val="22"/>
        </w:rPr>
        <w:t xml:space="preserve">após bolus inicial (1–2 L se desidratado), ajustando para </w:t>
      </w:r>
      <w:r>
        <w:rPr>
          <w:b/>
          <w:bCs/>
          <w:sz w:val="22"/>
          <w:szCs w:val="22"/>
        </w:rPr>
        <w:t xml:space="preserve">diurese-alvo de 100–150 mL/h.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Volume total </w:t>
      </w:r>
      <w:r>
        <w:rPr>
          <w:sz w:val="22"/>
          <w:szCs w:val="22"/>
        </w:rPr>
        <w:t xml:space="preserve">costuma ser 3–4 L nas primeiras 24h (individualizar).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Efeito: </w:t>
      </w:r>
      <w:r>
        <w:rPr>
          <w:sz w:val="22"/>
          <w:szCs w:val="22"/>
        </w:rPr>
        <w:t xml:space="preserve">↓ cálcio em ~1–2 mg/dL em 24–48h. </w:t>
      </w:r>
      <w:r>
        <w:rPr>
          <w:b/>
          <w:bCs/>
          <w:sz w:val="22"/>
          <w:szCs w:val="22"/>
        </w:rPr>
        <w:t xml:space="preserve">Insuficiente isolada na hipercalcemia grave.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  <w:sz w:val="22"/>
          <w:szCs w:val="22"/>
        </w:rPr>
        <w:t xml:space="preserve">⚠️ Cuidado: </w:t>
      </w:r>
      <w:r>
        <w:rPr>
          <w:sz w:val="22"/>
          <w:szCs w:val="22"/>
        </w:rPr>
        <w:t xml:space="preserve">ICC, idoso, DRC oligúrica → risco de sobrecarga. Monitorar ausculta, diurese e balanço. Repor K⁺ e </w:t>
      </w:r>
      <w:r>
        <w:rPr>
          <w:sz w:val="22"/>
          <w:szCs w:val="22"/>
        </w:rPr>
        <w:t xml:space="preserve">Mg²⁺</w:t>
      </w:r>
      <w:r>
        <w:rPr>
          <w:sz w:val="22"/>
          <w:szCs w:val="22"/>
        </w:rPr>
        <w:t xml:space="preserve"> (a poliúria espolia).</w:t>
      </w:r>
    </w:p>
    <w:p>
      <w:pPr>
        <w:pStyle w:val="Heading2"/>
      </w:pPr>
      <w:r>
        <w:t xml:space="preserve">5.2 💉 Pilar 2 — Calcitonina (ação rápida = ponte)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Dose: </w:t>
      </w:r>
      <w:r>
        <w:rPr>
          <w:b/>
          <w:bCs/>
          <w:sz w:val="22"/>
          <w:szCs w:val="22"/>
        </w:rPr>
        <w:t xml:space="preserve">4 UI/kg SC ou IM 12/12h</w:t>
      </w:r>
      <w:r>
        <w:rPr>
          <w:sz w:val="22"/>
          <w:szCs w:val="22"/>
        </w:rPr>
        <w:t xml:space="preserve">; se resposta insuficiente, aumentar para </w:t>
      </w:r>
      <w:r>
        <w:rPr>
          <w:sz w:val="22"/>
          <w:szCs w:val="22"/>
        </w:rPr>
        <w:t xml:space="preserve">6–8 UI/kg a cada 6–12h.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Início: </w:t>
      </w:r>
      <w:r>
        <w:rPr>
          <w:b/>
          <w:bCs/>
          <w:sz w:val="22"/>
          <w:szCs w:val="22"/>
        </w:rPr>
        <w:t xml:space="preserve">4–6 h </w:t>
      </w:r>
      <w:r>
        <w:rPr>
          <w:sz w:val="22"/>
          <w:szCs w:val="22"/>
        </w:rPr>
        <w:t xml:space="preserve">(o mais rápido). Reduz cálcio ~1–2 mg/dL.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Limitação: </w:t>
      </w:r>
      <w:r>
        <w:rPr>
          <w:b/>
          <w:bCs/>
          <w:sz w:val="22"/>
          <w:szCs w:val="22"/>
        </w:rPr>
        <w:t xml:space="preserve">taquifilaxia em 48 h</w:t>
      </w:r>
      <w:r>
        <w:rPr>
          <w:sz w:val="22"/>
          <w:szCs w:val="22"/>
        </w:rPr>
        <w:t xml:space="preserve"> → usar apenas como PONTE até o bisfosfonato agir. Não usar isolada a longo prazo.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Mecanismo: </w:t>
      </w:r>
      <w:r>
        <w:rPr>
          <w:sz w:val="22"/>
          <w:szCs w:val="22"/>
        </w:rPr>
        <w:t xml:space="preserve">inibe reabsorção óssea osteoclástica + aumenta a excreção urinária de cálcio. Segura, poucos efeitos adversos.</w:t>
      </w:r>
    </w:p>
    <w:p>
      <w:pPr>
        <w:pStyle w:val="Heading2"/>
      </w:pPr>
      <w:r>
        <w:t xml:space="preserve">5.3 🦴 Pilar 3 — Bisfosfonatos (1ª linha sustentada)</w:t>
      </w:r>
    </w:p>
    <w:p>
      <w:pPr>
        <w:spacing w:after="120"/>
      </w:pPr>
      <w:r>
        <w:rPr>
          <w:b/>
          <w:bCs/>
          <w:color w:val="1F6FB2"/>
          <w:sz w:val="22"/>
          <w:szCs w:val="22"/>
        </w:rPr>
        <w:t xml:space="preserve">Ácido zoledrônico (zoledronato) — preferido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Dose: </w:t>
      </w:r>
      <w:r>
        <w:rPr>
          <w:b/>
          <w:bCs/>
          <w:sz w:val="22"/>
          <w:szCs w:val="22"/>
        </w:rPr>
        <w:t xml:space="preserve">4 mg IV em ≥ 15 minutos.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Cinética: </w:t>
      </w:r>
      <w:r>
        <w:rPr>
          <w:sz w:val="22"/>
          <w:szCs w:val="22"/>
        </w:rPr>
        <w:t xml:space="preserve">início 2–4 dias, pico 4–7 dias, duração 2–4 semanas. </w:t>
      </w:r>
      <w:r>
        <w:rPr>
          <w:i/>
          <w:iCs/>
          <w:sz w:val="22"/>
          <w:szCs w:val="22"/>
        </w:rPr>
        <w:t xml:space="preserve">Por isso a ponte com calcitonina.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Renal: </w:t>
      </w:r>
      <w:r>
        <w:rPr>
          <w:sz w:val="22"/>
          <w:szCs w:val="22"/>
        </w:rPr>
        <w:t xml:space="preserve">ajustar/cautela se ClCr &lt; 60; em geral evitar/cautela máxima se ClCr &lt; 30–35 mL/min. Hidratar ANTES de infundir.</w:t>
      </w:r>
    </w:p>
    <w:p>
      <w:pPr>
        <w:spacing w:before="60"/>
      </w:pPr>
      <w:r>
        <w:rPr>
          <w:b/>
          <w:bCs/>
          <w:color w:val="1F6FB2"/>
          <w:sz w:val="22"/>
          <w:szCs w:val="22"/>
        </w:rPr>
        <w:t xml:space="preserve">Pamidronato — alternativa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Dose: </w:t>
      </w:r>
      <w:r>
        <w:rPr>
          <w:b/>
          <w:bCs/>
          <w:sz w:val="22"/>
          <w:szCs w:val="22"/>
        </w:rPr>
        <w:t xml:space="preserve">60–90 mg IV em 2–4 h </w:t>
      </w:r>
      <w:r>
        <w:rPr>
          <w:sz w:val="22"/>
          <w:szCs w:val="22"/>
        </w:rPr>
        <w:t xml:space="preserve">(90 mg na hipercalcemia grave). Infusão mais longa que o zoledrônico.</w:t>
      </w:r>
    </w:p>
    <w:p>
      <w:pPr>
        <w:spacing w:before="60"/>
      </w:pPr>
      <w:r>
        <w:rPr>
          <w:b/>
          <w:bCs/>
          <w:color w:val="C00000"/>
          <w:sz w:val="22"/>
          <w:szCs w:val="22"/>
        </w:rPr>
        <w:t xml:space="preserve">⚠️ Efeitos adversos dos bisfosfonatos: </w:t>
      </w:r>
      <w:r>
        <w:rPr>
          <w:sz w:val="22"/>
          <w:szCs w:val="22"/>
        </w:rPr>
        <w:t xml:space="preserve">síndrome gripal de fase aguda (febre, mialgia), hipocalcemia, hipofosfatemia, nefrotoxicidade, osteonecrose de mandíbula (uso prolongado), uveíte (raro).</w:t>
      </w:r>
    </w:p>
    <w:p>
      <w:pPr>
        <w:pStyle w:val="Heading2"/>
      </w:pPr>
      <w:r>
        <w:t xml:space="preserve">5.4 🧬 Pilar 4 — Denosumabe (refratários e DRC)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Dose: </w:t>
      </w:r>
      <w:r>
        <w:rPr>
          <w:b/>
          <w:bCs/>
          <w:sz w:val="22"/>
          <w:szCs w:val="22"/>
        </w:rPr>
        <w:t xml:space="preserve">120 mg SC</w:t>
      </w:r>
      <w:r>
        <w:rPr>
          <w:sz w:val="22"/>
          <w:szCs w:val="22"/>
        </w:rPr>
        <w:t xml:space="preserve">; esquema de ataque D1, D8 e D15, depois mensal.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Vantagem-chave: </w:t>
      </w:r>
      <w:r>
        <w:rPr>
          <w:b/>
          <w:bCs/>
          <w:sz w:val="22"/>
          <w:szCs w:val="22"/>
        </w:rPr>
        <w:t xml:space="preserve">anticorpo anti-RANKL que NÃO depende da função renal</w:t>
      </w:r>
      <w:r>
        <w:rPr>
          <w:sz w:val="22"/>
          <w:szCs w:val="22"/>
        </w:rPr>
        <w:t xml:space="preserve"> → escolha na DRC / ClCr baixo, onde o bisfosfonato é arriscado.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Indicação: </w:t>
      </w:r>
      <w:r>
        <w:rPr>
          <w:sz w:val="22"/>
          <w:szCs w:val="22"/>
        </w:rPr>
        <w:t xml:space="preserve">hipercalcemia refratária a bisfosfonato.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  <w:sz w:val="22"/>
          <w:szCs w:val="22"/>
        </w:rPr>
        <w:t xml:space="preserve">⚠️ Atenção: </w:t>
      </w:r>
      <w:r>
        <w:rPr>
          <w:b/>
          <w:bCs/>
          <w:color w:val="C00000"/>
          <w:sz w:val="22"/>
          <w:szCs w:val="22"/>
        </w:rPr>
        <w:t xml:space="preserve">hipocalcemia grave e prolongada</w:t>
      </w:r>
      <w:r>
        <w:rPr>
          <w:sz w:val="22"/>
          <w:szCs w:val="22"/>
        </w:rPr>
        <w:t xml:space="preserve"> — monitorar cálcio e repor cálcio/vitamina D. Risco de osteonecrose de mandíbula.</w:t>
      </w:r>
    </w:p>
    <w:p>
      <w:pPr>
        <w:pStyle w:val="Heading2"/>
      </w:pPr>
      <w:r>
        <w:t xml:space="preserve">5.5 💊 Pilar 5 — Glicocorticoides (mecanismo do calcitriol)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Dose: </w:t>
      </w:r>
      <w:r>
        <w:rPr>
          <w:b/>
          <w:bCs/>
          <w:sz w:val="22"/>
          <w:szCs w:val="22"/>
        </w:rPr>
        <w:t xml:space="preserve">Hidrocortisona 200–300 mg IV/dia por 3–5 dias</w:t>
      </w:r>
      <w:r>
        <w:rPr>
          <w:sz w:val="22"/>
          <w:szCs w:val="22"/>
        </w:rPr>
        <w:t xml:space="preserve"> ou Prednisona 20–60 mg/dia 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Indicação restrita: </w:t>
      </w:r>
      <w:r>
        <w:rPr>
          <w:b/>
          <w:bCs/>
          <w:sz w:val="22"/>
          <w:szCs w:val="22"/>
        </w:rPr>
        <w:t xml:space="preserve">linfomas, doença granulomatosa (sarcoidose, TB), mieloma, intoxicação por vitamina 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Mecanismo: </w:t>
      </w:r>
      <w:r>
        <w:rPr>
          <w:sz w:val="22"/>
          <w:szCs w:val="22"/>
        </w:rPr>
        <w:t xml:space="preserve">↓ produção de calcitriol e ↓ absorção intestinal de cálcio.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❌ Inútil </w:t>
      </w:r>
      <w:r>
        <w:rPr>
          <w:sz w:val="22"/>
          <w:szCs w:val="22"/>
        </w:rPr>
        <w:t xml:space="preserve">na hipercalcemia por PTHrP ou osteólise pura.</w:t>
      </w:r>
    </w:p>
    <w:p>
      <w:pPr>
        <w:pStyle w:val="Heading2"/>
      </w:pPr>
      <w:r>
        <w:t xml:space="preserve">5.6 🧩 Pilar 6 — Calcimiméticos (cinacalcete) — nicho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Dose: </w:t>
      </w:r>
      <w:r>
        <w:rPr>
          <w:sz w:val="22"/>
          <w:szCs w:val="22"/>
        </w:rPr>
        <w:t xml:space="preserve">cinacalcete 30 mg 12/12h VO, titulando.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Uso: </w:t>
      </w:r>
      <w:r>
        <w:rPr>
          <w:b/>
          <w:bCs/>
          <w:sz w:val="22"/>
          <w:szCs w:val="22"/>
        </w:rPr>
        <w:t xml:space="preserve">principalmente carcinoma de paratireoide</w:t>
      </w:r>
      <w:r>
        <w:rPr>
          <w:sz w:val="22"/>
          <w:szCs w:val="22"/>
        </w:rPr>
        <w:t xml:space="preserve">; NÃO é rotina na hipercalcemia da malignidade comum.</w:t>
      </w:r>
    </w:p>
    <w:p>
      <w:pPr>
        <w:spacing w:after="120"/>
      </w:pPr>
    </w:p>
    <w:p>
      <w:pPr>
        <w:pStyle w:val="Heading1"/>
      </w:pPr>
      <w:r>
        <w:t xml:space="preserve">6. ⚠️ Furosemida — papel limitado (desmistificando)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D2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🚫 A “diurese forçada” com furosemida foi ABANDONADA na prática moderna.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NÃO é primeira linha </w:t>
      </w:r>
      <w:r>
        <w:rPr>
          <w:sz w:val="22"/>
          <w:szCs w:val="22"/>
        </w:rPr>
        <w:t xml:space="preserve">e NÃO deve ser usada para “forçar diurese” de cálcio.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Indicação restrita: </w:t>
      </w:r>
      <w:r>
        <w:rPr>
          <w:b/>
          <w:bCs/>
          <w:sz w:val="22"/>
          <w:szCs w:val="22"/>
        </w:rPr>
        <w:t xml:space="preserve">APENAS após reposição volêmica adequada</w:t>
      </w:r>
      <w:r>
        <w:rPr>
          <w:sz w:val="22"/>
          <w:szCs w:val="22"/>
        </w:rPr>
        <w:t xml:space="preserve">, quando há sinais de sobrecarga de volume / ICC ou para manejar excesso de líquido.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Dose: </w:t>
      </w:r>
      <w:r>
        <w:rPr>
          <w:b/>
          <w:bCs/>
          <w:sz w:val="22"/>
          <w:szCs w:val="22"/>
        </w:rPr>
        <w:t xml:space="preserve">20–40 mg IV </w:t>
      </w:r>
      <w:r>
        <w:rPr>
          <w:sz w:val="22"/>
          <w:szCs w:val="22"/>
        </w:rPr>
        <w:t xml:space="preserve">conforme a necessidade volêmica (não em doses altas “calciuréticas”).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  <w:sz w:val="22"/>
          <w:szCs w:val="22"/>
        </w:rPr>
        <w:t xml:space="preserve">Risco se usada cedo / sem hidratar: </w:t>
      </w:r>
      <w:r>
        <w:rPr>
          <w:sz w:val="22"/>
          <w:szCs w:val="22"/>
        </w:rPr>
        <w:t xml:space="preserve">piora a desidratação, agrava a hipercalcemia e causa hipocalemia/hipomagnesemia — pode ser deletéria.</w:t>
      </w:r>
    </w:p>
    <w:p>
      <w:pPr>
        <w:spacing w:after="160" w:before="80"/>
      </w:pPr>
      <w:r>
        <w:rPr>
          <w:sz w:val="20"/>
          <w:szCs w:val="20"/>
        </w:rPr>
        <w:t xml:space="preserve">🎯 </w:t>
      </w:r>
      <w:r>
        <w:rPr>
          <w:b/>
          <w:bCs/>
          <w:sz w:val="20"/>
          <w:szCs w:val="20"/>
        </w:rPr>
        <w:t xml:space="preserve">Pegadinha de prova: </w:t>
      </w:r>
      <w:r>
        <w:rPr>
          <w:sz w:val="20"/>
          <w:szCs w:val="20"/>
        </w:rPr>
        <w:t xml:space="preserve">a sequência correta é HIDRATAR primeiro; furosemida só entra para tratar sobrecarga, não como medida principal.</w:t>
      </w:r>
    </w:p>
    <w:p>
      <w:pPr>
        <w:pStyle w:val="Heading1"/>
      </w:pPr>
      <w:r>
        <w:t xml:space="preserve">7. 🩸 Diálise — quando indicar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Reservada para casos graves/refratários ou quando a salina não pode ser usada com segurança.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  <w:tc>
          <w:tcPr>
            <w:tcW w:type="dxa" w:w="6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DRC / oligúria</w:t>
            </w:r>
          </w:p>
        </w:tc>
        <w:tc>
          <w:tcPr>
            <w:tcW w:type="dxa" w:w="6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Insuficiência renal que impede hidratação salina vigorosa.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ICC / sobrecarga</w:t>
            </w:r>
          </w:p>
        </w:tc>
        <w:tc>
          <w:tcPr>
            <w:tcW w:type="dxa" w:w="6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Quando administrar grande volume é contraindicado.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Crise refratária grave</w:t>
            </w:r>
          </w:p>
        </w:tc>
        <w:tc>
          <w:tcPr>
            <w:tcW w:type="dxa" w:w="6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Cálcio muito alto (&gt; 18 mg/dL) ou sintomas neuro/cardíacos graves com necessidade de redução RÁPIDA.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Falha das medidas</w:t>
            </w:r>
          </w:p>
        </w:tc>
        <w:tc>
          <w:tcPr>
            <w:tcW w:type="dxa" w:w="6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Sem resposta a salina + calcitonina + antirreabsortivo.</w:t>
            </w:r>
          </w:p>
        </w:tc>
      </w:tr>
    </w:tbl>
    <w:p>
      <w:pPr>
        <w:spacing w:after="160" w:before="80"/>
      </w:pPr>
      <w:r>
        <w:rPr>
          <w:b/>
          <w:bCs/>
          <w:sz w:val="20"/>
          <w:szCs w:val="20"/>
        </w:rPr>
        <w:t xml:space="preserve">Como: </w:t>
      </w:r>
      <w:r>
        <w:rPr>
          <w:b/>
          <w:bCs/>
          <w:sz w:val="20"/>
          <w:szCs w:val="20"/>
        </w:rPr>
        <w:t xml:space="preserve">hemodiálise com dialisato de cálcio baixo ou zero</w:t>
      </w:r>
      <w:r>
        <w:rPr>
          <w:sz w:val="20"/>
          <w:szCs w:val="20"/>
        </w:rPr>
        <w:t xml:space="preserve">. Remoção rápida e eficaz do cálcio; pode ser repetida. Avaliar fósforo (a HD pode espoliar) e cálcio após o procedimento.</w:t>
      </w:r>
    </w:p>
    <w:p>
      <w:pPr>
        <w:pStyle w:val="Heading1"/>
      </w:pPr>
      <w:r>
        <w:t xml:space="preserve">8. 🚨 Terapia de Emergência (Crise Hipercalcêmica)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 crise, NÃO esperar um agente agir antes de iniciar o outro — combine simultaneamente: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💧 </w:t>
      </w:r>
      <w:r>
        <w:rPr>
          <w:b/>
          <w:bCs/>
          <w:sz w:val="22"/>
          <w:szCs w:val="22"/>
        </w:rPr>
        <w:t xml:space="preserve">Salina 0,9% </w:t>
      </w:r>
      <w:r>
        <w:rPr>
          <w:sz w:val="22"/>
          <w:szCs w:val="22"/>
        </w:rPr>
        <w:t xml:space="preserve">agressiva (com monitorização de volume).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💉 </w:t>
      </w:r>
      <w:r>
        <w:rPr>
          <w:b/>
          <w:bCs/>
          <w:sz w:val="22"/>
          <w:szCs w:val="22"/>
        </w:rPr>
        <w:t xml:space="preserve">Calcitonina 4 UI/kg 12/12h </w:t>
      </w:r>
      <w:r>
        <w:rPr>
          <w:sz w:val="22"/>
          <w:szCs w:val="22"/>
        </w:rPr>
        <w:t xml:space="preserve">(efeito em horas — segura o paciente).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🦴 </w:t>
      </w:r>
      <w:r>
        <w:rPr>
          <w:b/>
          <w:bCs/>
          <w:sz w:val="22"/>
          <w:szCs w:val="22"/>
        </w:rPr>
        <w:t xml:space="preserve">Ácido zoledrônico 4 mg IV </w:t>
      </w:r>
      <w:r>
        <w:rPr>
          <w:sz w:val="22"/>
          <w:szCs w:val="22"/>
        </w:rPr>
        <w:t xml:space="preserve">(efeito sustentado, em 2–4 dias).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🧬 </w:t>
      </w:r>
      <w:r>
        <w:rPr>
          <w:b/>
          <w:bCs/>
          <w:sz w:val="22"/>
          <w:szCs w:val="22"/>
        </w:rPr>
        <w:t xml:space="preserve">± Denosumabe </w:t>
      </w:r>
      <w:r>
        <w:rPr>
          <w:sz w:val="22"/>
          <w:szCs w:val="22"/>
        </w:rPr>
        <w:t xml:space="preserve">se refratário ou DRC.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💊 </w:t>
      </w:r>
      <w:r>
        <w:rPr>
          <w:b/>
          <w:bCs/>
          <w:sz w:val="22"/>
          <w:szCs w:val="22"/>
        </w:rPr>
        <w:t xml:space="preserve">± Glicocorticoide </w:t>
      </w:r>
      <w:r>
        <w:rPr>
          <w:sz w:val="22"/>
          <w:szCs w:val="22"/>
        </w:rPr>
        <w:t xml:space="preserve">se mecanismo do calcitriol (linfoma/granuloma).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🩸 </w:t>
      </w:r>
      <w:r>
        <w:rPr>
          <w:b/>
          <w:bCs/>
          <w:sz w:val="22"/>
          <w:szCs w:val="22"/>
        </w:rPr>
        <w:t xml:space="preserve">Diálise </w:t>
      </w:r>
      <w:r>
        <w:rPr>
          <w:sz w:val="22"/>
          <w:szCs w:val="22"/>
        </w:rPr>
        <w:t xml:space="preserve">se renal/ICC/refratário.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🛑 </w:t>
      </w:r>
      <w:r>
        <w:rPr>
          <w:b/>
          <w:bCs/>
          <w:sz w:val="22"/>
          <w:szCs w:val="22"/>
        </w:rPr>
        <w:t xml:space="preserve">Suspender agravantes: </w:t>
      </w:r>
      <w:r>
        <w:rPr>
          <w:sz w:val="22"/>
          <w:szCs w:val="22"/>
        </w:rPr>
        <w:t xml:space="preserve">tiazídicos, lítio, suplementos de cálcio, vitamina D e A; cautela com digoxina.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🚶 </w:t>
      </w:r>
      <w:r>
        <w:rPr>
          <w:b/>
          <w:bCs/>
          <w:sz w:val="22"/>
          <w:szCs w:val="22"/>
        </w:rPr>
        <w:t xml:space="preserve">Mobilização precoce </w:t>
      </w:r>
      <w:r>
        <w:rPr>
          <w:sz w:val="22"/>
          <w:szCs w:val="22"/>
        </w:rPr>
        <w:t xml:space="preserve">(a imobilização aumenta a reabsorção óssea).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🎯 </w:t>
      </w:r>
      <w:r>
        <w:rPr>
          <w:b/>
          <w:bCs/>
          <w:sz w:val="22"/>
          <w:szCs w:val="22"/>
        </w:rPr>
        <w:t xml:space="preserve">Tratar a neoplasia de base </w:t>
      </w:r>
      <w:r>
        <w:rPr>
          <w:sz w:val="22"/>
          <w:szCs w:val="22"/>
        </w:rPr>
        <w:t xml:space="preserve">= única medida definitiva.</w:t>
      </w:r>
    </w:p>
    <w:p>
      <w:pPr>
        <w:pageBreakBefore/>
        <w:spacing w:after="0"/>
      </w:pPr>
    </w:p>
    <w:p>
      <w:pPr>
        <w:pStyle w:val="Heading1"/>
      </w:pPr>
      <w:r>
        <w:t xml:space="preserve">9. 📊 Tabela-Mestre de Fármacos (referência rápida)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000"/>
        <w:gridCol w:w="344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Fármaco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Dose / Via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Início / Duração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Mecanismo &amp; observações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💧 Salina 0,9%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200–300 mL/h 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Bolus 1–2 L se desidratado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Meta diurese 100–150 mL/h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Início: horas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Efeito limitado isolado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Reexpande volume e ↑ excreção renal de Ca²⁺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↓ Ca ~1–2 mg/dL/24–48h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Repor K⁺/Mg²⁺; cuidado ICC/DRC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💉 Calcitonina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 UI/kg SC ou IM 12/12h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Pode ↑ 6–8 UI/kg 6/6h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Início 4–6h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Taquifilaxia em 48h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↓ reabsorção óssea + ↑ excreção urinária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PONTE até bisfosfonato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↓ Ca ~1–2 mg/dL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🦴 Ácido zoledrônico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 mg IV em ≥15 min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Hidratar antes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Cautela ClCr &lt;30–35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Início 2–4 dias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Pico 4–7 dias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Duração 2–4 sem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Bisfosfonato 1ª linha (sustentado)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EA: sd. gripal, hipocalcemia, ONM, nefrotox.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🦴 Pamidronato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60–90 mg IV em 2–4h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90 mg se grave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Início 2–4 dias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Duração ~2–4 sem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Alternativa ao zoledrônico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Infusão mais longa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🧬 Denosumabe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120 mg SC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D1, D8, D15 → mensal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Início poucos dias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Duração ~4 sem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Anti-RANKL; INDEPENDE da função renal → DRC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Refratário a bisfosfonato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⚠️ hipocalcemia grave/prolongada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💊 Glicocorticoide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Hidrocortisona 200–300 mg IV/dia 3–5d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ou Prednisona 20–60 mg/dia VO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Início 2–5 dias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↓ calcitriol e absorção intestinal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SÓ em linfoma/granuloma/mieloma/intox. vit D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Inútil em PTHrP/osteólise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🧩 Cinacalcete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 mg 12/12h VO, titular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Variável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Calcimimético; nicho: carcinoma de paratireoide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Não é rotina na HCM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⚠️ Furosemida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20–40 mg IV conforme volume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Início rápido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NÃO rotina; só APÓS volemia, se sobrecarga/ICC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Diurese forçada abandonada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🩸 Diálise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HD com dialisato de Ca baixo/zero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Início imediato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Remoção rápida e eficaz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DRC/oligúria, ICC, crise refratária, Ca &gt;18 mg/dL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10. ☠️ Erros Fatais e Armadilhas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Usar furosemida ANTES de hidratar </w:t>
      </w:r>
      <w:r>
        <w:rPr>
          <w:sz w:val="22"/>
          <w:szCs w:val="22"/>
        </w:rPr>
        <w:t xml:space="preserve">→ piora a desidratação e a hipercalcemia.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Confiar só na salina </w:t>
      </w:r>
      <w:r>
        <w:rPr>
          <w:sz w:val="22"/>
          <w:szCs w:val="22"/>
        </w:rPr>
        <w:t xml:space="preserve">na hipercalcemia grave (efeito limitado) — esquecer o antirreabsortivo.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Não corrigir o cálcio pela albumina </w:t>
      </w:r>
      <w:r>
        <w:rPr>
          <w:sz w:val="22"/>
          <w:szCs w:val="22"/>
        </w:rPr>
        <w:t xml:space="preserve">(ou não usar o iônico na UTI) → subestimar a gravidade.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Esquecer de repor K⁺ e Mg²⁺ </w:t>
      </w:r>
      <w:r>
        <w:rPr>
          <w:sz w:val="22"/>
          <w:szCs w:val="22"/>
        </w:rPr>
        <w:t xml:space="preserve">(espoliados pela poliúria e diuréticos).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Bisfosfonato sem cuidado renal </w:t>
      </w:r>
      <w:r>
        <w:rPr>
          <w:sz w:val="22"/>
          <w:szCs w:val="22"/>
        </w:rPr>
        <w:t xml:space="preserve">→ nefrotoxicidade. Sempre hidratar e checar ClCr.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Não monitorar hipocalcemia </w:t>
      </w:r>
      <w:r>
        <w:rPr>
          <w:sz w:val="22"/>
          <w:szCs w:val="22"/>
        </w:rPr>
        <w:t xml:space="preserve">após denosumabe/bisfosfonato (denosumabe pode causar hipocalcemia grave e prolongada).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Digoxina + hipercalcemia </w:t>
      </w:r>
      <w:r>
        <w:rPr>
          <w:sz w:val="22"/>
          <w:szCs w:val="22"/>
        </w:rPr>
        <w:t xml:space="preserve">→ risco de intoxicação digitálica e arritmia. Evitar/usar com cautela.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Esquecer de tratar a causa de base </w:t>
      </w:r>
      <w:r>
        <w:rPr>
          <w:sz w:val="22"/>
          <w:szCs w:val="22"/>
        </w:rPr>
        <w:t xml:space="preserve">— sem tratar o tumor, a hipercalcemia recidiva.</w:t>
      </w:r>
    </w:p>
    <w:p>
      <w:pPr>
        <w:spacing w:after="140"/>
      </w:pPr>
    </w:p>
    <w:p>
      <w:pPr>
        <w:pStyle w:val="Heading1"/>
      </w:pPr>
      <w:r>
        <w:t xml:space="preserve">11. 🎯 Pegadinhas de Prova (TEMI / R3)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346"/>
      </w:tblGrid>
      <w:tr>
        <w:trPr>
          <w:tblHeader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Conceito-chave</w:t>
            </w:r>
          </w:p>
        </w:tc>
        <w:tc>
          <w:tcPr>
            <w:tcW w:type="dxa" w:w="5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que cai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PTH suprimido = malignidade</w:t>
            </w:r>
          </w:p>
        </w:tc>
        <w:tc>
          <w:tcPr>
            <w:tcW w:type="dxa" w:w="5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≠ hiperparatireoidismo primário (PTH alto/inapropriado).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Calcitonina = rápida; bisfosfonato = potente/sustentado</w:t>
            </w:r>
          </w:p>
        </w:tc>
        <w:tc>
          <w:tcPr>
            <w:tcW w:type="dxa" w:w="5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 resposta certa quase sempre é COMBINAR os dois.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Furosemida NÃO é 1ª linha</w:t>
            </w:r>
          </w:p>
        </w:tc>
        <w:tc>
          <w:tcPr>
            <w:tcW w:type="dxa" w:w="5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Distrator clássico — hidratar primeiro.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Denosumabe na DRC</w:t>
            </w:r>
          </w:p>
        </w:tc>
        <w:tc>
          <w:tcPr>
            <w:tcW w:type="dxa" w:w="5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Independe da função renal; bisfosfonato é o arriscado nesse cenário.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Corticoide só em mecanismo do calcitriol</w:t>
            </w:r>
          </w:p>
        </w:tc>
        <w:tc>
          <w:tcPr>
            <w:tcW w:type="dxa" w:w="5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Linfoma / granuloma / mieloma. Inútil em PTHrP.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Zoledrônico demora 2–4 dias</w:t>
            </w:r>
          </w:p>
        </w:tc>
        <w:tc>
          <w:tcPr>
            <w:tcW w:type="dxa" w:w="5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Justifica a ponte com calcitonina na crise.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ECG: QT curto</w:t>
            </w:r>
          </w:p>
        </w:tc>
        <w:tc>
          <w:tcPr>
            <w:tcW w:type="dxa" w:w="5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Oposto da hipocalcemia (QT longo).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12. 📈 Monitorização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Cálcio iônico/total </w:t>
      </w:r>
      <w:r>
        <w:rPr>
          <w:sz w:val="22"/>
          <w:szCs w:val="22"/>
        </w:rPr>
        <w:t xml:space="preserve">a cada 4–6 h na fase aguda (depois, espaçar).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Função renal diária </w:t>
      </w:r>
      <w:r>
        <w:rPr>
          <w:sz w:val="22"/>
          <w:szCs w:val="22"/>
        </w:rPr>
        <w:t xml:space="preserve">e eletrólitos (K⁺, Mg²⁺, fósforo).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Débito urinário </w:t>
      </w:r>
      <w:r>
        <w:rPr>
          <w:sz w:val="22"/>
          <w:szCs w:val="22"/>
        </w:rPr>
        <w:t xml:space="preserve">(meta 100–150 mL/h) e balanço hídrico.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ECG </w:t>
      </w:r>
      <w:r>
        <w:rPr>
          <w:sz w:val="22"/>
          <w:szCs w:val="22"/>
        </w:rPr>
        <w:t xml:space="preserve">se hipercalcemia grave ou sintomas cardíacos.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Sinais de sobrecarga volêmica </w:t>
      </w:r>
      <w:r>
        <w:rPr>
          <w:sz w:val="22"/>
          <w:szCs w:val="22"/>
        </w:rPr>
        <w:t xml:space="preserve">(ausculta, SpO₂, edema) — sobretudo em ICC/idoso.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Vigiar HIPOcalcemia </w:t>
      </w:r>
      <w:r>
        <w:rPr>
          <w:sz w:val="22"/>
          <w:szCs w:val="22"/>
        </w:rPr>
        <w:t xml:space="preserve">após antirreabsortivos (especialmente denosumabe).</w:t>
      </w:r>
    </w:p>
    <w:p>
      <w:pPr>
        <w:spacing w:after="140"/>
      </w:pPr>
    </w:p>
    <w:p>
      <w:pPr>
        <w:pStyle w:val="Heading1"/>
      </w:pPr>
      <w:r>
        <w:t xml:space="preserve">13. 🤓 Curiosidades Nerd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PTHrP </w:t>
      </w:r>
      <w:r>
        <w:rPr>
          <w:sz w:val="22"/>
          <w:szCs w:val="22"/>
        </w:rPr>
        <w:t xml:space="preserve">foi descoberto na década de 1980; compartilha homologia na porção N-terminal com o PTH, por isso ativa o mesmo receptor (PTH1R) e mimetiza a ação do PTH.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A calcitonina de salmão </w:t>
      </w:r>
      <w:r>
        <w:rPr>
          <w:sz w:val="22"/>
          <w:szCs w:val="22"/>
        </w:rPr>
        <w:t xml:space="preserve">é cerca de 30–50× mais potente que a humana — por isso é a usada clinicamente.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O osso </w:t>
      </w:r>
      <w:r>
        <w:rPr>
          <w:sz w:val="22"/>
          <w:szCs w:val="22"/>
        </w:rPr>
        <w:t xml:space="preserve">armazena ~99% do cálcio corporal; é o grande reservatório que a doença maligna “saqueia”.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Denosumabe </w:t>
      </w:r>
      <w:r>
        <w:rPr>
          <w:sz w:val="22"/>
          <w:szCs w:val="22"/>
        </w:rPr>
        <w:t xml:space="preserve">é um anticorpo monoclonal humano anti-RANKL — bloqueia a maturação do osteoclasto, o mesmo eixo molecular da reabsorção óssea.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Bisfosfonatos </w:t>
      </w:r>
      <w:r>
        <w:rPr>
          <w:sz w:val="22"/>
          <w:szCs w:val="22"/>
        </w:rPr>
        <w:t xml:space="preserve">se ligam à hidroxiapatita do osso e são internalizados pelos osteoclastos, inibindo a farnesil-pirofosfato-sintase (via do mevalonato) — apoptose do osteoclasto.</w:t>
      </w:r>
    </w:p>
    <w:p>
      <w:pPr>
        <w:spacing w:after="140"/>
      </w:pPr>
    </w:p>
    <w:p>
      <w:pPr>
        <w:pStyle w:val="Heading1"/>
      </w:pPr>
      <w:r>
        <w:t xml:space="preserve">14. 📚 Sugestões de Aprofundamento e Pesquisa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Diretriz da Endocrine Society </w:t>
      </w:r>
      <w:r>
        <w:rPr>
          <w:sz w:val="22"/>
          <w:szCs w:val="22"/>
        </w:rPr>
        <w:t xml:space="preserve">sobre hipercalcemia da malignidade (revisar versão mais recente vigente).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Tópicos do UpToDate: </w:t>
      </w:r>
      <w:r>
        <w:rPr>
          <w:sz w:val="22"/>
          <w:szCs w:val="22"/>
        </w:rPr>
        <w:t xml:space="preserve">“Treatment of hypercalcemia” e “Hypercalcemia of malignancy: Mechanisms”.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Tratado de Medicina Intensiva AMIB/SPCI </w:t>
      </w:r>
      <w:r>
        <w:rPr>
          <w:sz w:val="22"/>
          <w:szCs w:val="22"/>
        </w:rPr>
        <w:t xml:space="preserve">e CMIB — capítulos de distúrbios do cálcio e emergências oncológicas (alinhado ao TEMI).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Comparar </w:t>
      </w:r>
      <w:r>
        <w:rPr>
          <w:sz w:val="22"/>
          <w:szCs w:val="22"/>
        </w:rPr>
        <w:t xml:space="preserve">eficácia denosumabe vs zoledrônico em hipercalcemia refratária (literatura oncológica).</w:t>
      </w:r>
    </w:p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7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🧭 O que mais eu posso gerar para você (é só pedir):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• 🖼️ Fluxograma visual </w:t>
            </w:r>
            <w:r>
              <w:rPr>
                <w:sz w:val="20"/>
                <w:szCs w:val="20"/>
              </w:rPr>
              <w:t xml:space="preserve">da escalada terapêutica (imagem/diagrama para colar no Obsidian).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• 🗂️ Cartão de bolso (1 página) </w:t>
            </w:r>
            <w:r>
              <w:rPr>
                <w:sz w:val="20"/>
                <w:szCs w:val="20"/>
              </w:rPr>
              <w:t xml:space="preserve">“MODO PLANTÃO” com doses prontas.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• 📊 Tabela comparativa </w:t>
            </w:r>
            <w:r>
              <w:rPr>
                <w:sz w:val="20"/>
                <w:szCs w:val="20"/>
              </w:rPr>
              <w:t xml:space="preserve">hipercalcemia maligna × hiperparatireoidismo primário.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• 🧠 Flashcards / quiz </w:t>
            </w:r>
            <w:r>
              <w:rPr>
                <w:sz w:val="20"/>
                <w:szCs w:val="20"/>
              </w:rPr>
              <w:t xml:space="preserve">estilo TEMI (modo PASSA-TEMPO TEMI: ZEBRA UTI, DOSE WIZARD, TRIAL).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• 📝 Modelo de prescrição </w:t>
            </w:r>
            <w:r>
              <w:rPr>
                <w:sz w:val="20"/>
                <w:szCs w:val="20"/>
              </w:rPr>
              <w:t xml:space="preserve">de crise hipercalcêmica para prontuário (anonimizado).</w:t>
            </w:r>
          </w:p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• 🔢 Calculadora </w:t>
            </w:r>
            <w:r>
              <w:rPr>
                <w:sz w:val="20"/>
                <w:szCs w:val="20"/>
              </w:rPr>
              <w:t xml:space="preserve">de cálcio corrigido pela albumina.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i/>
          <w:iCs/>
          <w:color w:val="808080"/>
          <w:sz w:val="16"/>
          <w:szCs w:val="16"/>
        </w:rPr>
        <w:t xml:space="preserve">⚕️ Documento de apoio à decisão — não substitui julgamento clínico individualizado nem diretriz institucional vigente. Confirme doses e ajustes renais na bula/protocolo local.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Dr. Aldenir Rocha • CRM-CE 16587 —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808080"/>
        <w:sz w:val="16"/>
        <w:szCs w:val="16"/>
      </w:rPr>
      <w:t xml:space="preserve">🦴 Hipercalcemia da Malignidade — Protocolo de Plantão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⚠️"/>
      <w:lvlJc w:val="left"/>
      <w:pPr>
        <w:ind w:left="62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🔬"/>
      <w:lvlJc w:val="left"/>
      <w:pPr>
        <w:ind w:left="62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3"/>
      </w:pBdr>
      <w:spacing w:after="140" w:before="26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6FB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Hipercalcemia da Doença Maligna</dc:title>
  <dc:creator>Dr. Aldenir Rocha</dc:creator>
  <cp:lastModifiedBy>Un-named</cp:lastModifiedBy>
  <cp:revision>1</cp:revision>
  <dcterms:created xsi:type="dcterms:W3CDTF">2026-06-06T22:01:49.572Z</dcterms:created>
  <dcterms:modified xsi:type="dcterms:W3CDTF">2026-06-06T22:01:49.572Z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