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color w:val="17365D"/>
          <w:sz w:val="44"/>
        </w:rPr>
        <w:t>ABORDAGEM PRÁTICA DA HIPERCALCEMIA</w:t>
        <w:br/>
        <w:t>DA DOENÇA MALIGNA</w:t>
      </w:r>
    </w:p>
    <w:p>
      <w:pPr>
        <w:jc w:val="center"/>
      </w:pPr>
      <w:r>
        <w:rPr>
          <w:rFonts w:ascii="Arial" w:hAnsi="Arial"/>
          <w:color w:val="505050"/>
          <w:sz w:val="26"/>
        </w:rPr>
        <w:t>Protocolo prático para plantão, enfermaria, oncologia e UTI adulta</w:t>
      </w:r>
    </w:p>
    <w:p>
      <w:pPr>
        <w:spacing w:after="200"/>
        <w:jc w:val="center"/>
      </w:pPr>
      <w:r>
        <w:rPr>
          <w:rFonts w:ascii="Arial" w:hAnsi="Arial"/>
          <w:b/>
          <w:color w:val="1F4E79"/>
          <w:sz w:val="21"/>
        </w:rPr>
        <w:t>Escalada terapêutica • Hidratação • Furosemida • Calcitonina • Bisfosfonatos • Denosumabe • Corticoide • Diálise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6FC"/>
            <w:vAlign w:val="top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1"/>
              </w:rPr>
              <w:t>Objetivo do documento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Servir como guia operacional rápido e completo para reconhecer gravidade, iniciar medidas de emergência, escolher a terapia antirreabsortiva e definir quando acionar nefrologia para terapia renal substitutiva. Material educacional; ajustar à realidade local, protocolos institucionais, função renal, volemia e avaliação especializada.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  <w:vAlign w:val="top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1"/>
              </w:rPr>
              <w:t>Mensagem-chave em 1 minuto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Na hipercalcemia maligna moderada ou grave, não basta hidratar: a terapia antirreabsortiva deve ser iniciada precocemente. Use calcitonina como ponte nos casos graves/sintomáticos; reserve furosemida para sobrecarga após reidratação; indique diálise se hipercalcemia extrema, sintomas ameaçadores, insuficiência renal importante, anúria/oligúria ou impossibilidade de hidratar.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5A5A5A"/>
          <w:sz w:val="18"/>
        </w:rPr>
        <w:t>Atualizado em 06/06/2026 | Elaborado para uso clínico-educacional por Dr. Aldenir Rocha</w:t>
      </w:r>
    </w:p>
    <w:p>
      <w:r>
        <w:br w:type="page"/>
      </w:r>
    </w:p>
    <w:p>
      <w:pPr>
        <w:pStyle w:val="Heading1"/>
        <w:keepNext/>
      </w:pPr>
      <w:r>
        <w:t>Sumário executivo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1. Confirme e estratifique: </w:t>
      </w:r>
      <w:r>
        <w:rPr>
          <w:rFonts w:ascii="Arial" w:hAnsi="Arial"/>
          <w:sz w:val="20"/>
        </w:rPr>
        <w:t>cálcio corrigido pela albumina ou cálcio ionizado; classifique em leve, moderada ou grave.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2. Procure gravidade clínica: </w:t>
      </w:r>
      <w:r>
        <w:rPr>
          <w:rFonts w:ascii="Arial" w:hAnsi="Arial"/>
          <w:sz w:val="20"/>
        </w:rPr>
        <w:t>confusão, coma, convulsão, arritmia, QT curto, vômitos incoercíveis, desidratação, oligúria, IRA.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3. Trate a causa e suspenda agravantes: </w:t>
      </w:r>
      <w:r>
        <w:rPr>
          <w:rFonts w:ascii="Arial" w:hAnsi="Arial"/>
          <w:sz w:val="20"/>
        </w:rPr>
        <w:t>cálcio, vitamina D/calcitriol, tiazídicos, lítio, excesso de vitamina A, imobilização, fluidos com cálcio.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4. Hidratação é o primeiro passo: </w:t>
      </w:r>
      <w:r>
        <w:rPr>
          <w:rFonts w:ascii="Arial" w:hAnsi="Arial"/>
          <w:sz w:val="20"/>
        </w:rPr>
        <w:t>solução isotônica sem cálcio; bolus 1-2 L se tolerado e manutenção titulada por volemia, diurese, creatinina e sinais de congestão.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5. Antirreabsortivo precoce: </w:t>
      </w:r>
      <w:r>
        <w:rPr>
          <w:rFonts w:ascii="Arial" w:hAnsi="Arial"/>
          <w:sz w:val="20"/>
        </w:rPr>
        <w:t>zoledronato IV, pamidronato IV ou denosumabe SC conforme gravidade, função renal, refratariedade e disponibilidade.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6. Calcitonina = ponte de emergência: </w:t>
      </w:r>
      <w:r>
        <w:rPr>
          <w:rFonts w:ascii="Arial" w:hAnsi="Arial"/>
          <w:sz w:val="20"/>
        </w:rPr>
        <w:t>usar em hipercalcemia grave/sintomática enquanto o antirreabsortivo não fez efeito; limitar a 48-72 h por taquifilaxia.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7. Furosemida não é rotina: </w:t>
      </w:r>
      <w:r>
        <w:rPr>
          <w:rFonts w:ascii="Arial" w:hAnsi="Arial"/>
          <w:sz w:val="20"/>
        </w:rPr>
        <w:t>usar apenas se houver congestão/sobrecarga depois da reposição volêmica ou durante hidratação em paciente predisposto.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8. Corticoide: </w:t>
      </w:r>
      <w:r>
        <w:rPr>
          <w:rFonts w:ascii="Arial" w:hAnsi="Arial"/>
          <w:sz w:val="20"/>
        </w:rPr>
        <w:t>indicado sobretudo em hipercalcemia mediada por calcitriol, típica de linfomas e doenças granulomatosas.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9. Diálise: </w:t>
      </w:r>
      <w:r>
        <w:rPr>
          <w:rFonts w:ascii="Arial" w:hAnsi="Arial"/>
          <w:sz w:val="20"/>
        </w:rPr>
        <w:t>considerar se cálcio muito elevado, sintomas ameaçadores, insuficiência renal grave/anúria, sobrecarga que impede hidratação ou falha terapêutica.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10. Recorrência é comum: </w:t>
      </w:r>
      <w:r>
        <w:rPr>
          <w:rFonts w:ascii="Arial" w:hAnsi="Arial"/>
          <w:sz w:val="20"/>
        </w:rPr>
        <w:t>HCM é frequentemente marcador de doença oncológica avançada; alinhar oncologia, nefrologia, cuidados paliativos e metas de cuidado.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vAlign w:val="top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1"/>
              </w:rPr>
              <w:t>Ordem mental do plantão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ABCDE -&gt; ECG/monitor -&gt; cálcio corrigido ou ionizado -&gt; SF 0,9% se tolerado -&gt; calcitonina se grave/sintomático -&gt; antirreabsortivo no mesmo dia -&gt; monitorar Ca/Cr/eletrólitos -&gt; nefrologia se Ca &gt;=18 mg/dL, sintomas ameaçadores ou impossibilidade de hidratar.</w:t>
            </w:r>
          </w:p>
        </w:tc>
      </w:tr>
    </w:tbl>
    <w:p/>
    <w:p>
      <w:pPr>
        <w:pStyle w:val="Heading1"/>
        <w:keepNext/>
      </w:pPr>
      <w:r>
        <w:t>1. Definição e classificação prática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Hipercalcemia da doença maligna (HCM): </w:t>
      </w:r>
      <w:r>
        <w:rPr>
          <w:rFonts w:ascii="Arial" w:hAnsi="Arial"/>
          <w:sz w:val="20"/>
        </w:rPr>
        <w:t>hipercalcemia causada direta ou indiretamente por neoplasia, geralmente com PTH suprimido.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Cálcio corrigido: </w:t>
      </w:r>
      <w:r>
        <w:rPr>
          <w:rFonts w:ascii="Arial" w:hAnsi="Arial"/>
          <w:sz w:val="20"/>
        </w:rPr>
        <w:t>Ca corrigido (mg/dL) = Ca total medido + 0,8 x (4,0 - albumina em g/dL).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Cálcio ionizado: </w:t>
      </w:r>
      <w:r>
        <w:rPr>
          <w:rFonts w:ascii="Arial" w:hAnsi="Arial"/>
          <w:sz w:val="20"/>
        </w:rPr>
        <w:t>preferir em paciente crítico, alterações importantes de albumina/pH, DRC, hemodiálise, sepse, acidose/alcalose ou discrepância clínica.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728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Gravidade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Cálcio corrigido aproximado</w:t>
            </w:r>
          </w:p>
        </w:tc>
        <w:tc>
          <w:tcPr>
            <w:tcW w:type="dxa" w:w="6336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Conduta prática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Leve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10,5-11,9 mg/dL</w:t>
            </w:r>
          </w:p>
        </w:tc>
        <w:tc>
          <w:tcPr>
            <w:tcW w:type="dxa" w:w="63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Geralmente assintomática ou sintomas leves. Procurar causa, hidratar VO/EV se necessário, monitorar.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Moderada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12,0-13,9 mg/dL</w:t>
            </w:r>
          </w:p>
        </w:tc>
        <w:tc>
          <w:tcPr>
            <w:tcW w:type="dxa" w:w="63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Pode ser sintomática. Em HCM, geralmente iniciar hidratação IV e considerar antirreabsortivo precoce.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Grave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&gt;=14 mg/dL</w:t>
            </w:r>
          </w:p>
        </w:tc>
        <w:tc>
          <w:tcPr>
            <w:tcW w:type="dxa" w:w="63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Emergência metabólica, sobretudo se sintomas neurológicos/cardiacos/renais. Hidratação + calcitonina + antirreabsortivo; monitorização.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Extrema / ameaça à vida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&gt;=18 mg/dL ou qualquer Ca com arritmia, coma, convulsão, choque, oligúria importante</w:t>
            </w:r>
          </w:p>
        </w:tc>
        <w:tc>
          <w:tcPr>
            <w:tcW w:type="dxa" w:w="63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Acionar nefrologia precocemente para considerar terapia renal substitutiva; tratar em ambiente monitorizado/UTI.</w:t>
            </w:r>
          </w:p>
        </w:tc>
      </w:tr>
    </w:tbl>
    <w:p/>
    <w:p>
      <w:pPr>
        <w:spacing w:after="40"/>
      </w:pPr>
      <w:r>
        <w:rPr>
          <w:rFonts w:ascii="Arial" w:hAnsi="Arial"/>
          <w:i/>
          <w:color w:val="595959"/>
          <w:sz w:val="17"/>
        </w:rPr>
        <w:t>Conversão aproximada: cálcio total em mmol/L x 4 = mg/dL. Valores devem ser interpretados com albumina, pH, hidratação e contexto clínico.</w:t>
      </w:r>
    </w:p>
    <w:p>
      <w:pPr>
        <w:pStyle w:val="Heading2"/>
        <w:keepNext/>
      </w:pPr>
      <w:r>
        <w:t>Mecanismos principais na malignidade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448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Mecanismo</w:t>
            </w:r>
          </w:p>
        </w:tc>
        <w:tc>
          <w:tcPr>
            <w:tcW w:type="dxa" w:w="3311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Neoplasias associadas</w:t>
            </w:r>
          </w:p>
        </w:tc>
        <w:tc>
          <w:tcPr>
            <w:tcW w:type="dxa" w:w="4608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Pistas laboratoriais/clínicas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PTHrP / hipercalcemia humoral</w:t>
            </w:r>
          </w:p>
        </w:tc>
        <w:tc>
          <w:tcPr>
            <w:tcW w:type="dxa" w:w="331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Carcinoma escamoso, rim, bexiga, mama, ovário, alguns linfomas</w:t>
            </w:r>
          </w:p>
        </w:tc>
        <w:tc>
          <w:tcPr>
            <w:tcW w:type="dxa" w:w="460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PTH baixo, PTHrP elevado, fosfato baixo/normal, lesão óssea nem sempre dominante.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Osteólise local</w:t>
            </w:r>
          </w:p>
        </w:tc>
        <w:tc>
          <w:tcPr>
            <w:tcW w:type="dxa" w:w="331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Mieloma múltiplo, mama, metástases ósseas extensas</w:t>
            </w:r>
          </w:p>
        </w:tc>
        <w:tc>
          <w:tcPr>
            <w:tcW w:type="dxa" w:w="460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Dor óssea, lesões líticas, FA pode subir; PTH baixo.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Calcitriol mediada</w:t>
            </w:r>
          </w:p>
        </w:tc>
        <w:tc>
          <w:tcPr>
            <w:tcW w:type="dxa" w:w="331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Linfomas, doenças granulomatosas associadas</w:t>
            </w:r>
          </w:p>
        </w:tc>
        <w:tc>
          <w:tcPr>
            <w:tcW w:type="dxa" w:w="460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1,25(OH)2D alto; responde melhor a glicocorticoide.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PTH ectópico ou paratireoide maligno</w:t>
            </w:r>
          </w:p>
        </w:tc>
        <w:tc>
          <w:tcPr>
            <w:tcW w:type="dxa" w:w="331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Muito raro; carcinoma de paratireoide</w:t>
            </w:r>
          </w:p>
        </w:tc>
        <w:tc>
          <w:tcPr>
            <w:tcW w:type="dxa" w:w="460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PTH inadequadamente alto; considerar cinacalcete e abordagem cirúrgica/oncologia.</w:t>
            </w:r>
          </w:p>
        </w:tc>
      </w:tr>
    </w:tbl>
    <w:p/>
    <w:p>
      <w:pPr>
        <w:pStyle w:val="Heading1"/>
        <w:keepNext/>
      </w:pPr>
      <w:r>
        <w:t>2. Sintomas e sinais de alarme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304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8063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Achados práticos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Neurológico/psíquico</w:t>
            </w:r>
          </w:p>
        </w:tc>
        <w:tc>
          <w:tcPr>
            <w:tcW w:type="dxa" w:w="806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Fadiga, sonolência, lentificação, irritabilidade, depressão, delirium, confusão, estupor, coma, convulsão.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Gastrointestinal</w:t>
            </w:r>
          </w:p>
        </w:tc>
        <w:tc>
          <w:tcPr>
            <w:tcW w:type="dxa" w:w="806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Anorexia, náuseas, vômitos, constipação, dor abdominal, pancreatite, úlcera péptica.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Renal/volume</w:t>
            </w:r>
          </w:p>
        </w:tc>
        <w:tc>
          <w:tcPr>
            <w:tcW w:type="dxa" w:w="806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Poliúria, polidipsia, desidratação, nefrolitíase, nefrocalcinose, injúria renal aguda, oligúria.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Cardiovascular</w:t>
            </w:r>
          </w:p>
        </w:tc>
        <w:tc>
          <w:tcPr>
            <w:tcW w:type="dxa" w:w="806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Hipertensão, bradicardia, QT curto, bloqueios, arritmias, maior toxicidade digitálica, colapso em casos graves.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Musculoesquelético</w:t>
            </w:r>
          </w:p>
        </w:tc>
        <w:tc>
          <w:tcPr>
            <w:tcW w:type="dxa" w:w="806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Fraqueza proximal, mialgia, dor óssea, redução de reflexos, imobilização agravando hipercalcemia.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vAlign w:val="top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1"/>
              </w:rPr>
              <w:t>Sinais de gravidade que mudam o local de cuidado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Alteração do nível de consciência, convulsão, arritmia ou ECG alterado, Ca corrigido &gt;=14 mg/dL com sintomas, Ca &gt;=18 mg/dL, oligúria/anúria, IRA progressiva, vômitos incoercíveis, desidratação grave, choque, necessidade de hidratação agressiva em paciente com IC/DRC.</w:t>
            </w:r>
          </w:p>
        </w:tc>
      </w:tr>
    </w:tbl>
    <w:p/>
    <w:p>
      <w:pPr>
        <w:pStyle w:val="Heading1"/>
        <w:keepNext/>
      </w:pPr>
      <w:r>
        <w:t>3. Avaliação inicial: o que pedir nas primeiras horas</w:t>
      </w:r>
    </w:p>
    <w:p>
      <w:pPr>
        <w:pStyle w:val="Heading2"/>
        <w:keepNext/>
      </w:pPr>
      <w:r>
        <w:t>3.1 Checklist de beira-leito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Repetir cálcio total com albumina e, se possível, cálcio ionizado.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ECG imediato se Ca &gt;=14 mg/dL, sintomas, DRC, uso de digoxina, síncope, palpitações ou alteração neurológica.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Avaliar volemia: mucosas, turgor, pressão, frequência cardíaca, balanço hídrico, diurese, congestão, crepitações, edema, POCUS se disponível.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Dois acessos venosos periféricos calibrosos ou acesso central se instabilidade/vasoativo.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Suspender cálcio, vitamina D, calcitriol, tiazídico, lítio, antiácidos com cálcio, excesso de vitamina A e, se possível, nefrotóxicos.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Acionar oncologia/hematologia se HCM nova, grave, recorrente ou suspeita de linfoma/mieloma.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304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8063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Exames/ações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Básico urgente</w:t>
            </w:r>
          </w:p>
        </w:tc>
        <w:tc>
          <w:tcPr>
            <w:tcW w:type="dxa" w:w="806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 total, albumina, Ca ionizado, ureia, creatinina/eTFG, Na/K/Mg/P, gasometria se grave, glicemia, hemograma, função hepática.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Etiologia endócrina</w:t>
            </w:r>
          </w:p>
        </w:tc>
        <w:tc>
          <w:tcPr>
            <w:tcW w:type="dxa" w:w="806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PTH intacto; se PTH baixo, dosar PTHrP quando disponível, 25-OH vitamina D e 1,25-OH2 vitamina 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Neoplasia/mieloma</w:t>
            </w:r>
          </w:p>
        </w:tc>
        <w:tc>
          <w:tcPr>
            <w:tcW w:type="dxa" w:w="806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Eletroforese de proteínas, imunofixação, cadeias leves livres, urina, imagem óssea conforme contexto.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Gravidade/complicações</w:t>
            </w:r>
          </w:p>
        </w:tc>
        <w:tc>
          <w:tcPr>
            <w:tcW w:type="dxa" w:w="806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ECG, troponina se dor/alteração ECG, urina tipo I, USG/TC se obstrução/nefrolitíase, POCUS pulmão/IVC se risco de congestão.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vAlign w:val="top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1"/>
              </w:rPr>
              <w:t>Ponto de segurança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Não atrasar hidratação, calcitonina ou antirreabsortivo aguardando PTHrP/1,25-OH2D se o quadro for grave. O tratamento de emergência é clínico-laboratorial.</w:t>
            </w:r>
          </w:p>
        </w:tc>
      </w:tr>
    </w:tbl>
    <w:p/>
    <w:p>
      <w:pPr>
        <w:pStyle w:val="Heading1"/>
        <w:keepNext/>
      </w:pPr>
      <w:r>
        <w:t>4. Algoritmo de decisão por gravidade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7488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Conduta prática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 &lt;12 mg/dL e assintomático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Revisar medicamentos, hidratação oral/EV conforme volemia, investigação etiológica, repetir Ca em 24-72 h. Se HCM confirmada, discutir antirreabsortivo conforme contexto oncológico.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 12-14 mg/dL ou sintomas leves/moderados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Hidratação IV se tolerada. Iniciar antirreabsortivo se HCM provável/confirmada, metástase óssea ou tendência ascendente. Monitorar Ca/Cr/eletrólitos.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 &gt;=14 mg/dL ou sintomas importantes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Ambiente monitorizado. SF 0,9% bolus 1-2 L se tolerado, depois 100-200 mL/h. Calcitonina 4 UI/kg SC/IM 12/12 h. Antirreabsortivo no mesmo dia. ECG/telemetria.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 &gt;=18 mg/dL, coma/convulsão/arritmia, oligúria/anúria, DRC grave ou IC descompensada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Tratar como ameaça à vida. Acionar nefrologia para diálise; hidratar apenas conforme tolerância; considerar UTI; corrigir K/Mg/P; tratar causa oncológica.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HCM recorrente/refratária após bisfosfonato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Reavaliar mecanismo, função renal, adesão e tempo de resposta. Considerar denosumabe 120 mg SC D1, D8, D15 e depois mensal.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Suspeita de calcitriol mediada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Pedir 1,25-OH2D. Iniciar prednisona/prednisolona 40 mg/dia ou equivalente se quadro compatível; associar antirreabsortivo se grave ou resposta insuficiente.</w:t>
            </w:r>
          </w:p>
        </w:tc>
      </w:tr>
    </w:tbl>
    <w:p/>
    <w:p>
      <w:pPr>
        <w:pStyle w:val="Heading1"/>
        <w:keepNext/>
      </w:pPr>
      <w:r>
        <w:t>5. Hidratação: como fazer com segurança</w:t>
      </w:r>
    </w:p>
    <w:p>
      <w:pPr>
        <w:pStyle w:val="Heading2"/>
        <w:keepNext/>
      </w:pPr>
      <w:r>
        <w:t>5.1 Objetivos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Corrigir depleção volêmica causada por náuseas, vômitos, poliúria e redução da ingesta.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Aumentar taxa de filtração glomerular e calciurese.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Preparar o paciente para bisfosfonato, reduzindo risco de nefrotoxicidade em cenário de desidratação.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Evitar sobrecarga em idosos, insuficiência cardíaca, DRC, anúria/oligúria, ascite ou edema pulmonar.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232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8136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Como aplicar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Fluido preferencial</w:t>
            </w:r>
          </w:p>
        </w:tc>
        <w:tc>
          <w:tcPr>
            <w:tcW w:type="dxa" w:w="81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Solução isotônica sem cálcio, geralmente SF 0,9%. Evitar Ringer lactato por conter cálcio.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Bolus inicial</w:t>
            </w:r>
          </w:p>
        </w:tc>
        <w:tc>
          <w:tcPr>
            <w:tcW w:type="dxa" w:w="81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1-2 litros IV se hipovolêmico e sem contraindicação; reavaliar após 1-2 h com PA, FC, ausculta, diurese, creatinina e POCUS se disponível.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Manutenção</w:t>
            </w:r>
          </w:p>
        </w:tc>
        <w:tc>
          <w:tcPr>
            <w:tcW w:type="dxa" w:w="81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100-200 mL/h em muitos protocolos; ajustar à volemia. Em pacientes muito desidratados e tolerantes, pode ser necessário volume total de 4-6 L nas primeiras 24 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Meta prática</w:t>
            </w:r>
          </w:p>
        </w:tc>
        <w:tc>
          <w:tcPr>
            <w:tcW w:type="dxa" w:w="81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Euvolemia, melhora de sede/taquicardia/hipotensão, diurese adequada, queda progressiva do Ca, sem congestão. Não perseguir diurese “forçada” em hipovolêmico.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Monitorização</w:t>
            </w:r>
          </w:p>
        </w:tc>
        <w:tc>
          <w:tcPr>
            <w:tcW w:type="dxa" w:w="81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Balanço hídrico rigoroso, peso, diurese horária se grave, ausculta pulmonar, SpO2, Na/K/Mg/P, ureia/Cr e Ca a cada 6-12 h no grave.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Cuidado especial</w:t>
            </w:r>
          </w:p>
        </w:tc>
        <w:tc>
          <w:tcPr>
            <w:tcW w:type="dxa" w:w="813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IC, DRC, idoso frágil, anúria/oligúria, sepse, hipoalbuminemia importante: hidratar em menor velocidade e considerar nefrologia/UTI cedo.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vAlign w:val="top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1"/>
              </w:rPr>
              <w:t>Erro clássico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Prescrever furosemida antes de corrigir hipovolemia pode piorar desidratação, hipocalemia, hipomagnesemia e injúria renal, mantendo ou agravando a hipercalcemia.</w:t>
            </w:r>
          </w:p>
        </w:tc>
      </w:tr>
    </w:tbl>
    <w:p/>
    <w:p>
      <w:pPr>
        <w:pStyle w:val="Heading1"/>
        <w:keepNext/>
      </w:pPr>
      <w:r>
        <w:t>6. Furosemida: quando usar e quando evitar</w:t>
      </w:r>
    </w:p>
    <w:p>
      <w:pPr>
        <w:pStyle w:val="Heading2"/>
        <w:keepNext/>
      </w:pPr>
      <w:r>
        <w:t>6.1 Regra prática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vAlign w:val="top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1"/>
              </w:rPr>
              <w:t>Furosemida não é tratamento de primeira linha da HCM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Use apenas se o paciente desenvolve congestão/sobrecarga durante a hidratação ou se já está hipervolêmico. O objetivo é manter balanço seguro, não “forçar calciurese” em paciente desidratado.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448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920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Conduta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Indicações aceitáveis</w:t>
            </w:r>
          </w:p>
        </w:tc>
        <w:tc>
          <w:tcPr>
            <w:tcW w:type="dxa" w:w="792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Edema agudo de pulmão, crepitações/congestão, aumento importante de pressão venosa/IVC plethoric, IC descompensada, necessidade de manter hidratação sem piorar congestão.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Evitar/adiar</w:t>
            </w:r>
          </w:p>
        </w:tc>
        <w:tc>
          <w:tcPr>
            <w:tcW w:type="dxa" w:w="792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Hipovolemia, hipotensão, oligúria por desidratação, hipocalemia/hipomagnesemia não corrigidas, anúria sem plano dialítico, creatinina subindo por depleção volêmica.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Dose usual IV</w:t>
            </w:r>
          </w:p>
        </w:tc>
        <w:tc>
          <w:tcPr>
            <w:tcW w:type="dxa" w:w="792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20-40 mg IV lento em 1-2 min; repetir ou titular conforme resposta e função renal. Em edema agudo pulmonar, 40 mg IV lento pode ser usado e reavaliado.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Infusão contínua</w:t>
            </w:r>
          </w:p>
        </w:tc>
        <w:tc>
          <w:tcPr>
            <w:tcW w:type="dxa" w:w="792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Pode ser considerada em congestão persistente; respeitar taxa máxima de 4 mg/min e monitorar eletrólitos/diurese.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Monitorização</w:t>
            </w:r>
          </w:p>
        </w:tc>
        <w:tc>
          <w:tcPr>
            <w:tcW w:type="dxa" w:w="792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Diurese, PA, K, Mg, Na, bicarbonato/CO2, ureia/Cr. Repor K/Mg agressivamente se necessário.</w:t>
            </w:r>
          </w:p>
        </w:tc>
      </w:tr>
    </w:tbl>
    <w:p/>
    <w:p>
      <w:pPr>
        <w:pStyle w:val="Heading1"/>
        <w:keepNext/>
      </w:pPr>
      <w:r>
        <w:t>7. Terapias farmacológicas: doses, administração e cuidados</w:t>
      </w:r>
    </w:p>
    <w:p>
      <w:pPr>
        <w:pStyle w:val="Heading2"/>
        <w:keepNext/>
      </w:pPr>
      <w:r>
        <w:t>7.1 Visão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655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Terapia</w:t>
            </w:r>
          </w:p>
        </w:tc>
        <w:tc>
          <w:tcPr>
            <w:tcW w:type="dxa" w:w="2951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Quando usar</w:t>
            </w:r>
          </w:p>
        </w:tc>
        <w:tc>
          <w:tcPr>
            <w:tcW w:type="dxa" w:w="3096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Dose/administração</w:t>
            </w:r>
          </w:p>
        </w:tc>
        <w:tc>
          <w:tcPr>
            <w:tcW w:type="dxa" w:w="2664"/>
            <w:vAlign w:val="top"/>
            <w:shd w:fill="17365D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Cuidados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Calcitonina</w:t>
            </w:r>
          </w:p>
        </w:tc>
        <w:tc>
          <w:tcPr>
            <w:tcW w:type="dxa" w:w="295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Ponte rápida na HCM grave/sintomática, sobretudo Ca &gt;=14 mg/dL, delirium, vômitos, IRA, ECG alterado.</w:t>
            </w:r>
          </w:p>
        </w:tc>
        <w:tc>
          <w:tcPr>
            <w:tcW w:type="dxa" w:w="309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4 UI/kg SC ou IM a cada 12 h; se resposta inadequada, pode aumentar para 8 UI/kg a cada 6-12 h. Usar por no máximo 48-72 h.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Início rápido; efeito limitado. Taquifilaxia. Náuseas, flushing, hipersensibilidade. Não substitui antirreabsortivo.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Zoledronato</w:t>
            </w:r>
          </w:p>
        </w:tc>
        <w:tc>
          <w:tcPr>
            <w:tcW w:type="dxa" w:w="295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Antirreabsortivo potente; escolha comum se função renal permite. Usar cedo em HCM moderada/grave.</w:t>
            </w:r>
          </w:p>
        </w:tc>
        <w:tc>
          <w:tcPr>
            <w:tcW w:type="dxa" w:w="309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4 mg IV dose única, diluído conforme bula, infundir em &gt;=15 min; em risco renal, muitos protocolos prolongam para 30-60 min ou preferem alternativa.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Efeito em 2-4 dias; nadir em 4-7 dias. Avaliar creatinina, hidratar antes, cuidado com DRC, nefrotóxicos e osteonecrose de mandíbula.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Pamidronato</w:t>
            </w:r>
          </w:p>
        </w:tc>
        <w:tc>
          <w:tcPr>
            <w:tcW w:type="dxa" w:w="295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Alternativa ao zoledronato; útil quando se prefere infusão mais lenta ou se zoledronato indisponível.</w:t>
            </w:r>
          </w:p>
        </w:tc>
        <w:tc>
          <w:tcPr>
            <w:tcW w:type="dxa" w:w="309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60-90 mg IV dose única em 2-24 h; na HCM grave, 90 mg. Retirar nova dose apenas após &gt;=7 dias se necessário.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Menos potente/lento que zoledronato, mas tradicional. Monitorar Cr, Ca, P, Mg, K. Não misturar com soluções contendo cálcio.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Denosumabe</w:t>
            </w:r>
          </w:p>
        </w:tc>
        <w:tc>
          <w:tcPr>
            <w:tcW w:type="dxa" w:w="295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HCM refratária/recorrente após bisfosfonato; opção útil em DRC quando bisfosfonato é arriscado.</w:t>
            </w:r>
          </w:p>
        </w:tc>
        <w:tc>
          <w:tcPr>
            <w:tcW w:type="dxa" w:w="309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120 mg SC no dia 1, dia 8 e dia 15; depois 120 mg SC a cada 4 semanas. Aplicar em braço, coxa ou abdome.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Não é removido por rim, mas hipocalcemia pode ser grave em DRC/dialítico. Corrigir hipocalcemia e suplementar Ca/Vit D quando apropriado.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Glicocorticoide</w:t>
            </w:r>
          </w:p>
        </w:tc>
        <w:tc>
          <w:tcPr>
            <w:tcW w:type="dxa" w:w="295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HCM mediada por calcitriol: linfoma, granulomatose, 1,25-OH2D elevado.</w:t>
            </w:r>
          </w:p>
        </w:tc>
        <w:tc>
          <w:tcPr>
            <w:tcW w:type="dxa" w:w="309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Prednisona/prednisolona 40 mg VO/dia; alternativa EV se vômitos/gravidade. Reavaliar resposta em 2-4 dias.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Não é primeira linha para PTHrP/osteólise. Monitorar glicemia, infecção, delirium, miopatia.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Cinacalcete</w:t>
            </w:r>
          </w:p>
        </w:tc>
        <w:tc>
          <w:tcPr>
            <w:tcW w:type="dxa" w:w="2951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Casos PTH-dependentes: carcinoma de paratireoide ou hiperparatireoidismo concomitante.</w:t>
            </w:r>
          </w:p>
        </w:tc>
        <w:tc>
          <w:tcPr>
            <w:tcW w:type="dxa" w:w="3096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30 mg VO 12/12 h; titular a cada 2-4 semanas conforme Ca para 60 mg 12/12 h, 90 mg 12/12 h, 90 mg 8/8 h ou 6/6 h em casos selecionados.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sz w:val="14"/>
              </w:rPr>
              <w:t>Não é terapia aguda da HCM típica por PTHrP. Risco de hipocalcemia e náuseas; monitorar Ca.</w:t>
            </w:r>
          </w:p>
        </w:tc>
      </w:tr>
    </w:tbl>
    <w:p/>
    <w:p>
      <w:pPr>
        <w:pStyle w:val="Heading2"/>
        <w:keepNext/>
      </w:pPr>
      <w:r>
        <w:t>7.2 Escolha do antirreabsortivo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024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7343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Preferência prática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Função renal preservada ou DRC leve/moderada</w:t>
            </w:r>
          </w:p>
        </w:tc>
        <w:tc>
          <w:tcPr>
            <w:tcW w:type="dxa" w:w="734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Zoledronato 4 mg IV ou denosumabe. Zoledronato tem experiência ampla e ação robusta; denosumabe pode reduzir recorrência, mas custa mais e exige atenção à hipocalcemia.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DRC avançada, CrCl &lt;30 mL/min, diálise ou alto risco renal</w:t>
            </w:r>
          </w:p>
        </w:tc>
        <w:tc>
          <w:tcPr>
            <w:tcW w:type="dxa" w:w="734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Preferir discussão com nefrologia/oncologia. Denosumabe costuma ser opção atraente, mas monitorar hipocalcemia intensivamente. Bisfosfonato pode ser evitado ou infundido lentamente em decisão individual.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HCM recorrente/refratária após bisfosfonato</w:t>
            </w:r>
          </w:p>
        </w:tc>
        <w:tc>
          <w:tcPr>
            <w:tcW w:type="dxa" w:w="734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Denosumabe 120 mg SC D1/D8/D15 e depois mensal. Confirmar que já houve tempo suficiente para efeito do bisfosfonato.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Suspeita de linfoma/calcitriol</w:t>
            </w:r>
          </w:p>
        </w:tc>
        <w:tc>
          <w:tcPr>
            <w:tcW w:type="dxa" w:w="734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Glicocorticoide + considerar antirreabsortivo se Ca grave/sintomático ou resposta insuficiente.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Expectativa de vida muito limitada</w:t>
            </w:r>
          </w:p>
        </w:tc>
        <w:tc>
          <w:tcPr>
            <w:tcW w:type="dxa" w:w="7343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Alinhar metas de cuidado. Calcitonina e hidratação podem aliviar sintomas rapidamente; antirreabsortivo pode ser útil se benefício esperado em dias/semanas.</w:t>
            </w:r>
          </w:p>
        </w:tc>
      </w:tr>
    </w:tbl>
    <w:p/>
    <w:p>
      <w:pPr>
        <w:pStyle w:val="Heading1"/>
        <w:keepNext/>
      </w:pPr>
      <w:r>
        <w:t>8. Terapias de emergência: quando indicar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vAlign w:val="top"/>
            <w:shd w:fill="C00000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Intervenção</w:t>
            </w:r>
          </w:p>
        </w:tc>
        <w:tc>
          <w:tcPr>
            <w:tcW w:type="dxa" w:w="4248"/>
            <w:vAlign w:val="top"/>
            <w:shd w:fill="C00000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Indicação</w:t>
            </w:r>
          </w:p>
        </w:tc>
        <w:tc>
          <w:tcPr>
            <w:tcW w:type="dxa" w:w="3888"/>
            <w:vAlign w:val="top"/>
            <w:shd w:fill="C00000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Como operacionalizar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Hidratação IV imediata</w:t>
            </w:r>
          </w:p>
        </w:tc>
        <w:tc>
          <w:tcPr>
            <w:tcW w:type="dxa" w:w="42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Praticamente todos os sintomáticos ou Ca &gt;=12-14 se tolerado, especialmente desidratação, IRA, vômitos.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Iniciar nas primeiras horas. Reavaliar após 1-2 h; ajustar para evitar congestão.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Calcitonina</w:t>
            </w:r>
          </w:p>
        </w:tc>
        <w:tc>
          <w:tcPr>
            <w:tcW w:type="dxa" w:w="42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Ca &gt;=14 mg/dL com sintomas ou qualquer HCM com ameaça neurológica/cardiaca/renal enquanto aguarda antirreabsortivo.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4 UI/kg SC/IM 12/12 h; repetir até máximo 4-6 doses na maioria dos casos. Interromper se Ca &lt;12 ou após 48-72 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Antirreabsortivo no mesmo dia</w:t>
            </w:r>
          </w:p>
        </w:tc>
        <w:tc>
          <w:tcPr>
            <w:tcW w:type="dxa" w:w="42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HCM moderada/grave, metástase óssea, PTHrP provável, recorrência. Não esperar “ver se hidratação resolve” quando HCM é provável.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Escolher zoledronato, pamidronato ou denosumabe. Explicar que efeito não é imediato.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Telemetria/UTI</w:t>
            </w:r>
          </w:p>
        </w:tc>
        <w:tc>
          <w:tcPr>
            <w:tcW w:type="dxa" w:w="42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Ca &gt;=14 com sintomas, Ca &gt;=18, ECG alterado, arritmia, coma/convulsão, choque, IRA importante, necessidade de hidratação agressiva em paciente frágil.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Monitorar ECG, diurese, eletrólitos e congestão; acionar nefrologia/oncologia.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Diálise</w:t>
            </w:r>
          </w:p>
        </w:tc>
        <w:tc>
          <w:tcPr>
            <w:tcW w:type="dxa" w:w="42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Ca &gt;=18 mg/dL ou ameaça à vida; DRC grave/anúria; hipervolemia/IC impede hidratação; falha terapêutica; sintomas refratários.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>Hemodiálise com banho de baixo cálcio é a forma mais rápida; CRRT se instabilidade hemodinâmica.</w:t>
            </w:r>
          </w:p>
        </w:tc>
      </w:tr>
    </w:tbl>
    <w:p/>
    <w:p>
      <w:pPr>
        <w:pStyle w:val="Heading1"/>
        <w:keepNext/>
      </w:pPr>
      <w:r>
        <w:t>9. Diálise na hipercalcemia maligna</w:t>
      </w:r>
    </w:p>
    <w:p>
      <w:pPr>
        <w:pStyle w:val="Heading2"/>
        <w:keepNext/>
      </w:pPr>
      <w:r>
        <w:t>9.1 Indicações fortes para acionar nefrologia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Cálcio corrigido &gt;=18 mg/dL, mesmo antes de falha medicamentosa, especialmente se sintomático.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Coma, convulsão, arritmia, bloqueio, instabilidade hemodinâmica ou ECG preocupante.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Insuficiência renal grave, anúria/oligúria, creatinina em rápida ascensão ou incapacidade de excretar cálcio.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Insuficiência cardíaca, edema pulmonar, DRC avançada ou hipervolemia que impedem hidratação adequada.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Hipercalcemia refratária após hidratação, calcitonina e antirreabsortivo, ou recorrência muito precoce.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Necessidade de correção rápida antes de procedimento, sedação, cirurgia ou quimioterapia urgente.</w:t>
      </w:r>
    </w:p>
    <w:p>
      <w:pPr>
        <w:pStyle w:val="Heading2"/>
        <w:keepNext/>
      </w:pPr>
      <w:r>
        <w:t>9.2 Como pensar na prescrição dialítica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Modalidade: </w:t>
      </w:r>
      <w:r>
        <w:rPr>
          <w:rFonts w:ascii="Arial" w:hAnsi="Arial"/>
          <w:sz w:val="20"/>
        </w:rPr>
        <w:t>hemodiálise intermitente costuma reduzir cálcio mais rapidamente; CRRT pode ser preferível se instabilidade hemodinâmica.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Banho de cálcio: </w:t>
      </w:r>
      <w:r>
        <w:rPr>
          <w:rFonts w:ascii="Arial" w:hAnsi="Arial"/>
          <w:sz w:val="20"/>
        </w:rPr>
        <w:t>usar dialisato de baixo cálcio conforme protocolo local e nefrologia; monitorar para hipocalcemia rebote.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Antirreabsortivo continua importante: </w:t>
      </w:r>
      <w:r>
        <w:rPr>
          <w:rFonts w:ascii="Arial" w:hAnsi="Arial"/>
          <w:sz w:val="20"/>
        </w:rPr>
        <w:t>a diálise reduz o cálcio agudamente, mas não bloqueia reabsorção óssea tumoral; associar terapia definitiva quando possível.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Monitorização: </w:t>
      </w:r>
      <w:r>
        <w:rPr>
          <w:rFonts w:ascii="Arial" w:hAnsi="Arial"/>
          <w:sz w:val="20"/>
        </w:rPr>
        <w:t>Ca ionizado/total seriado, K, Mg, P, ECG, volemia, sintomas neurológicos e risco de arritmia.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vAlign w:val="top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1"/>
              </w:rPr>
              <w:t>Diálise não é “último recurso” quando há ameaça à vida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Em hipercalcemia extrema ou paciente que não pode receber volume, esperar 48-72 h pelo efeito do bisfosfonato pode ser perigoso. Acione nefrologia cedo.</w:t>
            </w:r>
          </w:p>
        </w:tc>
      </w:tr>
    </w:tbl>
    <w:p/>
    <w:p>
      <w:pPr>
        <w:pStyle w:val="Heading1"/>
        <w:keepNext/>
      </w:pPr>
      <w:r>
        <w:t>10. Monitorização e metas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448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7920"/>
            <w:vAlign w:val="top"/>
            <w:shd w:fill="1F4E79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O que monitorar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Primeiras 6-12 h</w:t>
            </w:r>
          </w:p>
        </w:tc>
        <w:tc>
          <w:tcPr>
            <w:tcW w:type="dxa" w:w="792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 total/corrigido ou ionizado, ureia/Cr, Na/K/Mg/P, balanço hídrico, PA/FC/SpO2, diurese, sintomas neurológicos, ECG se grave.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Após estabilização</w:t>
            </w:r>
          </w:p>
        </w:tc>
        <w:tc>
          <w:tcPr>
            <w:tcW w:type="dxa" w:w="792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 e creatinina diariamente até tendência clara; eletrólitos conforme reposição e diurese; avaliar hipocalcemia tardia após denosumabe/bisfosfonato.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Meta aguda</w:t>
            </w:r>
          </w:p>
        </w:tc>
        <w:tc>
          <w:tcPr>
            <w:tcW w:type="dxa" w:w="792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Melhora clínica, Ca &lt;12 mg/dL ou queda segura, euvolemia, diurese adequada, ausência de arritmia/congestão.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Alta/seguimento</w:t>
            </w:r>
          </w:p>
        </w:tc>
        <w:tc>
          <w:tcPr>
            <w:tcW w:type="dxa" w:w="792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Plano oncológico, data para repetir Ca/Cr/P/Mg, suplementação orientada quando apropriada, alerta para sintomas de recorrência e hipocalcemia.</w:t>
            </w:r>
          </w:p>
        </w:tc>
      </w:tr>
    </w:tbl>
    <w:p/>
    <w:p>
      <w:pPr>
        <w:pStyle w:val="Heading2"/>
        <w:keepNext/>
      </w:pPr>
      <w:r>
        <w:t>Reposição de eletrólitos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Corrigir hipocalemia e hipomagnesemia, principalmente se furosemida for usada.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Hipofosfatemia pode ocorrer em PTHrP; repor com cautela, evitando precipitação cálcio-fósforo em níveis muito elevados de Ca/P.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Cuidado com hipocalcemia tardia após denosumabe, sobretudo em DRC, deficiência de vitamina D, hipomagnesemia ou doença óssea extensa.</w:t>
      </w:r>
    </w:p>
    <w:p>
      <w:pPr>
        <w:pStyle w:val="Heading1"/>
        <w:keepNext/>
      </w:pPr>
      <w:r>
        <w:t>11. Modelos práticos de prescrição/ordens médicas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vAlign w:val="top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21"/>
              </w:rPr>
              <w:t>Atenção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Modelos para adaptação. Conferir alergias, função renal, disponibilidade local, diluições do hospital, peso, volemia, risco de sobrecarga e protocolo institucional.</w:t>
            </w:r>
          </w:p>
        </w:tc>
      </w:tr>
    </w:tbl>
    <w:p/>
    <w:p>
      <w:pPr>
        <w:pStyle w:val="Heading2"/>
        <w:keepNext/>
      </w:pPr>
      <w:r>
        <w:t>11.1 HCM grave sintomática, sem congestão evidente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Monitorização cardíaca/oximetria; ECG 12 derivações; acesso venoso calibroso; considerar UTI se rebaixamento, arritmia, Ca &gt;=18 ou IRA importante.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SF 0,9% 1.000 mL EV em 1-2 h; reavaliar volemia, PA, ausculta, diurese, creatinina e cálcio. Se tolerado, repetir bolus ou manter 100-200 mL/h.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Calcitonina 4 UI/kg SC ou IM agora e a cada 12 h por 24-48 h; suspender se Ca &lt;12 mg/dL ou após 48-72 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Zoledronato 4 mg EV dose única em &gt;=15 min, após hidratação inicial; se alto risco renal, discutir pamidronato/denosumabe/infusão prolongada.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Dosar/repetir Ca total + albumina ou Ca ionizado, Cr, K, Mg, P em 6-12 h; balanço hídrico e diurese horária se grave.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Suspender cálcio, vitamina D/calcitriol, tiazídico, lítio; avisar oncologia/hematologia; investigar PTH, PTHrP, 25-OH D, 1,25-OH2D conforme contexto.</w:t>
      </w:r>
    </w:p>
    <w:p>
      <w:pPr>
        <w:pStyle w:val="Heading2"/>
        <w:keepNext/>
      </w:pPr>
      <w:r>
        <w:t>11.2 HCM grave com DRC avançada, oligúria ou insuficiência cardíaca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Leito monitorizado/UTI conforme gravidade; ECG e telemetria; controle rigoroso de balanço e diurese.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Hidratação cautelosa: SF 0,9% em bolus menores ou manutenção reduzida, com reavaliação frequente e POCUS quando disponível.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 congestão: furosemida 20-40 mg IV lento, titular por resposta; repor K/Mg e evitar hipovolemia.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Calcitonina 4 UI/kg SC/IM 12/12 h como ponte.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Considerar denosumabe 120 mg SC se bisfosfonato for arriscado; monitorar hipocalcemia de perto.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Acionar nefrologia precocemente para hemodiálise se Ca &gt;=18, sintomas ameaçadores, anúria/oligúria, edema pulmonar ou impossibilidade de hidratar.</w:t>
      </w:r>
    </w:p>
    <w:p>
      <w:pPr>
        <w:pStyle w:val="Heading2"/>
        <w:keepNext/>
      </w:pPr>
      <w:r>
        <w:t>11.3 Suspeita de hipercalcemia mediada por calcitriol / linfoma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Dosar 1,25-OH2 vitamina D, 25-OH vitamina D, PTH e PTHrP, mas não atrasar tratamento se grave.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Prednisona/prednisolona 40 mg VO ao dia ou equivalente; se via oral inviável, usar equivalente EV conforme protocolo local.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Associar hidratação, calcitonina se grave e antirreabsortivo se Ca &gt;=14, sintomas importantes ou resposta insuficiente ao corticoide.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Acompanhar glicemia, risco infeccioso, delirium e plano diagnóstico de linfoma/doença granulomatosa.</w:t>
      </w:r>
    </w:p>
    <w:p>
      <w:pPr>
        <w:pStyle w:val="Heading1"/>
        <w:keepNext/>
      </w:pPr>
      <w:r>
        <w:t>12. Armadilhas frequentes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Confiar só no cálcio total: </w:t>
      </w:r>
      <w:r>
        <w:rPr>
          <w:rFonts w:ascii="Arial" w:hAnsi="Arial"/>
          <w:sz w:val="20"/>
        </w:rPr>
        <w:t>em hipoalbuminemia/pH alterado, o cálcio ionizado pode mudar a decisão.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Hidratar pouco: </w:t>
      </w:r>
      <w:r>
        <w:rPr>
          <w:rFonts w:ascii="Arial" w:hAnsi="Arial"/>
          <w:sz w:val="20"/>
        </w:rPr>
        <w:t>muitos pacientes estão profundamente desidratados; a queda inicial depende de volume, se tolerado.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Hidratar demais: </w:t>
      </w:r>
      <w:r>
        <w:rPr>
          <w:rFonts w:ascii="Arial" w:hAnsi="Arial"/>
          <w:sz w:val="20"/>
        </w:rPr>
        <w:t>idoso, DRC e IC podem evoluir com edema pulmonar; reavalie frequentemente.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Furosemida precoce: </w:t>
      </w:r>
      <w:r>
        <w:rPr>
          <w:rFonts w:ascii="Arial" w:hAnsi="Arial"/>
          <w:sz w:val="20"/>
        </w:rPr>
        <w:t>piora hipovolemia e rim; use apenas por congestão ou para manter balanço após euvolemia.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Esperar bisfosfonato agir no paciente em coma/arritmia: </w:t>
      </w:r>
      <w:r>
        <w:rPr>
          <w:rFonts w:ascii="Arial" w:hAnsi="Arial"/>
          <w:sz w:val="20"/>
        </w:rPr>
        <w:t>use calcitonina e acione nefrologia se ameaça à vida.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Esquecer denosumabe na DRC/refratariedade: </w:t>
      </w:r>
      <w:r>
        <w:rPr>
          <w:rFonts w:ascii="Arial" w:hAnsi="Arial"/>
          <w:sz w:val="20"/>
        </w:rPr>
        <w:t>pode ser útil, mas vigiar hipocalcemia grave.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Não tratar a neoplasia: </w:t>
      </w:r>
      <w:r>
        <w:rPr>
          <w:rFonts w:ascii="Arial" w:hAnsi="Arial"/>
          <w:sz w:val="20"/>
        </w:rPr>
        <w:t>a hipercalcemia recorre se a carga tumoral e reabsorção óssea não forem controladas.</w:t>
      </w:r>
    </w:p>
    <w:p>
      <w:pPr>
        <w:pStyle w:val="ListBullet"/>
        <w:spacing w:after="40"/>
      </w:pPr>
      <w:r>
        <w:rPr>
          <w:rFonts w:ascii="Arial" w:hAnsi="Arial"/>
          <w:b/>
          <w:sz w:val="20"/>
        </w:rPr>
        <w:t xml:space="preserve">Não alinhar prognóstico: </w:t>
      </w:r>
      <w:r>
        <w:rPr>
          <w:rFonts w:ascii="Arial" w:hAnsi="Arial"/>
          <w:sz w:val="20"/>
        </w:rPr>
        <w:t>HCM frequentemente sinaliza doença avançada; conversar sobre objetivos de cuidado reduz sofrimento e intervenções desproporcionais.</w:t>
      </w:r>
    </w:p>
    <w:p>
      <w:pPr>
        <w:pStyle w:val="Heading1"/>
        <w:keepNext/>
      </w:pPr>
      <w:r>
        <w:t>13. Mini-cards de bolso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top"/>
            <w:shd w:fill="548235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7488"/>
            <w:vAlign w:val="top"/>
            <w:shd w:fill="548235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Resposta rápida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 &gt;=14 + sintoma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SF 0,9% se tolerado + calcitonina 4 UI/kg SC/IM 12/12 h + antirreabsortivo no mesmo dia + ECG/monitor.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 &gt;=18 ou coma/arritmia/convulsão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Nefrologia agora para diálise + UTI/monitor + medidas acima conforme tolerância.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DRC/IC/oligúria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Volume cauteloso, furosemida só se congestão, considerar denosumabe, acionar nefro cedo.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Linfoma/calcitriol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Prednisona/prednisolona 40 mg/dia + hidratação; associar antirreabsortivo se grave/sem resposta.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Refratária pós-bisfosfonato</w:t>
            </w:r>
          </w:p>
        </w:tc>
        <w:tc>
          <w:tcPr>
            <w:tcW w:type="dxa" w:w="7488"/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Denosumabe 120 mg SC D1, D8, D15 e depois mensal; revisar mecanismo e diagnóstico.</w:t>
            </w:r>
          </w:p>
        </w:tc>
      </w:tr>
    </w:tbl>
    <w:p/>
    <w:p>
      <w:pPr>
        <w:pStyle w:val="Heading1"/>
        <w:keepNext/>
      </w:pPr>
      <w:r>
        <w:t>14. Referências essenciais</w:t>
      </w:r>
    </w:p>
    <w:p>
      <w:pPr>
        <w:spacing w:after="40"/>
      </w:pPr>
      <w:r>
        <w:rPr>
          <w:rFonts w:ascii="Arial" w:hAnsi="Arial"/>
          <w:sz w:val="17"/>
        </w:rPr>
        <w:t>1. Endocrine Society. Hypercalcemia Guideline Resources: Treatment of Hypercalcemia of Malignancy in Adults. Publicado em 21/12/2022; guideline JCEM 2023.</w:t>
      </w:r>
    </w:p>
    <w:p>
      <w:pPr>
        <w:spacing w:after="40"/>
      </w:pPr>
      <w:r>
        <w:rPr>
          <w:rFonts w:ascii="Arial" w:hAnsi="Arial"/>
          <w:sz w:val="17"/>
        </w:rPr>
        <w:t>2. El-Hajj Fuleihan G, Clines GA, Hu MI, et al. Treatment of Hypercalcemia of Malignancy in Adults: An Endocrine Society Clinical Practice Guideline. J Clin Endocrinol Metab. 2023;108(3):507-528.</w:t>
      </w:r>
    </w:p>
    <w:p>
      <w:pPr>
        <w:spacing w:after="40"/>
      </w:pPr>
      <w:r>
        <w:rPr>
          <w:rFonts w:ascii="Arial" w:hAnsi="Arial"/>
          <w:sz w:val="17"/>
        </w:rPr>
        <w:t>3. Walsh J, Gittoes N, Selby P. Society for Endocrinology Endocrine Emergency Guidance: Emergency management of acute hypercalcaemia in adult patients. Endocr Connect. 2016;5(5):G9-G11.</w:t>
      </w:r>
    </w:p>
    <w:p>
      <w:pPr>
        <w:spacing w:after="40"/>
      </w:pPr>
      <w:r>
        <w:rPr>
          <w:rFonts w:ascii="Arial" w:hAnsi="Arial"/>
          <w:sz w:val="17"/>
        </w:rPr>
        <w:t>4. MD Anderson Cancer Center. Acute Hospital Management of Hypercalcemia. Clinical Management Algorithm. Revisado/aprovado em 17/06/2025.</w:t>
      </w:r>
    </w:p>
    <w:p>
      <w:pPr>
        <w:spacing w:after="40"/>
      </w:pPr>
      <w:r>
        <w:rPr>
          <w:rFonts w:ascii="Arial" w:hAnsi="Arial"/>
          <w:sz w:val="17"/>
        </w:rPr>
        <w:t>5. European Medicines Agency. Zometa (zoledronic acid) product information.</w:t>
      </w:r>
    </w:p>
    <w:p>
      <w:pPr>
        <w:spacing w:after="40"/>
      </w:pPr>
      <w:r>
        <w:rPr>
          <w:rFonts w:ascii="Arial" w:hAnsi="Arial"/>
          <w:sz w:val="17"/>
        </w:rPr>
        <w:t>6. U.S. Prescribing Information. Xgeva (denosumab) injection, Amgen. Revisado em 05/2025.</w:t>
      </w:r>
    </w:p>
    <w:p>
      <w:pPr>
        <w:spacing w:after="40"/>
      </w:pPr>
      <w:r>
        <w:rPr>
          <w:rFonts w:ascii="Arial" w:hAnsi="Arial"/>
          <w:sz w:val="17"/>
        </w:rPr>
        <w:t>7. U.S. Prescribing Information. Pamidronate disodium injection. Revisado em 05/2025.</w:t>
      </w:r>
    </w:p>
    <w:p>
      <w:pPr>
        <w:spacing w:after="40"/>
      </w:pPr>
      <w:r>
        <w:rPr>
          <w:rFonts w:ascii="Arial" w:hAnsi="Arial"/>
          <w:sz w:val="17"/>
        </w:rPr>
        <w:t>8. DailyMed/FDA. Calcitonin salmon injection, synthetic, prescribing information.</w:t>
      </w:r>
    </w:p>
    <w:p>
      <w:pPr>
        <w:spacing w:after="40"/>
      </w:pPr>
      <w:r>
        <w:rPr>
          <w:rFonts w:ascii="Arial" w:hAnsi="Arial"/>
          <w:sz w:val="17"/>
        </w:rPr>
        <w:t>9. U.S. Prescribing Information. Furosemide injection. Revisado em 10/2024.</w:t>
      </w:r>
    </w:p>
    <w:p>
      <w:pPr>
        <w:spacing w:after="40"/>
      </w:pPr>
      <w:r>
        <w:rPr>
          <w:rFonts w:ascii="Arial" w:hAnsi="Arial"/>
          <w:sz w:val="17"/>
        </w:rPr>
        <w:t>10. Guise TA, Wysolmerski JJ. Cancer-Associated Hypercalcemia. N Engl J Med. 2022;386:1443-1451.</w:t>
      </w:r>
    </w:p>
    <w:p>
      <w:pPr>
        <w:spacing w:after="40"/>
      </w:pPr>
      <w:r>
        <w:rPr>
          <w:rFonts w:ascii="Arial" w:hAnsi="Arial"/>
          <w:sz w:val="17"/>
        </w:rPr>
        <w:t>11. U.S. Prescribing Information. Sensipar (cinacalcet) tablets, indicação para carcinoma de paratireoide e hiperparatireoidismo primário em situações específicas.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28282"/>
        <w:sz w:val="15"/>
      </w:rPr>
      <w:t>Material educacional. Individualizar conforme protocolo local, função renal, volemia e avaliação especializada.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Hipercalcemia da Doença Maligna - Protocolo Prático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