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5"/>
      </w:pPr>
      <w:r>
        <w:rPr>
          <w:rFonts w:ascii="Liberation Sans" w:hAnsi="Liberation Sans"/>
          <w:b/>
          <w:color w:val="176B72"/>
          <w:sz w:val="20"/>
        </w:rPr>
        <w:t>PROJETO 360X  /  ENSAIOS DE SOCIEDADE</w:t>
      </w:r>
    </w:p>
    <w:p>
      <w:pPr>
        <w:pStyle w:val="Title"/>
      </w:pPr>
      <w:r>
        <w:t>Sociedade</w:t>
        <w:br/>
        <w:t>Meritocrática</w:t>
        <w:br/>
        <w:t>Delimitada</w:t>
      </w:r>
    </w:p>
    <w:p>
      <w:pPr>
        <w:pStyle w:val="Subtitle"/>
      </w:pPr>
      <w:r>
        <w:t>Mobilidade aberta, dignidade universal</w:t>
        <w:br/>
        <w:t>e limites ao poder econômico</w:t>
      </w:r>
    </w:p>
    <w:p>
      <w:pPr>
        <w:spacing w:before="320"/>
      </w:pPr>
      <w:r>
        <w:rPr>
          <w:b/>
          <w:sz w:val="26"/>
        </w:rPr>
        <w:t>Aldenir Rocha de Oliveira Filho</w:t>
      </w:r>
    </w:p>
    <w:p>
      <w:r>
        <w:drawing>
          <wp:inline xmlns:a="http://schemas.openxmlformats.org/drawingml/2006/main" xmlns:pic="http://schemas.openxmlformats.org/drawingml/2006/picture">
            <wp:extent cx="5796000" cy="3261983"/>
            <wp:docPr id="1" name="Picture 1" descr="Ilustração conceitual das quatro divisões empresariais; a entrada no mercado permanece aberta."/>
            <wp:cNvGraphicFramePr>
              <a:graphicFrameLocks noChangeAspect="1"/>
            </wp:cNvGraphicFramePr>
            <a:graphic>
              <a:graphicData uri="http://schemas.openxmlformats.org/drawingml/2006/picture">
                <pic:pic>
                  <pic:nvPicPr>
                    <pic:cNvPr id="0" name="cover-image.jpg"/>
                    <pic:cNvPicPr/>
                  </pic:nvPicPr>
                  <pic:blipFill>
                    <a:blip r:embed="rId11"/>
                    <a:stretch>
                      <a:fillRect/>
                    </a:stretch>
                  </pic:blipFill>
                  <pic:spPr>
                    <a:xfrm>
                      <a:off x="0" y="0"/>
                      <a:ext cx="5796000" cy="3261983"/>
                    </a:xfrm>
                    <a:prstGeom prst="rect"/>
                  </pic:spPr>
                </pic:pic>
              </a:graphicData>
            </a:graphic>
          </wp:inline>
        </w:drawing>
      </w:r>
    </w:p>
    <w:p>
      <w:pPr>
        <w:pStyle w:val="Caption"/>
      </w:pPr>
      <w:r>
        <w:t>SMD-4  •  Edição de desenvolvimento 1.0</w:t>
        <w:br/>
        <w:t>Sobral, Ceará · 22 de outubro de 2026</w:t>
      </w:r>
    </w:p>
    <w:p>
      <w:pPr>
        <w:pStyle w:val="Caption"/>
      </w:pPr>
      <w:r>
        <w:t>Proposta autoral em debate. Não é legislação, previsão de resultado</w:t>
        <w:br/>
        <w:t>ou recomendação de investimento.</w:t>
      </w:r>
    </w:p>
    <w:p>
      <w:pPr>
        <w:pStyle w:val="Heading1"/>
        <w:pageBreakBefore/>
      </w:pPr>
      <w:r>
        <w:t>Apresentação editorial</w:t>
      </w:r>
    </w:p>
    <w:p>
      <w:r>
        <w:rPr>
          <w:b w:val="0"/>
        </w:rPr>
        <w:t>Este livro desenvolve uma proposta autoral de organização econômica, profissional e social inspirada em ligas com divisões, critérios de desempenho e mobilidade. A ideia de origem pertence a Aldenir Rocha de Oliveira Filho. A organização, a redação técnica e a revisão preliminar desta edição tiveram assistência de inteligência artificial. Não houve validação independente por economistas, juristas, cientistas políticos ou representantes das populações potencialmente afetadas.</w:t>
      </w:r>
    </w:p>
    <w:p>
      <w:r>
        <w:rPr>
          <w:b w:val="0"/>
        </w:rPr>
        <w:t>O título histórico do projeto é “Sociedade Estamental Meritocrática Delimitada”. A denominação editorial SMD-4 significa, nesta obra, Sociedade Meritocrática Delimitada de Mobilidade Aberta. O número quatro identifica a arquitetura inicial de divisões, não uma verdade científica sobre a quantidade ideal de classes. O termo “estamental” é mantido como registro da concepção original, mas não autoriza hereditariedade, castas, segregação ou desigualdade de direitos.</w:t>
      </w:r>
    </w:p>
    <w:p>
      <w:r>
        <w:rPr>
          <w:b w:val="0"/>
        </w:rPr>
        <w:t>Este é um ensaio de desenho institucional, não uma legislação vigente, uma previsão de prosperidade, um programa eleitoral registrado ou uma recomendação individual de investimento. O livro distingue quatro tipos de afirmação: propostas normativas, que expressam escolhas; hipóteses econômicas, que exigem teste; fatos jurídicos, que dependem de fontes e atualização; e simulações, que demonstram cálculos sem provar resultados reais.</w:t>
      </w:r>
    </w:p>
    <w:p>
      <w:r>
        <w:rPr>
          <w:b w:val="0"/>
        </w:rPr>
        <w:t>As imagens foram geradas por IA em etapas anteriores do projeto. São preservadas como acervo conceitual, não como documentação de políticas implantadas. Algumas contêm erros de redação, pesos diferentes e cronologia eleitoral incorreta. Nesta edição, o texto revisado e o registro de correções prevalecem sobre a tipografia presente nas imagens. O acervo digital permite ampliar cada painel e ler sua ressalva específica.</w:t>
      </w:r>
    </w:p>
    <w:p>
      <w:r>
        <w:rPr>
          <w:b w:val="0"/>
        </w:rPr>
        <w:t>Publicar uma proposta significa torná-la acessível à crítica; não significa certificar sua viabilidade. Esta edição não possui ISBN ou ficha catalográfica e não afirma revisão por pares. Os materiais médicos do AldenirMed89 permanecem editorialmente separados deste módulo cívico. O site não solicita filiação partidária, não capta doações e não coleta dados de cidadãos para classificá-los.</w:t>
      </w:r>
    </w:p>
    <w:p>
      <w:pPr>
        <w:pStyle w:val="Heading1"/>
        <w:pageBreakBefore/>
      </w:pPr>
      <w:r>
        <w:t>Sumário</w:t>
      </w:r>
    </w:p>
    <w:p>
      <w:pPr>
        <w:pStyle w:val="Caption"/>
      </w:pPr>
      <w:r>
        <w:t>Selecione o título para navegar na versão Word. A edição digital oferece busca e acesso por tema.</w:t>
      </w:r>
    </w:p>
    <w:p>
      <w:pPr>
        <w:spacing w:after="80" w:line="240" w:lineRule="auto"/>
      </w:pPr>
      <w:hyperlink w:anchor="ch0">
        <w:r>
          <w:rPr>
            <w:sz w:val="21"/>
            <w:color w:val="176B72"/>
          </w:rPr>
          <w:t>1. Identidade política do modelo</w:t>
        </w:r>
      </w:hyperlink>
    </w:p>
    <w:p>
      <w:pPr>
        <w:spacing w:after="80" w:line="240" w:lineRule="auto"/>
      </w:pPr>
      <w:hyperlink w:anchor="ch1">
        <w:r>
          <w:rPr>
            <w:sz w:val="21"/>
            <w:color w:val="176B72"/>
          </w:rPr>
          <w:t>2. Os cinco princípios constitucionais</w:t>
        </w:r>
      </w:hyperlink>
    </w:p>
    <w:p>
      <w:pPr>
        <w:spacing w:after="80" w:line="240" w:lineRule="auto"/>
      </w:pPr>
      <w:hyperlink w:anchor="ch2">
        <w:r>
          <w:rPr>
            <w:sz w:val="21"/>
            <w:color w:val="176B72"/>
          </w:rPr>
          <w:t>3. Sistema de divisões empresariais</w:t>
        </w:r>
      </w:hyperlink>
    </w:p>
    <w:p>
      <w:pPr>
        <w:spacing w:after="80" w:line="240" w:lineRule="auto"/>
      </w:pPr>
      <w:hyperlink w:anchor="ch3">
        <w:r>
          <w:rPr>
            <w:sz w:val="21"/>
            <w:color w:val="176B72"/>
          </w:rPr>
          <w:t>4. Algoritmo de pontuação das empresas</w:t>
        </w:r>
      </w:hyperlink>
    </w:p>
    <w:p>
      <w:pPr>
        <w:spacing w:after="80" w:line="240" w:lineRule="auto"/>
      </w:pPr>
      <w:hyperlink w:anchor="ch4">
        <w:r>
          <w:rPr>
            <w:sz w:val="21"/>
            <w:color w:val="176B72"/>
          </w:rPr>
          <w:t>5. Repasse do Estado às empresas</w:t>
        </w:r>
      </w:hyperlink>
    </w:p>
    <w:p>
      <w:pPr>
        <w:spacing w:after="80" w:line="240" w:lineRule="auto"/>
      </w:pPr>
      <w:hyperlink w:anchor="ch5">
        <w:r>
          <w:rPr>
            <w:sz w:val="21"/>
            <w:color w:val="176B72"/>
          </w:rPr>
          <w:t>6. Política de preços</w:t>
        </w:r>
      </w:hyperlink>
    </w:p>
    <w:p>
      <w:pPr>
        <w:spacing w:after="80" w:line="240" w:lineRule="auto"/>
      </w:pPr>
      <w:hyperlink w:anchor="ch6">
        <w:r>
          <w:rPr>
            <w:sz w:val="21"/>
            <w:color w:val="176B72"/>
          </w:rPr>
          <w:t>7. Divisões profissionais</w:t>
        </w:r>
      </w:hyperlink>
    </w:p>
    <w:p>
      <w:pPr>
        <w:spacing w:after="80" w:line="240" w:lineRule="auto"/>
      </w:pPr>
      <w:hyperlink w:anchor="ch7">
        <w:r>
          <w:rPr>
            <w:sz w:val="21"/>
            <w:color w:val="176B72"/>
          </w:rPr>
          <w:t>8. Matriz de mérito profissional</w:t>
        </w:r>
      </w:hyperlink>
    </w:p>
    <w:p>
      <w:pPr>
        <w:spacing w:after="80" w:line="240" w:lineRule="auto"/>
      </w:pPr>
      <w:hyperlink w:anchor="ch8">
        <w:r>
          <w:rPr>
            <w:sz w:val="21"/>
            <w:color w:val="176B72"/>
          </w:rPr>
          <w:t>9. Fórmula salarial</w:t>
        </w:r>
      </w:hyperlink>
    </w:p>
    <w:p>
      <w:pPr>
        <w:spacing w:after="80" w:line="240" w:lineRule="auto"/>
      </w:pPr>
      <w:hyperlink w:anchor="ch9">
        <w:r>
          <w:rPr>
            <w:sz w:val="21"/>
            <w:color w:val="176B72"/>
          </w:rPr>
          <w:t>10. Histórico escolar das crianças</w:t>
        </w:r>
      </w:hyperlink>
    </w:p>
    <w:p>
      <w:pPr>
        <w:spacing w:after="80" w:line="240" w:lineRule="auto"/>
      </w:pPr>
      <w:hyperlink w:anchor="ch10">
        <w:r>
          <w:rPr>
            <w:sz w:val="21"/>
            <w:color w:val="176B72"/>
          </w:rPr>
          <w:t>11. As quatro faixas sociais</w:t>
        </w:r>
      </w:hyperlink>
    </w:p>
    <w:p>
      <w:pPr>
        <w:spacing w:after="80" w:line="240" w:lineRule="auto"/>
      </w:pPr>
      <w:hyperlink w:anchor="ch11">
        <w:r>
          <w:rPr>
            <w:sz w:val="21"/>
            <w:color w:val="176B72"/>
          </w:rPr>
          <w:t>12. Limitação de patrimônio</w:t>
        </w:r>
      </w:hyperlink>
    </w:p>
    <w:p>
      <w:pPr>
        <w:spacing w:after="80" w:line="240" w:lineRule="auto"/>
      </w:pPr>
      <w:hyperlink w:anchor="ch12">
        <w:r>
          <w:rPr>
            <w:sz w:val="21"/>
            <w:color w:val="176B72"/>
          </w:rPr>
          <w:t>13. Sistema bancário em divisões</w:t>
        </w:r>
      </w:hyperlink>
    </w:p>
    <w:p>
      <w:pPr>
        <w:spacing w:after="80" w:line="240" w:lineRule="auto"/>
      </w:pPr>
      <w:hyperlink w:anchor="ch13">
        <w:r>
          <w:rPr>
            <w:sz w:val="21"/>
            <w:color w:val="176B72"/>
          </w:rPr>
          <w:t>14. Pix, bancos digitais e contato humano</w:t>
        </w:r>
      </w:hyperlink>
    </w:p>
    <w:p>
      <w:pPr>
        <w:spacing w:after="80" w:line="240" w:lineRule="auto"/>
      </w:pPr>
      <w:hyperlink w:anchor="ch14">
        <w:r>
          <w:rPr>
            <w:sz w:val="21"/>
            <w:color w:val="176B72"/>
          </w:rPr>
          <w:t>15. Crédito justo</w:t>
        </w:r>
      </w:hyperlink>
    </w:p>
    <w:p>
      <w:pPr>
        <w:spacing w:after="80" w:line="240" w:lineRule="auto"/>
      </w:pPr>
      <w:hyperlink w:anchor="ch15">
        <w:r>
          <w:rPr>
            <w:sz w:val="21"/>
            <w:color w:val="176B72"/>
          </w:rPr>
          <w:t>16. Poupança e investimentos</w:t>
        </w:r>
      </w:hyperlink>
    </w:p>
    <w:p>
      <w:pPr>
        <w:spacing w:after="80" w:line="240" w:lineRule="auto"/>
      </w:pPr>
      <w:hyperlink w:anchor="ch16">
        <w:r>
          <w:rPr>
            <w:sz w:val="21"/>
            <w:color w:val="176B72"/>
          </w:rPr>
          <w:t>17. Esportes e projetos socioambientais</w:t>
        </w:r>
      </w:hyperlink>
    </w:p>
    <w:p>
      <w:pPr>
        <w:spacing w:after="80" w:line="240" w:lineRule="auto"/>
      </w:pPr>
      <w:hyperlink w:anchor="ch17">
        <w:r>
          <w:rPr>
            <w:sz w:val="21"/>
            <w:color w:val="176B72"/>
          </w:rPr>
          <w:t>18. Proibição de uma nota social total</w:t>
        </w:r>
      </w:hyperlink>
    </w:p>
    <w:p>
      <w:pPr>
        <w:spacing w:after="80" w:line="240" w:lineRule="auto"/>
      </w:pPr>
      <w:hyperlink w:anchor="ch18">
        <w:r>
          <w:rPr>
            <w:sz w:val="21"/>
            <w:color w:val="176B72"/>
          </w:rPr>
          <w:t>19. Instituições necessárias</w:t>
        </w:r>
      </w:hyperlink>
    </w:p>
    <w:p>
      <w:pPr>
        <w:spacing w:after="80" w:line="240" w:lineRule="auto"/>
      </w:pPr>
      <w:hyperlink w:anchor="ch19">
        <w:r>
          <w:rPr>
            <w:sz w:val="21"/>
            <w:color w:val="176B72"/>
          </w:rPr>
          <w:t>20. Métricas diferentes para cada setor</w:t>
        </w:r>
      </w:hyperlink>
    </w:p>
    <w:p>
      <w:pPr>
        <w:spacing w:after="80" w:line="240" w:lineRule="auto"/>
      </w:pPr>
      <w:hyperlink w:anchor="ch20">
        <w:r>
          <w:rPr>
            <w:sz w:val="21"/>
            <w:color w:val="176B72"/>
          </w:rPr>
          <w:t>21. Miniconstituição do modelo</w:t>
        </w:r>
      </w:hyperlink>
    </w:p>
    <w:p>
      <w:pPr>
        <w:spacing w:after="80" w:line="240" w:lineRule="auto"/>
      </w:pPr>
      <w:hyperlink w:anchor="ch21">
        <w:r>
          <w:rPr>
            <w:sz w:val="21"/>
            <w:color w:val="176B72"/>
          </w:rPr>
          <w:t>22. Implementação gradual: cenário de 2028 a 2040</w:t>
        </w:r>
      </w:hyperlink>
    </w:p>
    <w:p>
      <w:pPr>
        <w:spacing w:after="80" w:line="240" w:lineRule="auto"/>
      </w:pPr>
      <w:hyperlink w:anchor="ch22">
        <w:r>
          <w:rPr>
            <w:sz w:val="21"/>
            <w:color w:val="176B72"/>
          </w:rPr>
          <w:t>23. Principais riscos, objeções e condições de interrupção</w:t>
        </w:r>
      </w:hyperlink>
    </w:p>
    <w:p>
      <w:pPr>
        <w:spacing w:after="80" w:line="240" w:lineRule="auto"/>
      </w:pPr>
      <w:hyperlink w:anchor="ch23">
        <w:r>
          <w:rPr>
            <w:sz w:val="21"/>
            <w:color w:val="176B72"/>
          </w:rPr>
          <w:t>Anexo A. Sustentabilidade fiscal e simulações</w:t>
        </w:r>
      </w:hyperlink>
    </w:p>
    <w:p>
      <w:pPr>
        <w:spacing w:after="80" w:line="240" w:lineRule="auto"/>
      </w:pPr>
      <w:hyperlink w:anchor="ch24">
        <w:r>
          <w:rPr>
            <w:sz w:val="21"/>
            <w:color w:val="176B72"/>
          </w:rPr>
          <w:t>Anexo B. Protocolo mínimo de um projeto-piloto</w:t>
        </w:r>
      </w:hyperlink>
    </w:p>
    <w:p>
      <w:pPr>
        <w:spacing w:after="80" w:line="240" w:lineRule="auto"/>
      </w:pPr>
      <w:hyperlink w:anchor="ch25">
        <w:r>
          <w:rPr>
            <w:sz w:val="21"/>
            <w:color w:val="176B72"/>
          </w:rPr>
          <w:t>Anexo C. Registro de correções das imagens</w:t>
        </w:r>
      </w:hyperlink>
    </w:p>
    <w:p>
      <w:pPr>
        <w:spacing w:after="80" w:line="240" w:lineRule="auto"/>
      </w:pPr>
      <w:hyperlink w:anchor="ch26">
        <w:r>
          <w:rPr>
            <w:sz w:val="21"/>
            <w:color w:val="176B72"/>
          </w:rPr>
          <w:t>Anexo D. Arquitetura digital e integração ao 360X</w:t>
        </w:r>
      </w:hyperlink>
    </w:p>
    <w:p>
      <w:pPr>
        <w:spacing w:after="80" w:line="240" w:lineRule="auto"/>
      </w:pPr>
      <w:hyperlink w:anchor="ch27">
        <w:r>
          <w:rPr>
            <w:sz w:val="21"/>
            <w:color w:val="176B72"/>
          </w:rPr>
          <w:t>Glossário essencial</w:t>
        </w:r>
      </w:hyperlink>
    </w:p>
    <w:p>
      <w:pPr>
        <w:spacing w:after="80" w:line="240" w:lineRule="auto"/>
      </w:pPr>
      <w:hyperlink w:anchor="ch28">
        <w:r>
          <w:rPr>
            <w:sz w:val="21"/>
            <w:color w:val="176B72"/>
          </w:rPr>
          <w:t>Referências e fontes consultadas</w:t>
        </w:r>
      </w:hyperlink>
    </w:p>
    <w:p>
      <w:pPr>
        <w:spacing w:after="80" w:line="240" w:lineRule="auto"/>
      </w:pPr>
      <w:hyperlink w:anchor="ch29">
        <w:r>
          <w:rPr>
            <w:sz w:val="21"/>
            <w:color w:val="176B72"/>
          </w:rPr>
          <w:t>Encerramento</w:t>
        </w:r>
      </w:hyperlink>
    </w:p>
    <w:p>
      <w:pPr>
        <w:pStyle w:val="Heading1"/>
        <w:pageBreakBefore/>
      </w:pPr>
      <w:r>
        <w:t>Resumo executivo</w:t>
      </w:r>
    </w:p>
    <w:p>
      <w:r>
        <w:rPr>
          <w:b w:val="0"/>
        </w:rPr>
        <w:t>O núcleo do SMD-4 reúne três compromissos: ninguém deve perder condições básicas de vida por baixa posição econômica; empresas e profissionais devem poder progredir por contribuição verificável; e nenhuma organização deve converter riqueza em poder ilimitado e imune à fiscalização. Esses compromissos não provam que todas as ferramentas inicialmente propostas sejam adequadas.</w:t>
      </w:r>
    </w:p>
    <w:p>
      <w:r>
        <w:rPr>
          <w:b w:val="0"/>
        </w:rPr>
        <w:t>A versão revisada limita a primeira divisão de referência, mas não fecha o mercado a novos participantes. Prefere preços de referência e regulação proporcional a uma tabela universal de preços. Separa avaliação profissional de valor humano. Rejeita transformar notas da infância em punição salarial permanente. Trata patrimônio, salários e crédito com limites hipotéticos, sujeitos a estudo de efeitos, devido processo e revisão jurídica.</w:t>
      </w:r>
    </w:p>
    <w:p>
      <w:r>
        <w:rPr>
          <w:b w:val="0"/>
        </w:rPr>
        <w:t>A política bancária privilegia atendimento humano acessível sem proibir meios digitais. Pix é infraestrutura de pagamento, enquanto CDB e LCI são instrumentos financeiros: eliminar um não elimina os riscos dos outros. O financiamento produtivo não pode ser suprimido sem um mecanismo alternativo capaz de suportar perdas e distribuir capital. [8][10][11]</w:t>
      </w:r>
    </w:p>
    <w:p>
      <w:r>
        <w:rPr>
          <w:b w:val="0"/>
        </w:rPr>
        <w:t>A pergunta decisiva não é “qual nota cada pessoa merece?”, mas “quais instituições aumentam oportunidades sem criar novos abusos?”. Para respondê-la, propõe-se um piloto pequeno, reversível e previamente avaliado. A origem partidária em 2028 é apenas um cenário organizacional. Não garante registro, vitória eleitoral, aprovação de leis ou capacidade de execução. O horizonte 2038–2040 é uma janela exploratória, não uma previsão calculada.</w:t>
      </w:r>
    </w:p>
    <w:p>
      <w:bookmarkStart w:id="0" w:name="ch0"/>
      <w:pPr>
        <w:pStyle w:val="Heading1"/>
        <w:pageBreakBefore/>
      </w:pPr>
      <w:r>
        <w:t>1. Identidade política do modelo</w:t>
      </w:r>
      <w:bookmarkEnd w:id="0"/>
    </w:p>
    <w:p>
      <w:pPr>
        <w:pStyle w:val="Heading2"/>
      </w:pPr>
      <w:r>
        <w:t>Uma hipótese institucional, não um diagnóstico pronto</w:t>
      </w:r>
    </w:p>
    <w:p>
      <w:r>
        <w:rPr>
          <w:b w:val="0"/>
        </w:rPr>
        <w:t>O SMD-4 procura reconciliar competição e limites. A analogia com campeonatos ajuda a comunicar três mecanismos: regras conhecidas antes da disputa, avaliação periódica e possibilidade de mudança de posição. Entretanto, uma economia não é um campeonato. Empresas podem desaparecer, produtos não são perfeitamente comparáveis, trabalhadores dependem da renda para viver e consumidores não podem ser tratados como torcedores obrigados a escolher entre poucos clubes.</w:t>
      </w:r>
    </w:p>
    <w:p>
      <w:r>
        <w:rPr>
          <w:b w:val="0"/>
        </w:rPr>
        <w:t>Por isso, a metáfora deve organizar a informação, não substituir a análise. A primeira divisão representa reconhecimento de desempenho em um mercado definido; não representa autorização exclusiva para produzir. Uma posição profissional identifica responsabilidades e competências; não representa uma identidade moral. Uma faixa de renda permite desenhar proteção social; não representa um título público de superioridade.</w:t>
      </w:r>
    </w:p>
    <w:p>
      <w:pPr>
        <w:pStyle w:val="Heading2"/>
      </w:pPr>
      <w:r>
        <w:t>Quatro versões que não devem ser confundidas</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Versão</w:t>
            </w:r>
          </w:p>
        </w:tc>
        <w:tc>
          <w:tcPr>
            <w:tcW w:type="dxa" w:w="3043"/>
            <w:vAlign w:val="center"/>
            <w:shd w:fill="142B40"/>
          </w:tcPr>
          <w:p>
            <w:pPr>
              <w:spacing w:after="80" w:before="80" w:line="252" w:lineRule="auto"/>
            </w:pPr>
            <w:r>
              <w:rPr>
                <w:rFonts w:ascii="Liberation Sans" w:hAnsi="Liberation Sans"/>
                <w:b/>
                <w:color w:val="FFFFFF"/>
                <w:sz w:val="19"/>
              </w:rPr>
              <w:t>Conteúdo</w:t>
            </w:r>
          </w:p>
        </w:tc>
        <w:tc>
          <w:tcPr>
            <w:tcW w:type="dxa" w:w="3043"/>
            <w:vAlign w:val="center"/>
            <w:shd w:fill="142B40"/>
          </w:tcPr>
          <w:p>
            <w:pPr>
              <w:spacing w:after="80" w:before="80" w:line="252" w:lineRule="auto"/>
            </w:pPr>
            <w:r>
              <w:rPr>
                <w:rFonts w:ascii="Liberation Sans" w:hAnsi="Liberation Sans"/>
                <w:b/>
                <w:color w:val="FFFFFF"/>
                <w:sz w:val="19"/>
              </w:rPr>
              <w:t>Estado nesta edição</w:t>
            </w:r>
          </w:p>
        </w:tc>
      </w:tr>
      <w:tr>
        <w:trPr>
          <w:cantSplit/>
        </w:trPr>
        <w:tc>
          <w:tcPr>
            <w:tcW w:type="dxa" w:w="3043"/>
            <w:vAlign w:val="center"/>
          </w:tcPr>
          <w:p>
            <w:pPr>
              <w:spacing w:after="80" w:before="80" w:line="252" w:lineRule="auto"/>
            </w:pPr>
            <w:r>
              <w:rPr>
                <w:rFonts w:ascii="Liberation Sans" w:hAnsi="Liberation Sans"/>
                <w:b w:val="0"/>
                <w:sz w:val="19"/>
              </w:rPr>
              <w:t>Formulação original</w:t>
            </w:r>
          </w:p>
        </w:tc>
        <w:tc>
          <w:tcPr>
            <w:tcW w:type="dxa" w:w="3043"/>
            <w:vAlign w:val="center"/>
          </w:tcPr>
          <w:p>
            <w:pPr>
              <w:spacing w:after="80" w:before="80" w:line="252" w:lineRule="auto"/>
            </w:pPr>
            <w:r>
              <w:rPr>
                <w:rFonts w:ascii="Liberation Sans" w:hAnsi="Liberation Sans"/>
                <w:b w:val="0"/>
                <w:sz w:val="19"/>
              </w:rPr>
              <w:t>Tetos amplos, divisões empresariais e sociais, preços e salários prefixados, restrições financeiras</w:t>
            </w:r>
          </w:p>
        </w:tc>
        <w:tc>
          <w:tcPr>
            <w:tcW w:type="dxa" w:w="3043"/>
            <w:vAlign w:val="center"/>
          </w:tcPr>
          <w:p>
            <w:pPr>
              <w:spacing w:after="80" w:before="80" w:line="252" w:lineRule="auto"/>
            </w:pPr>
            <w:r>
              <w:rPr>
                <w:rFonts w:ascii="Liberation Sans" w:hAnsi="Liberation Sans"/>
                <w:b w:val="0"/>
                <w:sz w:val="19"/>
              </w:rPr>
              <w:t>Registro autoral, com objeções explicitadas</w:t>
            </w:r>
          </w:p>
        </w:tc>
      </w:tr>
      <w:tr>
        <w:trPr>
          <w:cantSplit/>
        </w:trPr>
        <w:tc>
          <w:tcPr>
            <w:tcW w:type="dxa" w:w="3043"/>
            <w:vAlign w:val="center"/>
          </w:tcPr>
          <w:p>
            <w:pPr>
              <w:spacing w:after="80" w:before="80" w:line="252" w:lineRule="auto"/>
            </w:pPr>
            <w:r>
              <w:rPr>
                <w:rFonts w:ascii="Liberation Sans" w:hAnsi="Liberation Sans"/>
                <w:b w:val="0"/>
                <w:sz w:val="19"/>
              </w:rPr>
              <w:t>SMD-4 de mobilidade aberta</w:t>
            </w:r>
          </w:p>
        </w:tc>
        <w:tc>
          <w:tcPr>
            <w:tcW w:type="dxa" w:w="3043"/>
            <w:vAlign w:val="center"/>
          </w:tcPr>
          <w:p>
            <w:pPr>
              <w:spacing w:after="80" w:before="80" w:line="252" w:lineRule="auto"/>
            </w:pPr>
            <w:r>
              <w:rPr>
                <w:rFonts w:ascii="Liberation Sans" w:hAnsi="Liberation Sans"/>
                <w:b w:val="0"/>
                <w:sz w:val="19"/>
              </w:rPr>
              <w:t>Mercado de entrada aberta, direitos iguais, avaliações específicas e regulação proporcional</w:t>
            </w:r>
          </w:p>
        </w:tc>
        <w:tc>
          <w:tcPr>
            <w:tcW w:type="dxa" w:w="3043"/>
            <w:vAlign w:val="center"/>
          </w:tcPr>
          <w:p>
            <w:pPr>
              <w:spacing w:after="80" w:before="80" w:line="252" w:lineRule="auto"/>
            </w:pPr>
            <w:r>
              <w:rPr>
                <w:rFonts w:ascii="Liberation Sans" w:hAnsi="Liberation Sans"/>
                <w:b w:val="0"/>
                <w:sz w:val="19"/>
              </w:rPr>
              <w:t>Arquitetura preferencial para debate</w:t>
            </w:r>
          </w:p>
        </w:tc>
      </w:tr>
      <w:tr>
        <w:trPr>
          <w:cantSplit/>
        </w:trPr>
        <w:tc>
          <w:tcPr>
            <w:tcW w:type="dxa" w:w="3043"/>
            <w:vAlign w:val="center"/>
          </w:tcPr>
          <w:p>
            <w:pPr>
              <w:spacing w:after="80" w:before="80" w:line="252" w:lineRule="auto"/>
            </w:pPr>
            <w:r>
              <w:rPr>
                <w:rFonts w:ascii="Liberation Sans" w:hAnsi="Liberation Sans"/>
                <w:b w:val="0"/>
                <w:sz w:val="19"/>
              </w:rPr>
              <w:t>Piloto institucional</w:t>
            </w:r>
          </w:p>
        </w:tc>
        <w:tc>
          <w:tcPr>
            <w:tcW w:type="dxa" w:w="3043"/>
            <w:vAlign w:val="center"/>
          </w:tcPr>
          <w:p>
            <w:pPr>
              <w:spacing w:after="80" w:before="80" w:line="252" w:lineRule="auto"/>
            </w:pPr>
            <w:r>
              <w:rPr>
                <w:rFonts w:ascii="Liberation Sans" w:hAnsi="Liberation Sans"/>
                <w:b w:val="0"/>
                <w:sz w:val="19"/>
              </w:rPr>
              <w:t>Um setor, indicadores limitados, participação voluntária e decisões reversíveis</w:t>
            </w:r>
          </w:p>
        </w:tc>
        <w:tc>
          <w:tcPr>
            <w:tcW w:type="dxa" w:w="3043"/>
            <w:vAlign w:val="center"/>
          </w:tcPr>
          <w:p>
            <w:pPr>
              <w:spacing w:after="80" w:before="80" w:line="252" w:lineRule="auto"/>
            </w:pPr>
            <w:r>
              <w:rPr>
                <w:rFonts w:ascii="Liberation Sans" w:hAnsi="Liberation Sans"/>
                <w:b w:val="0"/>
                <w:sz w:val="19"/>
              </w:rPr>
              <w:t>Protocolo de teste proposto</w:t>
            </w:r>
          </w:p>
        </w:tc>
      </w:tr>
      <w:tr>
        <w:trPr>
          <w:cantSplit/>
        </w:trPr>
        <w:tc>
          <w:tcPr>
            <w:tcW w:type="dxa" w:w="3043"/>
            <w:vAlign w:val="center"/>
          </w:tcPr>
          <w:p>
            <w:pPr>
              <w:spacing w:after="80" w:before="80" w:line="252" w:lineRule="auto"/>
            </w:pPr>
            <w:r>
              <w:rPr>
                <w:rFonts w:ascii="Liberation Sans" w:hAnsi="Liberation Sans"/>
                <w:b w:val="0"/>
                <w:sz w:val="19"/>
              </w:rPr>
              <w:t>Universo narrativo</w:t>
            </w:r>
          </w:p>
        </w:tc>
        <w:tc>
          <w:tcPr>
            <w:tcW w:type="dxa" w:w="3043"/>
            <w:vAlign w:val="center"/>
          </w:tcPr>
          <w:p>
            <w:pPr>
              <w:spacing w:after="80" w:before="80" w:line="252" w:lineRule="auto"/>
            </w:pPr>
            <w:r>
              <w:rPr>
                <w:rFonts w:ascii="Liberation Sans" w:hAnsi="Liberation Sans"/>
                <w:b w:val="0"/>
                <w:sz w:val="19"/>
              </w:rPr>
              <w:t>Metáforas de magia, mérito e progressão utilizadas em obras de ficção</w:t>
            </w:r>
          </w:p>
        </w:tc>
        <w:tc>
          <w:tcPr>
            <w:tcW w:type="dxa" w:w="3043"/>
            <w:vAlign w:val="center"/>
          </w:tcPr>
          <w:p>
            <w:pPr>
              <w:spacing w:after="80" w:before="80" w:line="252" w:lineRule="auto"/>
            </w:pPr>
            <w:r>
              <w:rPr>
                <w:rFonts w:ascii="Liberation Sans" w:hAnsi="Liberation Sans"/>
                <w:b w:val="0"/>
                <w:sz w:val="19"/>
              </w:rPr>
              <w:t>Não é fundamento jurídico ou científico</w:t>
            </w:r>
          </w:p>
        </w:tc>
      </w:tr>
    </w:tbl>
    <w:p>
      <w:pPr>
        <w:spacing w:after="0"/>
      </w:pPr>
    </w:p>
    <w:p>
      <w:r>
        <w:rPr>
          <w:b w:val="0"/>
        </w:rPr>
        <w:t>A palavra “magia”, quando usada neste livro, designa metaforicamente raciocínio, criatividade e transformação do conhecimento em solução. Não expressa poder sobrenatural nem uma medida psicológica validada. A ficção pode inspirar perguntas; decisões públicas precisam de justificativas acessíveis a quem não compartilha da mesma narrativa ou crença.</w:t>
      </w:r>
    </w:p>
    <w:p>
      <w:pPr>
        <w:pStyle w:val="Heading2"/>
      </w:pPr>
      <w:r>
        <w:t>Identidade democrática</w:t>
      </w:r>
    </w:p>
    <w:p>
      <w:r>
        <w:rPr>
          <w:b w:val="0"/>
        </w:rPr>
        <w:t>A proposta é compatível com uma discussão democrática somente se aceitar pluralismo, oposição, alternância de governo, liberdade de expressão e controle judicial. A Constituição brasileira protege a dignidade, os valores sociais do trabalho e da livre iniciativa, o pluralismo político e direitos fundamentais. A proteção do bem comum não concede autorização irrestrita para eliminar propriedade, contratos ou liberdades. [1]</w:t>
      </w:r>
    </w:p>
    <w:p>
      <w:r>
        <w:rPr>
          <w:b w:val="0"/>
        </w:rPr>
        <w:t>Não há, nesta edição, comprovação de superioridade do SMD-4 em relação a modelos existentes. Sua qualidade dependerá de efeitos observáveis, de custos de implementação e da possibilidade de abandonar instrumentos que falhem. Uma ideia permanece legítima quando pode ser criticada sem que o crítico perca direitos ou acesso a serviços.</w:t>
      </w:r>
    </w:p>
    <w:p>
      <w:r>
        <w:rPr>
          <w:b/>
        </w:rPr>
        <w:t>Síntese:</w:t>
      </w:r>
      <w:r>
        <w:rPr>
          <w:b w:val="0"/>
        </w:rPr>
        <w:t xml:space="preserve"> usar a liga como linguagem de mobilidade, não como justificativa para fechar mercados ou hierarquizar a dignidade.</w:t>
      </w:r>
    </w:p>
    <w:p>
      <w:bookmarkStart w:id="1" w:name="ch1"/>
      <w:pPr>
        <w:pStyle w:val="Heading1"/>
      </w:pPr>
      <w:r>
        <w:t>2. Os cinco princípios constitucionais</w:t>
      </w:r>
      <w:bookmarkEnd w:id="1"/>
    </w:p>
    <w:p>
      <w:pPr>
        <w:pStyle w:val="Heading2"/>
      </w:pPr>
      <w:r>
        <w:t>Dignidade universal e oportunidade real</w:t>
      </w:r>
    </w:p>
    <w:p>
      <w:r>
        <w:rPr>
          <w:b w:val="0"/>
        </w:rPr>
        <w:t>O primeiro princípio é um piso de proteção: alimentação, moradia adequada, educação, saúde, mobilidade, acessibilidade e participação social. O segundo é mérito contextualizado. Não basta comparar resultados finais quando as condições de partida são radicalmente diferentes. O estudo do Banco Mundial sobre mobilidade entre gerações mostra a importância da origem familiar e das oportunidades; ele não valida a fórmula específica do SMD-4. [5]</w:t>
      </w:r>
    </w:p>
    <w:p>
      <w:r>
        <w:rPr>
          <w:b w:val="0"/>
        </w:rPr>
        <w:t>Uma política coerente deve separar apoio de recompensa. Apoio compensa necessidade e barreiras. Reconhecimento remunera responsabilidade e contribuição relevante. A pessoa que não pode trabalhar continua titular de direitos; o estudante que precisa de reforço não perde proteção; o trabalhador que cuida de um familiar não deve ser automaticamente considerado menos valioso.</w:t>
      </w:r>
    </w:p>
    <w:p>
      <w:pPr>
        <w:pStyle w:val="Heading2"/>
      </w:pPr>
      <w:r>
        <w:t>Mobilidade, delimitação e competição</w:t>
      </w:r>
    </w:p>
    <w:p>
      <w:r>
        <w:rPr>
          <w:b w:val="0"/>
        </w:rPr>
        <w:t>Mobilidade aberta significa que classificações podem mudar e que não são transmitidas como privilégios hereditários. Delimitação significa submeter concentração de poder a regras justificadas, proporcionais e revisáveis. Competição regulada significa impedir fraude, cartel e exploração sem abolir a descoberta de soluções por novos participantes.</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Princípio</w:t>
            </w:r>
          </w:p>
        </w:tc>
        <w:tc>
          <w:tcPr>
            <w:tcW w:type="dxa" w:w="3043"/>
            <w:vAlign w:val="center"/>
            <w:shd w:fill="142B40"/>
          </w:tcPr>
          <w:p>
            <w:pPr>
              <w:spacing w:after="80" w:before="80" w:line="252" w:lineRule="auto"/>
            </w:pPr>
            <w:r>
              <w:rPr>
                <w:rFonts w:ascii="Liberation Sans" w:hAnsi="Liberation Sans"/>
                <w:b/>
                <w:color w:val="FFFFFF"/>
                <w:sz w:val="19"/>
              </w:rPr>
              <w:t>Regra operacional</w:t>
            </w:r>
          </w:p>
        </w:tc>
        <w:tc>
          <w:tcPr>
            <w:tcW w:type="dxa" w:w="3043"/>
            <w:vAlign w:val="center"/>
            <w:shd w:fill="142B40"/>
          </w:tcPr>
          <w:p>
            <w:pPr>
              <w:spacing w:after="80" w:before="80" w:line="252" w:lineRule="auto"/>
            </w:pPr>
            <w:r>
              <w:rPr>
                <w:rFonts w:ascii="Liberation Sans" w:hAnsi="Liberation Sans"/>
                <w:b/>
                <w:color w:val="FFFFFF"/>
                <w:sz w:val="19"/>
              </w:rPr>
              <w:t>Sinal de violação</w:t>
            </w:r>
          </w:p>
        </w:tc>
      </w:tr>
      <w:tr>
        <w:trPr>
          <w:cantSplit/>
        </w:trPr>
        <w:tc>
          <w:tcPr>
            <w:tcW w:type="dxa" w:w="3043"/>
            <w:vAlign w:val="center"/>
          </w:tcPr>
          <w:p>
            <w:pPr>
              <w:spacing w:after="80" w:before="80" w:line="252" w:lineRule="auto"/>
            </w:pPr>
            <w:r>
              <w:rPr>
                <w:rFonts w:ascii="Liberation Sans" w:hAnsi="Liberation Sans"/>
                <w:b w:val="0"/>
                <w:sz w:val="19"/>
              </w:rPr>
              <w:t>Dignidade</w:t>
            </w:r>
          </w:p>
        </w:tc>
        <w:tc>
          <w:tcPr>
            <w:tcW w:type="dxa" w:w="3043"/>
            <w:vAlign w:val="center"/>
          </w:tcPr>
          <w:p>
            <w:pPr>
              <w:spacing w:after="80" w:before="80" w:line="252" w:lineRule="auto"/>
            </w:pPr>
            <w:r>
              <w:rPr>
                <w:rFonts w:ascii="Liberation Sans" w:hAnsi="Liberation Sans"/>
                <w:b w:val="0"/>
                <w:sz w:val="19"/>
              </w:rPr>
              <w:t>Serviços básicos independem da nota</w:t>
            </w:r>
          </w:p>
        </w:tc>
        <w:tc>
          <w:tcPr>
            <w:tcW w:type="dxa" w:w="3043"/>
            <w:vAlign w:val="center"/>
          </w:tcPr>
          <w:p>
            <w:pPr>
              <w:spacing w:after="80" w:before="80" w:line="252" w:lineRule="auto"/>
            </w:pPr>
            <w:r>
              <w:rPr>
                <w:rFonts w:ascii="Liberation Sans" w:hAnsi="Liberation Sans"/>
                <w:b w:val="0"/>
                <w:sz w:val="19"/>
              </w:rPr>
              <w:t>Rebaixamento causa privação essencial</w:t>
            </w:r>
          </w:p>
        </w:tc>
      </w:tr>
      <w:tr>
        <w:trPr>
          <w:cantSplit/>
        </w:trPr>
        <w:tc>
          <w:tcPr>
            <w:tcW w:type="dxa" w:w="3043"/>
            <w:vAlign w:val="center"/>
          </w:tcPr>
          <w:p>
            <w:pPr>
              <w:spacing w:after="80" w:before="80" w:line="252" w:lineRule="auto"/>
            </w:pPr>
            <w:r>
              <w:rPr>
                <w:rFonts w:ascii="Liberation Sans" w:hAnsi="Liberation Sans"/>
                <w:b w:val="0"/>
                <w:sz w:val="19"/>
              </w:rPr>
              <w:t>Oportunidade</w:t>
            </w:r>
          </w:p>
        </w:tc>
        <w:tc>
          <w:tcPr>
            <w:tcW w:type="dxa" w:w="3043"/>
            <w:vAlign w:val="center"/>
          </w:tcPr>
          <w:p>
            <w:pPr>
              <w:spacing w:after="80" w:before="80" w:line="252" w:lineRule="auto"/>
            </w:pPr>
            <w:r>
              <w:rPr>
                <w:rFonts w:ascii="Liberation Sans" w:hAnsi="Liberation Sans"/>
                <w:b w:val="0"/>
                <w:sz w:val="19"/>
              </w:rPr>
              <w:t>Apoio proporcional às barreiras</w:t>
            </w:r>
          </w:p>
        </w:tc>
        <w:tc>
          <w:tcPr>
            <w:tcW w:type="dxa" w:w="3043"/>
            <w:vAlign w:val="center"/>
          </w:tcPr>
          <w:p>
            <w:pPr>
              <w:spacing w:after="80" w:before="80" w:line="252" w:lineRule="auto"/>
            </w:pPr>
            <w:r>
              <w:rPr>
                <w:rFonts w:ascii="Liberation Sans" w:hAnsi="Liberation Sans"/>
                <w:b w:val="0"/>
                <w:sz w:val="19"/>
              </w:rPr>
              <w:t>Resultado bruto é tratado como mérito puro</w:t>
            </w:r>
          </w:p>
        </w:tc>
      </w:tr>
      <w:tr>
        <w:trPr>
          <w:cantSplit/>
        </w:trPr>
        <w:tc>
          <w:tcPr>
            <w:tcW w:type="dxa" w:w="3043"/>
            <w:vAlign w:val="center"/>
          </w:tcPr>
          <w:p>
            <w:pPr>
              <w:spacing w:after="80" w:before="80" w:line="252" w:lineRule="auto"/>
            </w:pPr>
            <w:r>
              <w:rPr>
                <w:rFonts w:ascii="Liberation Sans" w:hAnsi="Liberation Sans"/>
                <w:b w:val="0"/>
                <w:sz w:val="19"/>
              </w:rPr>
              <w:t>Mobilidade</w:t>
            </w:r>
          </w:p>
        </w:tc>
        <w:tc>
          <w:tcPr>
            <w:tcW w:type="dxa" w:w="3043"/>
            <w:vAlign w:val="center"/>
          </w:tcPr>
          <w:p>
            <w:pPr>
              <w:spacing w:after="80" w:before="80" w:line="252" w:lineRule="auto"/>
            </w:pPr>
            <w:r>
              <w:rPr>
                <w:rFonts w:ascii="Liberation Sans" w:hAnsi="Liberation Sans"/>
                <w:b w:val="0"/>
                <w:sz w:val="19"/>
              </w:rPr>
              <w:t>Reavaliação e novas portas de entrada</w:t>
            </w:r>
          </w:p>
        </w:tc>
        <w:tc>
          <w:tcPr>
            <w:tcW w:type="dxa" w:w="3043"/>
            <w:vAlign w:val="center"/>
          </w:tcPr>
          <w:p>
            <w:pPr>
              <w:spacing w:after="80" w:before="80" w:line="252" w:lineRule="auto"/>
            </w:pPr>
            <w:r>
              <w:rPr>
                <w:rFonts w:ascii="Liberation Sans" w:hAnsi="Liberation Sans"/>
                <w:b w:val="0"/>
                <w:sz w:val="19"/>
              </w:rPr>
              <w:t>Origem familiar fixa a posição</w:t>
            </w:r>
          </w:p>
        </w:tc>
      </w:tr>
      <w:tr>
        <w:trPr>
          <w:cantSplit/>
        </w:trPr>
        <w:tc>
          <w:tcPr>
            <w:tcW w:type="dxa" w:w="3043"/>
            <w:vAlign w:val="center"/>
          </w:tcPr>
          <w:p>
            <w:pPr>
              <w:spacing w:after="80" w:before="80" w:line="252" w:lineRule="auto"/>
            </w:pPr>
            <w:r>
              <w:rPr>
                <w:rFonts w:ascii="Liberation Sans" w:hAnsi="Liberation Sans"/>
                <w:b w:val="0"/>
                <w:sz w:val="19"/>
              </w:rPr>
              <w:t>Delimitação</w:t>
            </w:r>
          </w:p>
        </w:tc>
        <w:tc>
          <w:tcPr>
            <w:tcW w:type="dxa" w:w="3043"/>
            <w:vAlign w:val="center"/>
          </w:tcPr>
          <w:p>
            <w:pPr>
              <w:spacing w:after="80" w:before="80" w:line="252" w:lineRule="auto"/>
            </w:pPr>
            <w:r>
              <w:rPr>
                <w:rFonts w:ascii="Liberation Sans" w:hAnsi="Liberation Sans"/>
                <w:b w:val="0"/>
                <w:sz w:val="19"/>
              </w:rPr>
              <w:t>Limites motivados e com recurso</w:t>
            </w:r>
          </w:p>
        </w:tc>
        <w:tc>
          <w:tcPr>
            <w:tcW w:type="dxa" w:w="3043"/>
            <w:vAlign w:val="center"/>
          </w:tcPr>
          <w:p>
            <w:pPr>
              <w:spacing w:after="80" w:before="80" w:line="252" w:lineRule="auto"/>
            </w:pPr>
            <w:r>
              <w:rPr>
                <w:rFonts w:ascii="Liberation Sans" w:hAnsi="Liberation Sans"/>
                <w:b w:val="0"/>
                <w:sz w:val="19"/>
              </w:rPr>
              <w:t>Confisco ou punição sem processo</w:t>
            </w:r>
          </w:p>
        </w:tc>
      </w:tr>
      <w:tr>
        <w:trPr>
          <w:cantSplit/>
        </w:trPr>
        <w:tc>
          <w:tcPr>
            <w:tcW w:type="dxa" w:w="3043"/>
            <w:vAlign w:val="center"/>
          </w:tcPr>
          <w:p>
            <w:pPr>
              <w:spacing w:after="80" w:before="80" w:line="252" w:lineRule="auto"/>
            </w:pPr>
            <w:r>
              <w:rPr>
                <w:rFonts w:ascii="Liberation Sans" w:hAnsi="Liberation Sans"/>
                <w:b w:val="0"/>
                <w:sz w:val="19"/>
              </w:rPr>
              <w:t>Competição</w:t>
            </w:r>
          </w:p>
        </w:tc>
        <w:tc>
          <w:tcPr>
            <w:tcW w:type="dxa" w:w="3043"/>
            <w:vAlign w:val="center"/>
          </w:tcPr>
          <w:p>
            <w:pPr>
              <w:spacing w:after="80" w:before="80" w:line="252" w:lineRule="auto"/>
            </w:pPr>
            <w:r>
              <w:rPr>
                <w:rFonts w:ascii="Liberation Sans" w:hAnsi="Liberation Sans"/>
                <w:b w:val="0"/>
                <w:sz w:val="19"/>
              </w:rPr>
              <w:t>Entrada aberta e fiscalização</w:t>
            </w:r>
          </w:p>
        </w:tc>
        <w:tc>
          <w:tcPr>
            <w:tcW w:type="dxa" w:w="3043"/>
            <w:vAlign w:val="center"/>
          </w:tcPr>
          <w:p>
            <w:pPr>
              <w:spacing w:after="80" w:before="80" w:line="252" w:lineRule="auto"/>
            </w:pPr>
            <w:r>
              <w:rPr>
                <w:rFonts w:ascii="Liberation Sans" w:hAnsi="Liberation Sans"/>
                <w:b w:val="0"/>
                <w:sz w:val="19"/>
              </w:rPr>
              <w:t>Liga se torna cartel protegido</w:t>
            </w:r>
          </w:p>
        </w:tc>
      </w:tr>
    </w:tbl>
    <w:p>
      <w:pPr>
        <w:spacing w:after="0"/>
      </w:pPr>
    </w:p>
    <w:p>
      <w:pPr>
        <w:pStyle w:val="Heading2"/>
      </w:pPr>
      <w:r>
        <w:t>Resolver conflitos entre princípios</w:t>
      </w:r>
    </w:p>
    <w:p>
      <w:r>
        <w:rPr>
          <w:b w:val="0"/>
        </w:rPr>
        <w:t>Nenhum princípio elimina os demais. Um teto muito baixo pode frustrar o incentivo que pretendia preservar. Um bônus muito alto pode comprometer o piso de proteção. Uma auditoria excessivamente invasiva pode violar privacidade. Nesses conflitos, o procedimento proposto exige identificar a finalidade, comparar alternativas menos restritivas, estimar custos e efeitos distributivos e publicar a justificativa.</w:t>
      </w:r>
    </w:p>
    <w:p>
      <w:r>
        <w:rPr>
          <w:b w:val="0"/>
        </w:rPr>
        <w:t>O modelo não promete felicidade por decreto. Propõe condições materiais e liberdades que ampliem a possibilidade de uma vida satisfatória, reconhecendo que valores, preferências e projetos pessoais diferem. Também não presume que um algoritmo consiga representar, sozinho, justiça distributiva.</w:t>
      </w:r>
    </w:p>
    <w:p>
      <w:r>
        <w:rPr>
          <w:b/>
        </w:rPr>
        <w:t>Síntese:</w:t>
      </w:r>
      <w:r>
        <w:rPr>
          <w:b w:val="0"/>
        </w:rPr>
        <w:t xml:space="preserve"> direitos são incondicionais; incentivos são condicionados; os limites do Estado precisam ser tão explícitos quanto os limites das empresas.</w:t>
      </w:r>
    </w:p>
    <w:p>
      <w:bookmarkStart w:id="2" w:name="ch2"/>
      <w:pPr>
        <w:pStyle w:val="Heading1"/>
      </w:pPr>
      <w:r>
        <w:t>3. Sistema de divisões empresariais</w:t>
      </w:r>
      <w:bookmarkEnd w:id="2"/>
    </w:p>
    <w:p>
      <w:pPr>
        <w:pStyle w:val="Heading2"/>
      </w:pPr>
      <w:r>
        <w:t>Definir o mercado antes de contar empresas</w:t>
      </w:r>
    </w:p>
    <w:p>
      <w:r>
        <w:rPr>
          <w:b w:val="0"/>
        </w:rPr>
        <w:t>“Tecnologia” é uma categoria ampla demais para uma classificação única. Smartphones, computadores, serviços de nuvem, sistemas operacionais e reparação apresentam funções, custos e barreiras distintas. Uma empresa pode ser reconhecida em uma categoria e ter desempenho inferior em outra. A unidade avaliada deve ser uma combinação documentada de produto, serviço, região e período.</w:t>
      </w:r>
    </w:p>
    <w:p>
      <w:r>
        <w:rPr>
          <w:b w:val="0"/>
        </w:rPr>
        <w:t>A quantidade de oito empresas na Divisão A é uma preferência inicial de desenho, não uma conclusão científica. A OCDE recomenda avaliar restrições regulatórias e alternativas menos prejudiciais à concorrência. A legislação brasileira também reprime práticas com efeitos anticoncorrenciais. Esses fundamentos justificam testar uma liga de referência, não transformar oito vagas em monopólio legal. [2][3]</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Divisão proposta</w:t>
            </w:r>
          </w:p>
        </w:tc>
        <w:tc>
          <w:tcPr>
            <w:tcW w:type="dxa" w:w="3043"/>
            <w:vAlign w:val="center"/>
            <w:shd w:fill="142B40"/>
          </w:tcPr>
          <w:p>
            <w:pPr>
              <w:spacing w:after="80" w:before="80" w:line="252" w:lineRule="auto"/>
            </w:pPr>
            <w:r>
              <w:rPr>
                <w:rFonts w:ascii="Liberation Sans" w:hAnsi="Liberation Sans"/>
                <w:b/>
                <w:color w:val="FFFFFF"/>
                <w:sz w:val="19"/>
              </w:rPr>
              <w:t>Capacidade ilustrativa</w:t>
            </w:r>
          </w:p>
        </w:tc>
        <w:tc>
          <w:tcPr>
            <w:tcW w:type="dxa" w:w="3043"/>
            <w:vAlign w:val="center"/>
            <w:shd w:fill="142B40"/>
          </w:tcPr>
          <w:p>
            <w:pPr>
              <w:spacing w:after="80" w:before="80" w:line="252" w:lineRule="auto"/>
            </w:pPr>
            <w:r>
              <w:rPr>
                <w:rFonts w:ascii="Liberation Sans" w:hAnsi="Liberation Sans"/>
                <w:b/>
                <w:color w:val="FFFFFF"/>
                <w:sz w:val="19"/>
              </w:rPr>
              <w:t>Consequência permitida</w:t>
            </w:r>
          </w:p>
        </w:tc>
      </w:tr>
      <w:tr>
        <w:trPr>
          <w:cantSplit/>
        </w:trPr>
        <w:tc>
          <w:tcPr>
            <w:tcW w:type="dxa" w:w="3043"/>
            <w:vAlign w:val="center"/>
          </w:tcPr>
          <w:p>
            <w:pPr>
              <w:spacing w:after="80" w:before="80" w:line="252" w:lineRule="auto"/>
            </w:pPr>
            <w:r>
              <w:rPr>
                <w:rFonts w:ascii="Liberation Sans" w:hAnsi="Liberation Sans"/>
                <w:b w:val="0"/>
                <w:sz w:val="19"/>
              </w:rPr>
              <w:t>A — Referência</w:t>
            </w:r>
          </w:p>
        </w:tc>
        <w:tc>
          <w:tcPr>
            <w:tcW w:type="dxa" w:w="3043"/>
            <w:vAlign w:val="center"/>
          </w:tcPr>
          <w:p>
            <w:pPr>
              <w:spacing w:after="80" w:before="80" w:line="252" w:lineRule="auto"/>
            </w:pPr>
            <w:r>
              <w:rPr>
                <w:rFonts w:ascii="Liberation Sans" w:hAnsi="Liberation Sans"/>
                <w:b w:val="0"/>
                <w:sz w:val="19"/>
              </w:rPr>
              <w:t>Até 8 por categoria</w:t>
            </w:r>
          </w:p>
        </w:tc>
        <w:tc>
          <w:tcPr>
            <w:tcW w:type="dxa" w:w="3043"/>
            <w:vAlign w:val="center"/>
          </w:tcPr>
          <w:p>
            <w:pPr>
              <w:spacing w:after="80" w:before="80" w:line="252" w:lineRule="auto"/>
            </w:pPr>
            <w:r>
              <w:rPr>
                <w:rFonts w:ascii="Liberation Sans" w:hAnsi="Liberation Sans"/>
                <w:b w:val="0"/>
                <w:sz w:val="19"/>
              </w:rPr>
              <w:t>Reconhecimento público de desempenho auditado</w:t>
            </w:r>
          </w:p>
        </w:tc>
      </w:tr>
      <w:tr>
        <w:trPr>
          <w:cantSplit/>
        </w:trPr>
        <w:tc>
          <w:tcPr>
            <w:tcW w:type="dxa" w:w="3043"/>
            <w:vAlign w:val="center"/>
          </w:tcPr>
          <w:p>
            <w:pPr>
              <w:spacing w:after="80" w:before="80" w:line="252" w:lineRule="auto"/>
            </w:pPr>
            <w:r>
              <w:rPr>
                <w:rFonts w:ascii="Liberation Sans" w:hAnsi="Liberation Sans"/>
                <w:b w:val="0"/>
                <w:sz w:val="19"/>
              </w:rPr>
              <w:t>B — Alta competitividade</w:t>
            </w:r>
          </w:p>
        </w:tc>
        <w:tc>
          <w:tcPr>
            <w:tcW w:type="dxa" w:w="3043"/>
            <w:vAlign w:val="center"/>
          </w:tcPr>
          <w:p>
            <w:pPr>
              <w:spacing w:after="80" w:before="80" w:line="252" w:lineRule="auto"/>
            </w:pPr>
            <w:r>
              <w:rPr>
                <w:rFonts w:ascii="Liberation Sans" w:hAnsi="Liberation Sans"/>
                <w:b w:val="0"/>
                <w:sz w:val="19"/>
              </w:rPr>
              <w:t>Até 16</w:t>
            </w:r>
          </w:p>
        </w:tc>
        <w:tc>
          <w:tcPr>
            <w:tcW w:type="dxa" w:w="3043"/>
            <w:vAlign w:val="center"/>
          </w:tcPr>
          <w:p>
            <w:pPr>
              <w:spacing w:after="80" w:before="80" w:line="252" w:lineRule="auto"/>
            </w:pPr>
            <w:r>
              <w:rPr>
                <w:rFonts w:ascii="Liberation Sans" w:hAnsi="Liberation Sans"/>
                <w:b w:val="0"/>
                <w:sz w:val="19"/>
              </w:rPr>
              <w:t>Acompanhamento e elegibilidade à promoção</w:t>
            </w:r>
          </w:p>
        </w:tc>
      </w:tr>
      <w:tr>
        <w:trPr>
          <w:cantSplit/>
        </w:trPr>
        <w:tc>
          <w:tcPr>
            <w:tcW w:type="dxa" w:w="3043"/>
            <w:vAlign w:val="center"/>
          </w:tcPr>
          <w:p>
            <w:pPr>
              <w:spacing w:after="80" w:before="80" w:line="252" w:lineRule="auto"/>
            </w:pPr>
            <w:r>
              <w:rPr>
                <w:rFonts w:ascii="Liberation Sans" w:hAnsi="Liberation Sans"/>
                <w:b w:val="0"/>
                <w:sz w:val="19"/>
              </w:rPr>
              <w:t>C — Desenvolvimento</w:t>
            </w:r>
          </w:p>
        </w:tc>
        <w:tc>
          <w:tcPr>
            <w:tcW w:type="dxa" w:w="3043"/>
            <w:vAlign w:val="center"/>
          </w:tcPr>
          <w:p>
            <w:pPr>
              <w:spacing w:after="80" w:before="80" w:line="252" w:lineRule="auto"/>
            </w:pPr>
            <w:r>
              <w:rPr>
                <w:rFonts w:ascii="Liberation Sans" w:hAnsi="Liberation Sans"/>
                <w:b w:val="0"/>
                <w:sz w:val="19"/>
              </w:rPr>
              <w:t>Até 32</w:t>
            </w:r>
          </w:p>
        </w:tc>
        <w:tc>
          <w:tcPr>
            <w:tcW w:type="dxa" w:w="3043"/>
            <w:vAlign w:val="center"/>
          </w:tcPr>
          <w:p>
            <w:pPr>
              <w:spacing w:after="80" w:before="80" w:line="252" w:lineRule="auto"/>
            </w:pPr>
            <w:r>
              <w:rPr>
                <w:rFonts w:ascii="Liberation Sans" w:hAnsi="Liberation Sans"/>
                <w:b w:val="0"/>
                <w:sz w:val="19"/>
              </w:rPr>
              <w:t>Plano de melhoria e consolidação</w:t>
            </w:r>
          </w:p>
        </w:tc>
      </w:tr>
      <w:tr>
        <w:trPr>
          <w:cantSplit/>
        </w:trPr>
        <w:tc>
          <w:tcPr>
            <w:tcW w:type="dxa" w:w="3043"/>
            <w:vAlign w:val="center"/>
          </w:tcPr>
          <w:p>
            <w:pPr>
              <w:spacing w:after="80" w:before="80" w:line="252" w:lineRule="auto"/>
            </w:pPr>
            <w:r>
              <w:rPr>
                <w:rFonts w:ascii="Liberation Sans" w:hAnsi="Liberation Sans"/>
                <w:b w:val="0"/>
                <w:sz w:val="19"/>
              </w:rPr>
              <w:t>D — Classificatória</w:t>
            </w:r>
          </w:p>
        </w:tc>
        <w:tc>
          <w:tcPr>
            <w:tcW w:type="dxa" w:w="3043"/>
            <w:vAlign w:val="center"/>
          </w:tcPr>
          <w:p>
            <w:pPr>
              <w:spacing w:after="80" w:before="80" w:line="252" w:lineRule="auto"/>
            </w:pPr>
            <w:r>
              <w:rPr>
                <w:rFonts w:ascii="Liberation Sans" w:hAnsi="Liberation Sans"/>
                <w:b w:val="0"/>
                <w:sz w:val="19"/>
              </w:rPr>
              <w:t>Grupos abertos, inclusive regionais</w:t>
            </w:r>
          </w:p>
        </w:tc>
        <w:tc>
          <w:tcPr>
            <w:tcW w:type="dxa" w:w="3043"/>
            <w:vAlign w:val="center"/>
          </w:tcPr>
          <w:p>
            <w:pPr>
              <w:spacing w:after="80" w:before="80" w:line="252" w:lineRule="auto"/>
            </w:pPr>
            <w:r>
              <w:rPr>
                <w:rFonts w:ascii="Liberation Sans" w:hAnsi="Liberation Sans"/>
                <w:b w:val="0"/>
                <w:sz w:val="19"/>
              </w:rPr>
              <w:t>Entrada de novos concorrentes</w:t>
            </w:r>
          </w:p>
        </w:tc>
      </w:tr>
    </w:tbl>
    <w:p>
      <w:pPr>
        <w:spacing w:after="0"/>
      </w:pPr>
    </w:p>
    <w:p>
      <w:pPr>
        <w:pStyle w:val="Heading2"/>
      </w:pPr>
      <w:r>
        <w:t>Promoção sem expulsar a concorrência</w:t>
      </w:r>
    </w:p>
    <w:p>
      <w:r>
        <w:rPr>
          <w:b w:val="0"/>
        </w:rPr>
        <w:t>As notas seriam atualizadas mensalmente, mas a revisão de divisão ocorreria em ciclos mais longos. Isso reduz a interferência de ruído mensal. A proposta inicial considera consolidação trimestral e promoção anual, sempre com dados suficientes, divulgação das regras e recurso. Esses prazos são parâmetros a testar, não condições comprovadamente ótimas.</w:t>
      </w:r>
    </w:p>
    <w:p>
      <w:r>
        <w:rPr>
          <w:b w:val="0"/>
        </w:rPr>
        <w:t>Uma empresa rebaixada não perderia automaticamente o direito de operar. A suspensão dependeria de fundamento específico, como risco à segurança ou infração legal, e do procedimento competente. Um título de referência não substituiria licenças, registros sanitários, supervisão bancária ou obrigações trabalhistas.</w:t>
      </w:r>
    </w:p>
    <w:p>
      <w:pPr>
        <w:pStyle w:val="Heading2"/>
      </w:pPr>
      <w:r>
        <w:t>Como evitar o clube fechado</w:t>
      </w:r>
    </w:p>
    <w:p>
      <w:r>
        <w:rPr>
          <w:b w:val="0"/>
        </w:rPr>
        <w:t>Grupos econômicos relacionados não poderiam ocupar várias vagas para simular concorrência. A classificação precisaria identificar controle comum e evitar contagem artificial de marcas. Empresas novas receberiam uma categoria de “dados insuficientes”, não nota zero. Importadores, cooperativas e fornecedores regionais teriam meios proporcionais de comprovar qualidade.</w:t>
      </w:r>
    </w:p>
    <w:p>
      <w:r>
        <w:rPr>
          <w:b w:val="0"/>
        </w:rPr>
        <w:t>Outra proteção seria não vincular todo o consumo público ao ranking. Compras governamentais exigem adequação ao objeto, preço, competição e regras próprias; o rótulo “A” não é licença para contratação automática. A liga deve informar escolhas e incentivar melhoria, não distribuir mercados a um grupo de incumbentes.</w:t>
      </w:r>
    </w:p>
    <w:p>
      <w:r>
        <w:rPr>
          <w:b/>
        </w:rPr>
        <w:t>Síntese:</w:t>
      </w:r>
      <w:r>
        <w:rPr>
          <w:b w:val="0"/>
        </w:rPr>
        <w:t xml:space="preserve"> elite informacional limitada; participação econômica aberta.</w:t>
      </w:r>
    </w:p>
    <w:p>
      <w:bookmarkStart w:id="3" w:name="ch3"/>
      <w:pPr>
        <w:pStyle w:val="Heading1"/>
      </w:pPr>
      <w:r>
        <w:t>4. Algoritmo de pontuação das empresas</w:t>
      </w:r>
      <w:bookmarkEnd w:id="3"/>
    </w:p>
    <w:p>
      <w:pPr>
        <w:pStyle w:val="Heading2"/>
      </w:pPr>
      <w:r>
        <w:t>Fórmula inicial e significado dos pesos</w:t>
      </w:r>
    </w:p>
    <w:p>
      <w:r>
        <w:rPr>
          <w:b w:val="0"/>
        </w:rPr>
        <w:t>A Nota Empresarial Delimitada, NED, varia entre zero e cem. Cada componente também deve estar na escala de zero a cem. Os pesos apresentados abaixo somam 100% e são escolhas normativas preliminares. Não resultam de validação estatística ou consenso social.</w:t>
      </w:r>
    </w:p>
    <w:p>
      <w:r>
        <w:rPr>
          <w:b w:val="0"/>
        </w:rPr>
        <w:t>NED = limitar entre 0 e 100 [0,20Q + 0,15PJ + 0,15I + 0,12R + 0,15T + 0,10SA + 0,08G + 0,05A − P].</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Componente</w:t>
            </w:r>
          </w:p>
        </w:tc>
        <w:tc>
          <w:tcPr>
            <w:tcW w:type="dxa" w:w="3043"/>
            <w:vAlign w:val="center"/>
            <w:shd w:fill="142B40"/>
          </w:tcPr>
          <w:p>
            <w:pPr>
              <w:spacing w:after="80" w:before="80" w:line="252" w:lineRule="auto"/>
            </w:pPr>
            <w:r>
              <w:rPr>
                <w:rFonts w:ascii="Liberation Sans" w:hAnsi="Liberation Sans"/>
                <w:b/>
                <w:color w:val="FFFFFF"/>
                <w:sz w:val="19"/>
              </w:rPr>
              <w:t>Peso</w:t>
            </w:r>
          </w:p>
        </w:tc>
        <w:tc>
          <w:tcPr>
            <w:tcW w:type="dxa" w:w="3043"/>
            <w:vAlign w:val="center"/>
            <w:shd w:fill="142B40"/>
          </w:tcPr>
          <w:p>
            <w:pPr>
              <w:spacing w:after="80" w:before="80" w:line="252" w:lineRule="auto"/>
            </w:pPr>
            <w:r>
              <w:rPr>
                <w:rFonts w:ascii="Liberation Sans" w:hAnsi="Liberation Sans"/>
                <w:b/>
                <w:color w:val="FFFFFF"/>
                <w:sz w:val="19"/>
              </w:rPr>
              <w:t>Evidência possível</w:t>
            </w:r>
          </w:p>
        </w:tc>
      </w:tr>
      <w:tr>
        <w:trPr>
          <w:cantSplit/>
        </w:trPr>
        <w:tc>
          <w:tcPr>
            <w:tcW w:type="dxa" w:w="3043"/>
            <w:vAlign w:val="center"/>
          </w:tcPr>
          <w:p>
            <w:pPr>
              <w:spacing w:after="80" w:before="80" w:line="252" w:lineRule="auto"/>
            </w:pPr>
            <w:r>
              <w:rPr>
                <w:rFonts w:ascii="Liberation Sans" w:hAnsi="Liberation Sans"/>
                <w:b w:val="0"/>
                <w:sz w:val="19"/>
              </w:rPr>
              <w:t>Q — Qualidade</w:t>
            </w:r>
          </w:p>
        </w:tc>
        <w:tc>
          <w:tcPr>
            <w:tcW w:type="dxa" w:w="3043"/>
            <w:vAlign w:val="center"/>
          </w:tcPr>
          <w:p>
            <w:pPr>
              <w:spacing w:after="80" w:before="80" w:line="252" w:lineRule="auto"/>
            </w:pPr>
            <w:r>
              <w:rPr>
                <w:rFonts w:ascii="Liberation Sans" w:hAnsi="Liberation Sans"/>
                <w:b w:val="0"/>
                <w:sz w:val="19"/>
              </w:rPr>
              <w:t>20%</w:t>
            </w:r>
          </w:p>
        </w:tc>
        <w:tc>
          <w:tcPr>
            <w:tcW w:type="dxa" w:w="3043"/>
            <w:vAlign w:val="center"/>
          </w:tcPr>
          <w:p>
            <w:pPr>
              <w:spacing w:after="80" w:before="80" w:line="252" w:lineRule="auto"/>
            </w:pPr>
            <w:r>
              <w:rPr>
                <w:rFonts w:ascii="Liberation Sans" w:hAnsi="Liberation Sans"/>
                <w:b w:val="0"/>
                <w:sz w:val="19"/>
              </w:rPr>
              <w:t>Testes independentes, defeitos e vida útil</w:t>
            </w:r>
          </w:p>
        </w:tc>
      </w:tr>
      <w:tr>
        <w:trPr>
          <w:cantSplit/>
        </w:trPr>
        <w:tc>
          <w:tcPr>
            <w:tcW w:type="dxa" w:w="3043"/>
            <w:vAlign w:val="center"/>
          </w:tcPr>
          <w:p>
            <w:pPr>
              <w:spacing w:after="80" w:before="80" w:line="252" w:lineRule="auto"/>
            </w:pPr>
            <w:r>
              <w:rPr>
                <w:rFonts w:ascii="Liberation Sans" w:hAnsi="Liberation Sans"/>
                <w:b w:val="0"/>
                <w:sz w:val="19"/>
              </w:rPr>
              <w:t>PJ — Preço justo</w:t>
            </w:r>
          </w:p>
        </w:tc>
        <w:tc>
          <w:tcPr>
            <w:tcW w:type="dxa" w:w="3043"/>
            <w:vAlign w:val="center"/>
          </w:tcPr>
          <w:p>
            <w:pPr>
              <w:spacing w:after="80" w:before="80" w:line="252" w:lineRule="auto"/>
            </w:pPr>
            <w:r>
              <w:rPr>
                <w:rFonts w:ascii="Liberation Sans" w:hAnsi="Liberation Sans"/>
                <w:b w:val="0"/>
                <w:sz w:val="19"/>
              </w:rPr>
              <w:t>15%</w:t>
            </w:r>
          </w:p>
        </w:tc>
        <w:tc>
          <w:tcPr>
            <w:tcW w:type="dxa" w:w="3043"/>
            <w:vAlign w:val="center"/>
          </w:tcPr>
          <w:p>
            <w:pPr>
              <w:spacing w:after="80" w:before="80" w:line="252" w:lineRule="auto"/>
            </w:pPr>
            <w:r>
              <w:rPr>
                <w:rFonts w:ascii="Liberation Sans" w:hAnsi="Liberation Sans"/>
                <w:b w:val="0"/>
                <w:sz w:val="19"/>
              </w:rPr>
              <w:t>Custo total de propriedade comparável</w:t>
            </w:r>
          </w:p>
        </w:tc>
      </w:tr>
      <w:tr>
        <w:trPr>
          <w:cantSplit/>
        </w:trPr>
        <w:tc>
          <w:tcPr>
            <w:tcW w:type="dxa" w:w="3043"/>
            <w:vAlign w:val="center"/>
          </w:tcPr>
          <w:p>
            <w:pPr>
              <w:spacing w:after="80" w:before="80" w:line="252" w:lineRule="auto"/>
            </w:pPr>
            <w:r>
              <w:rPr>
                <w:rFonts w:ascii="Liberation Sans" w:hAnsi="Liberation Sans"/>
                <w:b w:val="0"/>
                <w:sz w:val="19"/>
              </w:rPr>
              <w:t>I — Inovação</w:t>
            </w:r>
          </w:p>
        </w:tc>
        <w:tc>
          <w:tcPr>
            <w:tcW w:type="dxa" w:w="3043"/>
            <w:vAlign w:val="center"/>
          </w:tcPr>
          <w:p>
            <w:pPr>
              <w:spacing w:after="80" w:before="80" w:line="252" w:lineRule="auto"/>
            </w:pPr>
            <w:r>
              <w:rPr>
                <w:rFonts w:ascii="Liberation Sans" w:hAnsi="Liberation Sans"/>
                <w:b w:val="0"/>
                <w:sz w:val="19"/>
              </w:rPr>
              <w:t>15%</w:t>
            </w:r>
          </w:p>
        </w:tc>
        <w:tc>
          <w:tcPr>
            <w:tcW w:type="dxa" w:w="3043"/>
            <w:vAlign w:val="center"/>
          </w:tcPr>
          <w:p>
            <w:pPr>
              <w:spacing w:after="80" w:before="80" w:line="252" w:lineRule="auto"/>
            </w:pPr>
            <w:r>
              <w:rPr>
                <w:rFonts w:ascii="Liberation Sans" w:hAnsi="Liberation Sans"/>
                <w:b w:val="0"/>
                <w:sz w:val="19"/>
              </w:rPr>
              <w:t>Melhoria útil demonstrada, não apenas patente</w:t>
            </w:r>
          </w:p>
        </w:tc>
      </w:tr>
      <w:tr>
        <w:trPr>
          <w:cantSplit/>
        </w:trPr>
        <w:tc>
          <w:tcPr>
            <w:tcW w:type="dxa" w:w="3043"/>
            <w:vAlign w:val="center"/>
          </w:tcPr>
          <w:p>
            <w:pPr>
              <w:spacing w:after="80" w:before="80" w:line="252" w:lineRule="auto"/>
            </w:pPr>
            <w:r>
              <w:rPr>
                <w:rFonts w:ascii="Liberation Sans" w:hAnsi="Liberation Sans"/>
                <w:b w:val="0"/>
                <w:sz w:val="19"/>
              </w:rPr>
              <w:t>R — Resolução</w:t>
            </w:r>
          </w:p>
        </w:tc>
        <w:tc>
          <w:tcPr>
            <w:tcW w:type="dxa" w:w="3043"/>
            <w:vAlign w:val="center"/>
          </w:tcPr>
          <w:p>
            <w:pPr>
              <w:spacing w:after="80" w:before="80" w:line="252" w:lineRule="auto"/>
            </w:pPr>
            <w:r>
              <w:rPr>
                <w:rFonts w:ascii="Liberation Sans" w:hAnsi="Liberation Sans"/>
                <w:b w:val="0"/>
                <w:sz w:val="19"/>
              </w:rPr>
              <w:t>12%</w:t>
            </w:r>
          </w:p>
        </w:tc>
        <w:tc>
          <w:tcPr>
            <w:tcW w:type="dxa" w:w="3043"/>
            <w:vAlign w:val="center"/>
          </w:tcPr>
          <w:p>
            <w:pPr>
              <w:spacing w:after="80" w:before="80" w:line="252" w:lineRule="auto"/>
            </w:pPr>
            <w:r>
              <w:rPr>
                <w:rFonts w:ascii="Liberation Sans" w:hAnsi="Liberation Sans"/>
                <w:b w:val="0"/>
                <w:sz w:val="19"/>
              </w:rPr>
              <w:t>Prazo e efetividade da solução de problemas</w:t>
            </w:r>
          </w:p>
        </w:tc>
      </w:tr>
      <w:tr>
        <w:trPr>
          <w:cantSplit/>
        </w:trPr>
        <w:tc>
          <w:tcPr>
            <w:tcW w:type="dxa" w:w="3043"/>
            <w:vAlign w:val="center"/>
          </w:tcPr>
          <w:p>
            <w:pPr>
              <w:spacing w:after="80" w:before="80" w:line="252" w:lineRule="auto"/>
            </w:pPr>
            <w:r>
              <w:rPr>
                <w:rFonts w:ascii="Liberation Sans" w:hAnsi="Liberation Sans"/>
                <w:b w:val="0"/>
                <w:sz w:val="19"/>
              </w:rPr>
              <w:t>T — Trabalho digno</w:t>
            </w:r>
          </w:p>
        </w:tc>
        <w:tc>
          <w:tcPr>
            <w:tcW w:type="dxa" w:w="3043"/>
            <w:vAlign w:val="center"/>
          </w:tcPr>
          <w:p>
            <w:pPr>
              <w:spacing w:after="80" w:before="80" w:line="252" w:lineRule="auto"/>
            </w:pPr>
            <w:r>
              <w:rPr>
                <w:rFonts w:ascii="Liberation Sans" w:hAnsi="Liberation Sans"/>
                <w:b w:val="0"/>
                <w:sz w:val="19"/>
              </w:rPr>
              <w:t>15%</w:t>
            </w:r>
          </w:p>
        </w:tc>
        <w:tc>
          <w:tcPr>
            <w:tcW w:type="dxa" w:w="3043"/>
            <w:vAlign w:val="center"/>
          </w:tcPr>
          <w:p>
            <w:pPr>
              <w:spacing w:after="80" w:before="80" w:line="252" w:lineRule="auto"/>
            </w:pPr>
            <w:r>
              <w:rPr>
                <w:rFonts w:ascii="Liberation Sans" w:hAnsi="Liberation Sans"/>
                <w:b w:val="0"/>
                <w:sz w:val="19"/>
              </w:rPr>
              <w:t>Segurança, condições e escuta protegida</w:t>
            </w:r>
          </w:p>
        </w:tc>
      </w:tr>
      <w:tr>
        <w:trPr>
          <w:cantSplit/>
        </w:trPr>
        <w:tc>
          <w:tcPr>
            <w:tcW w:type="dxa" w:w="3043"/>
            <w:vAlign w:val="center"/>
          </w:tcPr>
          <w:p>
            <w:pPr>
              <w:spacing w:after="80" w:before="80" w:line="252" w:lineRule="auto"/>
            </w:pPr>
            <w:r>
              <w:rPr>
                <w:rFonts w:ascii="Liberation Sans" w:hAnsi="Liberation Sans"/>
                <w:b w:val="0"/>
                <w:sz w:val="19"/>
              </w:rPr>
              <w:t>SA — Socioambiental</w:t>
            </w:r>
          </w:p>
        </w:tc>
        <w:tc>
          <w:tcPr>
            <w:tcW w:type="dxa" w:w="3043"/>
            <w:vAlign w:val="center"/>
          </w:tcPr>
          <w:p>
            <w:pPr>
              <w:spacing w:after="80" w:before="80" w:line="252" w:lineRule="auto"/>
            </w:pPr>
            <w:r>
              <w:rPr>
                <w:rFonts w:ascii="Liberation Sans" w:hAnsi="Liberation Sans"/>
                <w:b w:val="0"/>
                <w:sz w:val="19"/>
              </w:rPr>
              <w:t>10%</w:t>
            </w:r>
          </w:p>
        </w:tc>
        <w:tc>
          <w:tcPr>
            <w:tcW w:type="dxa" w:w="3043"/>
            <w:vAlign w:val="center"/>
          </w:tcPr>
          <w:p>
            <w:pPr>
              <w:spacing w:after="80" w:before="80" w:line="252" w:lineRule="auto"/>
            </w:pPr>
            <w:r>
              <w:rPr>
                <w:rFonts w:ascii="Liberation Sans" w:hAnsi="Liberation Sans"/>
                <w:b w:val="0"/>
                <w:sz w:val="19"/>
              </w:rPr>
              <w:t>Impactos adicionais verificáveis</w:t>
            </w:r>
          </w:p>
        </w:tc>
      </w:tr>
      <w:tr>
        <w:trPr>
          <w:cantSplit/>
        </w:trPr>
        <w:tc>
          <w:tcPr>
            <w:tcW w:type="dxa" w:w="3043"/>
            <w:vAlign w:val="center"/>
          </w:tcPr>
          <w:p>
            <w:pPr>
              <w:spacing w:after="80" w:before="80" w:line="252" w:lineRule="auto"/>
            </w:pPr>
            <w:r>
              <w:rPr>
                <w:rFonts w:ascii="Liberation Sans" w:hAnsi="Liberation Sans"/>
                <w:b w:val="0"/>
                <w:sz w:val="19"/>
              </w:rPr>
              <w:t>G — Governança</w:t>
            </w:r>
          </w:p>
        </w:tc>
        <w:tc>
          <w:tcPr>
            <w:tcW w:type="dxa" w:w="3043"/>
            <w:vAlign w:val="center"/>
          </w:tcPr>
          <w:p>
            <w:pPr>
              <w:spacing w:after="80" w:before="80" w:line="252" w:lineRule="auto"/>
            </w:pPr>
            <w:r>
              <w:rPr>
                <w:rFonts w:ascii="Liberation Sans" w:hAnsi="Liberation Sans"/>
                <w:b w:val="0"/>
                <w:sz w:val="19"/>
              </w:rPr>
              <w:t>8%</w:t>
            </w:r>
          </w:p>
        </w:tc>
        <w:tc>
          <w:tcPr>
            <w:tcW w:type="dxa" w:w="3043"/>
            <w:vAlign w:val="center"/>
          </w:tcPr>
          <w:p>
            <w:pPr>
              <w:spacing w:after="80" w:before="80" w:line="252" w:lineRule="auto"/>
            </w:pPr>
            <w:r>
              <w:rPr>
                <w:rFonts w:ascii="Liberation Sans" w:hAnsi="Liberation Sans"/>
                <w:b w:val="0"/>
                <w:sz w:val="19"/>
              </w:rPr>
              <w:t>Transparência, controles e integridade</w:t>
            </w:r>
          </w:p>
        </w:tc>
      </w:tr>
      <w:tr>
        <w:trPr>
          <w:cantSplit/>
        </w:trPr>
        <w:tc>
          <w:tcPr>
            <w:tcW w:type="dxa" w:w="3043"/>
            <w:vAlign w:val="center"/>
          </w:tcPr>
          <w:p>
            <w:pPr>
              <w:spacing w:after="80" w:before="80" w:line="252" w:lineRule="auto"/>
            </w:pPr>
            <w:r>
              <w:rPr>
                <w:rFonts w:ascii="Liberation Sans" w:hAnsi="Liberation Sans"/>
                <w:b w:val="0"/>
                <w:sz w:val="19"/>
              </w:rPr>
              <w:t>A — Acessibilidade</w:t>
            </w:r>
          </w:p>
        </w:tc>
        <w:tc>
          <w:tcPr>
            <w:tcW w:type="dxa" w:w="3043"/>
            <w:vAlign w:val="center"/>
          </w:tcPr>
          <w:p>
            <w:pPr>
              <w:spacing w:after="80" w:before="80" w:line="252" w:lineRule="auto"/>
            </w:pPr>
            <w:r>
              <w:rPr>
                <w:rFonts w:ascii="Liberation Sans" w:hAnsi="Liberation Sans"/>
                <w:b w:val="0"/>
                <w:sz w:val="19"/>
              </w:rPr>
              <w:t>5%</w:t>
            </w:r>
          </w:p>
        </w:tc>
        <w:tc>
          <w:tcPr>
            <w:tcW w:type="dxa" w:w="3043"/>
            <w:vAlign w:val="center"/>
          </w:tcPr>
          <w:p>
            <w:pPr>
              <w:spacing w:after="80" w:before="80" w:line="252" w:lineRule="auto"/>
            </w:pPr>
            <w:r>
              <w:rPr>
                <w:rFonts w:ascii="Liberation Sans" w:hAnsi="Liberation Sans"/>
                <w:b w:val="0"/>
                <w:sz w:val="19"/>
              </w:rPr>
              <w:t>Uso inclusivo e barreiras removidas</w:t>
            </w:r>
          </w:p>
        </w:tc>
      </w:tr>
      <w:tr>
        <w:trPr>
          <w:cantSplit/>
        </w:trPr>
        <w:tc>
          <w:tcPr>
            <w:tcW w:type="dxa" w:w="3043"/>
            <w:vAlign w:val="center"/>
          </w:tcPr>
          <w:p>
            <w:pPr>
              <w:spacing w:after="80" w:before="80" w:line="252" w:lineRule="auto"/>
            </w:pPr>
            <w:r>
              <w:rPr>
                <w:rFonts w:ascii="Liberation Sans" w:hAnsi="Liberation Sans"/>
                <w:b w:val="0"/>
                <w:sz w:val="19"/>
              </w:rPr>
              <w:t>P — Penalidades</w:t>
            </w:r>
          </w:p>
        </w:tc>
        <w:tc>
          <w:tcPr>
            <w:tcW w:type="dxa" w:w="3043"/>
            <w:vAlign w:val="center"/>
          </w:tcPr>
          <w:p>
            <w:pPr>
              <w:spacing w:after="80" w:before="80" w:line="252" w:lineRule="auto"/>
            </w:pPr>
            <w:r>
              <w:rPr>
                <w:rFonts w:ascii="Liberation Sans" w:hAnsi="Liberation Sans"/>
                <w:b w:val="0"/>
                <w:sz w:val="19"/>
              </w:rPr>
              <w:t>Pontos deduzidos</w:t>
            </w:r>
          </w:p>
        </w:tc>
        <w:tc>
          <w:tcPr>
            <w:tcW w:type="dxa" w:w="3043"/>
            <w:vAlign w:val="center"/>
          </w:tcPr>
          <w:p>
            <w:pPr>
              <w:spacing w:after="80" w:before="80" w:line="252" w:lineRule="auto"/>
            </w:pPr>
            <w:r>
              <w:rPr>
                <w:rFonts w:ascii="Liberation Sans" w:hAnsi="Liberation Sans"/>
                <w:b w:val="0"/>
                <w:sz w:val="19"/>
              </w:rPr>
              <w:t>Infrações apuradas com devido processo</w:t>
            </w:r>
          </w:p>
        </w:tc>
      </w:tr>
    </w:tbl>
    <w:p>
      <w:pPr>
        <w:spacing w:after="0"/>
      </w:pPr>
    </w:p>
    <w:p>
      <w:pPr>
        <w:pStyle w:val="Heading2"/>
      </w:pPr>
      <w:r>
        <w:t>Não reduzir segurança a uma média</w:t>
      </w:r>
    </w:p>
    <w:p>
      <w:r>
        <w:rPr>
          <w:b w:val="0"/>
        </w:rPr>
        <w:t>Há limites que não podem ser compensados por boas notas em outra dimensão. Um produto inseguro não deve receber selo de excelência porque investiu em publicidade ambiental. A proposta separa critérios eliminatórios de requisitos classificatórios: falhas graves geram suspensão do selo e análise competente, sem antecipar condenação judicial ou tratar denúncia não apurada como fato.</w:t>
      </w:r>
    </w:p>
    <w:p>
      <w:r>
        <w:rPr>
          <w:b w:val="0"/>
        </w:rPr>
        <w:t>Para cada indicador, a ficha técnica deve informar definição, numerador, denominador, período, população, origem, responsável e limitações. Taxas de defeito exigem exposição comparável. Satisfação deve ser ajustada por seleção da amostra. Tempo de resposta não é igual a resolução. Quantidade de publicações ou patentes não equivale, por si, a inovação útil.</w:t>
      </w:r>
    </w:p>
    <w:p>
      <w:pPr>
        <w:pStyle w:val="Heading2"/>
      </w:pPr>
      <w:r>
        <w:t>Incerteza e amostras pequenas</w:t>
      </w:r>
    </w:p>
    <w:p>
      <w:r>
        <w:rPr>
          <w:b w:val="0"/>
        </w:rPr>
        <w:t>Como demonstração, uma avaliação pode combinar a média observada da empresa com a média setorial: nota ajustada = [n/(n+k)] × nota observada + [k/(n+k)] × média setorial. O valor k representa uma força de regularização escolhida e validada previamente. Isso não resolve todos os vieses; apenas evita tratar poucas respostas extremas como evidência definitiva.</w:t>
      </w:r>
    </w:p>
    <w:p>
      <w:r>
        <w:rPr>
          <w:b w:val="0"/>
        </w:rPr>
        <w:t>A publicação mensal precisa mostrar intervalo de incerteza, dados faltantes e cobertura. Se duas empresas são indistinguíveis dentro da incerteza, uma diferença decimal não deve decidir repasses elevados. A empresa e os consumidores devem poder contestar erros. O simulador do site usa números fictícios e a fórmula simples para fins didáticos, sem atribuir notas a marcas reais.</w:t>
      </w:r>
    </w:p>
    <w:p>
      <w:r>
        <w:rPr>
          <w:b/>
        </w:rPr>
        <w:t>Síntese:</w:t>
      </w:r>
      <w:r>
        <w:rPr>
          <w:b w:val="0"/>
        </w:rPr>
        <w:t xml:space="preserve"> uma nota serve para organizar evidências, não para ocultar incertezas.</w:t>
      </w:r>
    </w:p>
    <w:p>
      <w:bookmarkStart w:id="4" w:name="ch4"/>
      <w:pPr>
        <w:pStyle w:val="Heading1"/>
      </w:pPr>
      <w:r>
        <w:t>5. Repasse do Estado às empresas</w:t>
      </w:r>
      <w:bookmarkEnd w:id="4"/>
    </w:p>
    <w:p>
      <w:pPr>
        <w:pStyle w:val="Heading2"/>
      </w:pPr>
      <w:r>
        <w:t>Dinheiro público deve comprar valor público</w:t>
      </w:r>
    </w:p>
    <w:p>
      <w:r>
        <w:rPr>
          <w:b w:val="0"/>
        </w:rPr>
        <w:t>O Estado não deve transferir dinheiro automaticamente por prestígio, tamanho ou colocação em uma liga. A proposta revisada vincula recursos a uma missão contratada: pesquisa, entrega de bens essenciais, acesso em regiões pouco atendidas, capacitação ou redução de impactos. A empresa vencedora de um ranking não ganha um direito abstrato a subsídio.</w:t>
      </w:r>
    </w:p>
    <w:p>
      <w:r>
        <w:rPr>
          <w:b w:val="0"/>
        </w:rPr>
        <w:t>O desenho precisa demonstrar adicionalidade: o que será produzido com apoio que não seria produzido nas mesmas condições sem ele? Deve também distinguir subsídio, compra pública, crédito, garantia e participação societária. Cada instrumento expõe o orçamento a riscos diferentes. A Lei de Responsabilidade Fiscal exige cuidados com criação de despesas e impacto orçamentário; uma boa nota não afasta essas exigências. [15]</w:t>
      </w:r>
    </w:p>
    <w:p>
      <w:pPr>
        <w:pStyle w:val="Heading2"/>
      </w:pPr>
      <w:r>
        <w:t>Uma fórmula que não ultrapasse o teto</w:t>
      </w:r>
    </w:p>
    <w:p>
      <w:r>
        <w:rPr>
          <w:b w:val="0"/>
        </w:rPr>
        <w:t>Para eliminar a ambiguidade de fórmulas anteriores, esta edição usa: pagamento = mínimo entre o teto contratual e B × (0,80E + 0,20D). B é o orçamento elegível aprovado; E é a fração de entregas aceitas, de zero a um; D é o desempenho contratual, também de zero a um. O componente variável somente é devido quando os requisitos mínimos do contrato são cumpridos.</w:t>
      </w:r>
    </w:p>
    <w:p>
      <w:r>
        <w:rPr>
          <w:b w:val="0"/>
        </w:rPr>
        <w:t>Exemplo exclusivamente didático: B = R$ 1.000.000, E = 1 e D = 0,80 resultam em R$ 960.000. O contrato não paga 120% do custo elegível por uma operação implícita de multiplicação. Pesos 80/20 são uma proposta de teste; outras proporções podem ser melhores conforme o objeto.</w:t>
      </w:r>
    </w:p>
    <w:p>
      <w:pPr>
        <w:pStyle w:val="Heading2"/>
      </w:pPr>
      <w:r>
        <w:t>Riscos e controles</w:t>
      </w:r>
    </w:p>
    <w:p>
      <w:r>
        <w:rPr>
          <w:b w:val="0"/>
        </w:rPr>
        <w:t>A prioridade pública deve ser definida antes da escolha da empresa. Caso contrário, o projeto pode ser redesenhado para beneficiar um destinatário preferido. Auditores não podem depender financeiramente do resultado que certificam. Contratos devem informar beneficiário real, entregas, critérios de aceite, cronograma, pagamentos e recursos administrativos, protegidos os dados pessoais e segredos legalmente resguardados.</w:t>
      </w:r>
    </w:p>
    <w:p>
      <w:r>
        <w:rPr>
          <w:b w:val="0"/>
        </w:rPr>
        <w:t>Não convém usar satisfação de clientes como único gatilho de pagamento. Isso pode excluir públicos mais difíceis de atender ou estimular respostas compradas. Uma parte da avaliação deve medir acesso e resultados ajustados à complexidade. O programa também precisa de limite de concentração por grupo econômico e de mecanismos para que empresas pequenas concorram sem custos documentais desproporcionais.</w:t>
      </w:r>
    </w:p>
    <w:p>
      <w:r>
        <w:rPr>
          <w:b/>
        </w:rPr>
        <w:t>Síntese:</w:t>
      </w:r>
      <w:r>
        <w:rPr>
          <w:b w:val="0"/>
        </w:rPr>
        <w:t xml:space="preserve"> desempenho informa o pagamento de uma missão pública; não transforma o ranking em um direito permanente a dinheiro estatal.</w:t>
      </w:r>
    </w:p>
    <w:p>
      <w:bookmarkStart w:id="5" w:name="ch5"/>
      <w:pPr>
        <w:pStyle w:val="Heading1"/>
      </w:pPr>
      <w:r>
        <w:t>6. Política de preços</w:t>
      </w:r>
      <w:bookmarkEnd w:id="5"/>
    </w:p>
    <w:p>
      <w:pPr>
        <w:pStyle w:val="Heading2"/>
      </w:pPr>
      <w:r>
        <w:t>Preço justo não é apenas preço baixo</w:t>
      </w:r>
    </w:p>
    <w:p>
      <w:r>
        <w:rPr>
          <w:b w:val="0"/>
        </w:rPr>
        <w:t>Um produto barato que falha rapidamente pode custar mais ao usuário. A avaliação proposta considera aquisição, financiamento, energia, manutenção, reparação, durabilidade e descarte. Comparações precisam explicitar a duração assumida e o padrão de utilização. Sem isso, um índice de preço justo pode favorecer um perfil de consumidor e prejudicar outro.</w:t>
      </w:r>
    </w:p>
    <w:p>
      <w:r>
        <w:rPr>
          <w:b w:val="0"/>
        </w:rPr>
        <w:t>A regulação universal de preços criaria um problema de informação: alguém teria de revisar milhares de custos e variações locais. A análise conceitual também identifica risco de redução de oferta quando o preço permitido não cobre o custo sustentável. Esse risco não significa que toda regulação seja inadequada; significa que o instrumento precisa corresponder ao problema.</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Regime</w:t>
            </w:r>
          </w:p>
        </w:tc>
        <w:tc>
          <w:tcPr>
            <w:tcW w:type="dxa" w:w="3043"/>
            <w:vAlign w:val="center"/>
            <w:shd w:fill="142B40"/>
          </w:tcPr>
          <w:p>
            <w:pPr>
              <w:spacing w:after="80" w:before="80" w:line="252" w:lineRule="auto"/>
            </w:pPr>
            <w:r>
              <w:rPr>
                <w:rFonts w:ascii="Liberation Sans" w:hAnsi="Liberation Sans"/>
                <w:b/>
                <w:color w:val="FFFFFF"/>
                <w:sz w:val="19"/>
              </w:rPr>
              <w:t>Uso proposto</w:t>
            </w:r>
          </w:p>
        </w:tc>
        <w:tc>
          <w:tcPr>
            <w:tcW w:type="dxa" w:w="3043"/>
            <w:vAlign w:val="center"/>
            <w:shd w:fill="142B40"/>
          </w:tcPr>
          <w:p>
            <w:pPr>
              <w:spacing w:after="80" w:before="80" w:line="252" w:lineRule="auto"/>
            </w:pPr>
            <w:r>
              <w:rPr>
                <w:rFonts w:ascii="Liberation Sans" w:hAnsi="Liberation Sans"/>
                <w:b/>
                <w:color w:val="FFFFFF"/>
                <w:sz w:val="19"/>
              </w:rPr>
              <w:t>Revisão necessária</w:t>
            </w:r>
          </w:p>
        </w:tc>
      </w:tr>
      <w:tr>
        <w:trPr>
          <w:cantSplit/>
        </w:trPr>
        <w:tc>
          <w:tcPr>
            <w:tcW w:type="dxa" w:w="3043"/>
            <w:vAlign w:val="center"/>
          </w:tcPr>
          <w:p>
            <w:pPr>
              <w:spacing w:after="80" w:before="80" w:line="252" w:lineRule="auto"/>
            </w:pPr>
            <w:r>
              <w:rPr>
                <w:rFonts w:ascii="Liberation Sans" w:hAnsi="Liberation Sans"/>
                <w:b w:val="0"/>
                <w:sz w:val="19"/>
              </w:rPr>
              <w:t>Bens essenciais selecionados</w:t>
            </w:r>
          </w:p>
        </w:tc>
        <w:tc>
          <w:tcPr>
            <w:tcW w:type="dxa" w:w="3043"/>
            <w:vAlign w:val="center"/>
          </w:tcPr>
          <w:p>
            <w:pPr>
              <w:spacing w:after="80" w:before="80" w:line="252" w:lineRule="auto"/>
            </w:pPr>
            <w:r>
              <w:rPr>
                <w:rFonts w:ascii="Liberation Sans" w:hAnsi="Liberation Sans"/>
                <w:b w:val="0"/>
                <w:sz w:val="19"/>
              </w:rPr>
              <w:t>Teto fundamentado e apoio focalizado quando necessário</w:t>
            </w:r>
          </w:p>
        </w:tc>
        <w:tc>
          <w:tcPr>
            <w:tcW w:type="dxa" w:w="3043"/>
            <w:vAlign w:val="center"/>
          </w:tcPr>
          <w:p>
            <w:pPr>
              <w:spacing w:after="80" w:before="80" w:line="252" w:lineRule="auto"/>
            </w:pPr>
            <w:r>
              <w:rPr>
                <w:rFonts w:ascii="Liberation Sans" w:hAnsi="Liberation Sans"/>
                <w:b w:val="0"/>
                <w:sz w:val="19"/>
              </w:rPr>
              <w:t>Custos, oferta e alcance social</w:t>
            </w:r>
          </w:p>
        </w:tc>
      </w:tr>
      <w:tr>
        <w:trPr>
          <w:cantSplit/>
        </w:trPr>
        <w:tc>
          <w:tcPr>
            <w:tcW w:type="dxa" w:w="3043"/>
            <w:vAlign w:val="center"/>
          </w:tcPr>
          <w:p>
            <w:pPr>
              <w:spacing w:after="80" w:before="80" w:line="252" w:lineRule="auto"/>
            </w:pPr>
            <w:r>
              <w:rPr>
                <w:rFonts w:ascii="Liberation Sans" w:hAnsi="Liberation Sans"/>
                <w:b w:val="0"/>
                <w:sz w:val="19"/>
              </w:rPr>
              <w:t>Monopólios naturais</w:t>
            </w:r>
          </w:p>
        </w:tc>
        <w:tc>
          <w:tcPr>
            <w:tcW w:type="dxa" w:w="3043"/>
            <w:vAlign w:val="center"/>
          </w:tcPr>
          <w:p>
            <w:pPr>
              <w:spacing w:after="80" w:before="80" w:line="252" w:lineRule="auto"/>
            </w:pPr>
            <w:r>
              <w:rPr>
                <w:rFonts w:ascii="Liberation Sans" w:hAnsi="Liberation Sans"/>
                <w:b w:val="0"/>
                <w:sz w:val="19"/>
              </w:rPr>
              <w:t>Tarifa e metas de qualidade definidas pelo regulador</w:t>
            </w:r>
          </w:p>
        </w:tc>
        <w:tc>
          <w:tcPr>
            <w:tcW w:type="dxa" w:w="3043"/>
            <w:vAlign w:val="center"/>
          </w:tcPr>
          <w:p>
            <w:pPr>
              <w:spacing w:after="80" w:before="80" w:line="252" w:lineRule="auto"/>
            </w:pPr>
            <w:r>
              <w:rPr>
                <w:rFonts w:ascii="Liberation Sans" w:hAnsi="Liberation Sans"/>
                <w:b w:val="0"/>
                <w:sz w:val="19"/>
              </w:rPr>
              <w:t>Investimento, eficiência e serviço</w:t>
            </w:r>
          </w:p>
        </w:tc>
      </w:tr>
      <w:tr>
        <w:trPr>
          <w:cantSplit/>
        </w:trPr>
        <w:tc>
          <w:tcPr>
            <w:tcW w:type="dxa" w:w="3043"/>
            <w:vAlign w:val="center"/>
          </w:tcPr>
          <w:p>
            <w:pPr>
              <w:spacing w:after="80" w:before="80" w:line="252" w:lineRule="auto"/>
            </w:pPr>
            <w:r>
              <w:rPr>
                <w:rFonts w:ascii="Liberation Sans" w:hAnsi="Liberation Sans"/>
                <w:b w:val="0"/>
                <w:sz w:val="19"/>
              </w:rPr>
              <w:t>Mercados competitivos</w:t>
            </w:r>
          </w:p>
        </w:tc>
        <w:tc>
          <w:tcPr>
            <w:tcW w:type="dxa" w:w="3043"/>
            <w:vAlign w:val="center"/>
          </w:tcPr>
          <w:p>
            <w:pPr>
              <w:spacing w:after="80" w:before="80" w:line="252" w:lineRule="auto"/>
            </w:pPr>
            <w:r>
              <w:rPr>
                <w:rFonts w:ascii="Liberation Sans" w:hAnsi="Liberation Sans"/>
                <w:b w:val="0"/>
                <w:sz w:val="19"/>
              </w:rPr>
              <w:t>Concorrência, informação e comparação de custo total</w:t>
            </w:r>
          </w:p>
        </w:tc>
        <w:tc>
          <w:tcPr>
            <w:tcW w:type="dxa" w:w="3043"/>
            <w:vAlign w:val="center"/>
          </w:tcPr>
          <w:p>
            <w:pPr>
              <w:spacing w:after="80" w:before="80" w:line="252" w:lineRule="auto"/>
            </w:pPr>
            <w:r>
              <w:rPr>
                <w:rFonts w:ascii="Liberation Sans" w:hAnsi="Liberation Sans"/>
                <w:b w:val="0"/>
                <w:sz w:val="19"/>
              </w:rPr>
              <w:t>Barreiras, publicidade e abuso</w:t>
            </w:r>
          </w:p>
        </w:tc>
      </w:tr>
      <w:tr>
        <w:trPr>
          <w:cantSplit/>
        </w:trPr>
        <w:tc>
          <w:tcPr>
            <w:tcW w:type="dxa" w:w="3043"/>
            <w:vAlign w:val="center"/>
          </w:tcPr>
          <w:p>
            <w:pPr>
              <w:spacing w:after="80" w:before="80" w:line="252" w:lineRule="auto"/>
            </w:pPr>
            <w:r>
              <w:rPr>
                <w:rFonts w:ascii="Liberation Sans" w:hAnsi="Liberation Sans"/>
                <w:b w:val="0"/>
                <w:sz w:val="19"/>
              </w:rPr>
              <w:t>Emergências</w:t>
            </w:r>
          </w:p>
        </w:tc>
        <w:tc>
          <w:tcPr>
            <w:tcW w:type="dxa" w:w="3043"/>
            <w:vAlign w:val="center"/>
          </w:tcPr>
          <w:p>
            <w:pPr>
              <w:spacing w:after="80" w:before="80" w:line="252" w:lineRule="auto"/>
            </w:pPr>
            <w:r>
              <w:rPr>
                <w:rFonts w:ascii="Liberation Sans" w:hAnsi="Liberation Sans"/>
                <w:b w:val="0"/>
                <w:sz w:val="19"/>
              </w:rPr>
              <w:t>Medidas temporárias, motivadas e proporcionais</w:t>
            </w:r>
          </w:p>
        </w:tc>
        <w:tc>
          <w:tcPr>
            <w:tcW w:type="dxa" w:w="3043"/>
            <w:vAlign w:val="center"/>
          </w:tcPr>
          <w:p>
            <w:pPr>
              <w:spacing w:after="80" w:before="80" w:line="252" w:lineRule="auto"/>
            </w:pPr>
            <w:r>
              <w:rPr>
                <w:rFonts w:ascii="Liberation Sans" w:hAnsi="Liberation Sans"/>
                <w:b w:val="0"/>
                <w:sz w:val="19"/>
              </w:rPr>
              <w:t>Prazo de encerramento e desabastecimento</w:t>
            </w:r>
          </w:p>
        </w:tc>
      </w:tr>
    </w:tbl>
    <w:p>
      <w:pPr>
        <w:spacing w:after="0"/>
      </w:pPr>
    </w:p>
    <w:p>
      <w:pPr>
        <w:pStyle w:val="Heading2"/>
      </w:pPr>
      <w:r>
        <w:t>Custo eficiente e incentivo à melhoria</w:t>
      </w:r>
    </w:p>
    <w:p>
      <w:r>
        <w:rPr>
          <w:b w:val="0"/>
        </w:rPr>
        <w:t>Uma fórmula ilustrativa de teto é custo eficiente auditado + logística + tributos + margem regulada − subsídio. “Custo eficiente” não é simplesmente o gasto declarado pela empresa. Se todo custo for repassado, o fornecedor pode perder incentivo à eficiência. Comparação com pares, metas de qualidade e auditoria devem impedir esse resultado.</w:t>
      </w:r>
    </w:p>
    <w:p>
      <w:r>
        <w:rPr>
          <w:b w:val="0"/>
        </w:rPr>
        <w:t>O subsídio deve ser transparente e ter financiador identificado. Cobrar menos do consumidor e compensar a diferença com recursos públicos não elimina o custo: apenas muda quem o suporta. O orçamento precisa registrar essa transferência e medir quem efetivamente se beneficia.</w:t>
      </w:r>
    </w:p>
    <w:p>
      <w:pPr>
        <w:pStyle w:val="Heading2"/>
      </w:pPr>
      <w:r>
        <w:t>O que verificar antes de expandir</w:t>
      </w:r>
    </w:p>
    <w:p>
      <w:r>
        <w:rPr>
          <w:b w:val="0"/>
        </w:rPr>
        <w:t>O programa deve monitorar disponibilidade, filas, qualidade, diversidade de produtos, entrada de fornecedores e gasto das famílias. Preço nominal menor acompanhado de falta de produto não representa sucesso. Também é preciso proteger o consumidor de custos escondidos, assinaturas compulsórias e financiamento que anule a vantagem da etiqueta. A defesa da concorrência e do consumidor permanece necessária. [2][9]</w:t>
      </w:r>
    </w:p>
    <w:p>
      <w:r>
        <w:rPr>
          <w:b/>
        </w:rPr>
        <w:t>Síntese:</w:t>
      </w:r>
      <w:r>
        <w:rPr>
          <w:b w:val="0"/>
        </w:rPr>
        <w:t xml:space="preserve"> regular quando houver justificativa verificável; comparar o custo total; não confundir teto anunciado com acesso efetivo.</w:t>
      </w:r>
    </w:p>
    <w:p>
      <w:bookmarkStart w:id="6" w:name="ch6"/>
      <w:pPr>
        <w:pStyle w:val="Heading1"/>
      </w:pPr>
      <w:r>
        <w:t>7. Divisões profissionais</w:t>
      </w:r>
      <w:bookmarkEnd w:id="6"/>
    </w:p>
    <w:p>
      <w:pPr>
        <w:pStyle w:val="Heading2"/>
      </w:pPr>
      <w:r>
        <w:t>Carreira não é casta</w:t>
      </w:r>
    </w:p>
    <w:p>
      <w:r>
        <w:rPr>
          <w:b w:val="0"/>
        </w:rPr>
        <w:t>As quatro divisões profissionais representam estágios de autonomia e responsabilidade. Não são quatro tipos de pessoa. Um indivíduo pode ser referência em uma área e aprendiz em outra. Mudar de carreira não deve apagar direitos nem obrigar alguém a manter uma identidade profissional para preservar sua posição social.</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Nível</w:t>
            </w:r>
          </w:p>
        </w:tc>
        <w:tc>
          <w:tcPr>
            <w:tcW w:type="dxa" w:w="3043"/>
            <w:vAlign w:val="center"/>
            <w:shd w:fill="142B40"/>
          </w:tcPr>
          <w:p>
            <w:pPr>
              <w:spacing w:after="80" w:before="80" w:line="252" w:lineRule="auto"/>
            </w:pPr>
            <w:r>
              <w:rPr>
                <w:rFonts w:ascii="Liberation Sans" w:hAnsi="Liberation Sans"/>
                <w:b/>
                <w:color w:val="FFFFFF"/>
                <w:sz w:val="19"/>
              </w:rPr>
              <w:t>Situação proposta</w:t>
            </w:r>
          </w:p>
        </w:tc>
        <w:tc>
          <w:tcPr>
            <w:tcW w:type="dxa" w:w="3043"/>
            <w:vAlign w:val="center"/>
            <w:shd w:fill="142B40"/>
          </w:tcPr>
          <w:p>
            <w:pPr>
              <w:spacing w:after="80" w:before="80" w:line="252" w:lineRule="auto"/>
            </w:pPr>
            <w:r>
              <w:rPr>
                <w:rFonts w:ascii="Liberation Sans" w:hAnsi="Liberation Sans"/>
                <w:b/>
                <w:color w:val="FFFFFF"/>
                <w:sz w:val="19"/>
              </w:rPr>
              <w:t>Evidência de progressão</w:t>
            </w:r>
          </w:p>
        </w:tc>
      </w:tr>
      <w:tr>
        <w:trPr>
          <w:cantSplit/>
        </w:trPr>
        <w:tc>
          <w:tcPr>
            <w:tcW w:type="dxa" w:w="3043"/>
            <w:vAlign w:val="center"/>
          </w:tcPr>
          <w:p>
            <w:pPr>
              <w:spacing w:after="80" w:before="80" w:line="252" w:lineRule="auto"/>
            </w:pPr>
            <w:r>
              <w:rPr>
                <w:rFonts w:ascii="Liberation Sans" w:hAnsi="Liberation Sans"/>
                <w:b w:val="0"/>
                <w:sz w:val="19"/>
              </w:rPr>
              <w:t>IV — Formação</w:t>
            </w:r>
          </w:p>
        </w:tc>
        <w:tc>
          <w:tcPr>
            <w:tcW w:type="dxa" w:w="3043"/>
            <w:vAlign w:val="center"/>
          </w:tcPr>
          <w:p>
            <w:pPr>
              <w:spacing w:after="80" w:before="80" w:line="252" w:lineRule="auto"/>
            </w:pPr>
            <w:r>
              <w:rPr>
                <w:rFonts w:ascii="Liberation Sans" w:hAnsi="Liberation Sans"/>
                <w:b w:val="0"/>
                <w:sz w:val="19"/>
              </w:rPr>
              <w:t>Atuação supervisionada</w:t>
            </w:r>
          </w:p>
        </w:tc>
        <w:tc>
          <w:tcPr>
            <w:tcW w:type="dxa" w:w="3043"/>
            <w:vAlign w:val="center"/>
          </w:tcPr>
          <w:p>
            <w:pPr>
              <w:spacing w:after="80" w:before="80" w:line="252" w:lineRule="auto"/>
            </w:pPr>
            <w:r>
              <w:rPr>
                <w:rFonts w:ascii="Liberation Sans" w:hAnsi="Liberation Sans"/>
                <w:b w:val="0"/>
                <w:sz w:val="19"/>
              </w:rPr>
              <w:t>Aprendizagem demonstrada e requisitos de entrada</w:t>
            </w:r>
          </w:p>
        </w:tc>
      </w:tr>
      <w:tr>
        <w:trPr>
          <w:cantSplit/>
        </w:trPr>
        <w:tc>
          <w:tcPr>
            <w:tcW w:type="dxa" w:w="3043"/>
            <w:vAlign w:val="center"/>
          </w:tcPr>
          <w:p>
            <w:pPr>
              <w:spacing w:after="80" w:before="80" w:line="252" w:lineRule="auto"/>
            </w:pPr>
            <w:r>
              <w:rPr>
                <w:rFonts w:ascii="Liberation Sans" w:hAnsi="Liberation Sans"/>
                <w:b w:val="0"/>
                <w:sz w:val="19"/>
              </w:rPr>
              <w:t>III — Certificado</w:t>
            </w:r>
          </w:p>
        </w:tc>
        <w:tc>
          <w:tcPr>
            <w:tcW w:type="dxa" w:w="3043"/>
            <w:vAlign w:val="center"/>
          </w:tcPr>
          <w:p>
            <w:pPr>
              <w:spacing w:after="80" w:before="80" w:line="252" w:lineRule="auto"/>
            </w:pPr>
            <w:r>
              <w:rPr>
                <w:rFonts w:ascii="Liberation Sans" w:hAnsi="Liberation Sans"/>
                <w:b w:val="0"/>
                <w:sz w:val="19"/>
              </w:rPr>
              <w:t>Exercício habilitado da função</w:t>
            </w:r>
          </w:p>
        </w:tc>
        <w:tc>
          <w:tcPr>
            <w:tcW w:type="dxa" w:w="3043"/>
            <w:vAlign w:val="center"/>
          </w:tcPr>
          <w:p>
            <w:pPr>
              <w:spacing w:after="80" w:before="80" w:line="252" w:lineRule="auto"/>
            </w:pPr>
            <w:r>
              <w:rPr>
                <w:rFonts w:ascii="Liberation Sans" w:hAnsi="Liberation Sans"/>
                <w:b w:val="0"/>
                <w:sz w:val="19"/>
              </w:rPr>
              <w:t>Competências essenciais e responsabilidade</w:t>
            </w:r>
          </w:p>
        </w:tc>
      </w:tr>
      <w:tr>
        <w:trPr>
          <w:cantSplit/>
        </w:trPr>
        <w:tc>
          <w:tcPr>
            <w:tcW w:type="dxa" w:w="3043"/>
            <w:vAlign w:val="center"/>
          </w:tcPr>
          <w:p>
            <w:pPr>
              <w:spacing w:after="80" w:before="80" w:line="252" w:lineRule="auto"/>
            </w:pPr>
            <w:r>
              <w:rPr>
                <w:rFonts w:ascii="Liberation Sans" w:hAnsi="Liberation Sans"/>
                <w:b w:val="0"/>
                <w:sz w:val="19"/>
              </w:rPr>
              <w:t>II — Avançado</w:t>
            </w:r>
          </w:p>
        </w:tc>
        <w:tc>
          <w:tcPr>
            <w:tcW w:type="dxa" w:w="3043"/>
            <w:vAlign w:val="center"/>
          </w:tcPr>
          <w:p>
            <w:pPr>
              <w:spacing w:after="80" w:before="80" w:line="252" w:lineRule="auto"/>
            </w:pPr>
            <w:r>
              <w:rPr>
                <w:rFonts w:ascii="Liberation Sans" w:hAnsi="Liberation Sans"/>
                <w:b w:val="0"/>
                <w:sz w:val="19"/>
              </w:rPr>
              <w:t>Complexidade ampliada</w:t>
            </w:r>
          </w:p>
        </w:tc>
        <w:tc>
          <w:tcPr>
            <w:tcW w:type="dxa" w:w="3043"/>
            <w:vAlign w:val="center"/>
          </w:tcPr>
          <w:p>
            <w:pPr>
              <w:spacing w:after="80" w:before="80" w:line="252" w:lineRule="auto"/>
            </w:pPr>
            <w:r>
              <w:rPr>
                <w:rFonts w:ascii="Liberation Sans" w:hAnsi="Liberation Sans"/>
                <w:b w:val="0"/>
                <w:sz w:val="19"/>
              </w:rPr>
              <w:t>Experiência pertinente e qualidade sustentada</w:t>
            </w:r>
          </w:p>
        </w:tc>
      </w:tr>
      <w:tr>
        <w:trPr>
          <w:cantSplit/>
        </w:trPr>
        <w:tc>
          <w:tcPr>
            <w:tcW w:type="dxa" w:w="3043"/>
            <w:vAlign w:val="center"/>
          </w:tcPr>
          <w:p>
            <w:pPr>
              <w:spacing w:after="80" w:before="80" w:line="252" w:lineRule="auto"/>
            </w:pPr>
            <w:r>
              <w:rPr>
                <w:rFonts w:ascii="Liberation Sans" w:hAnsi="Liberation Sans"/>
                <w:b w:val="0"/>
                <w:sz w:val="19"/>
              </w:rPr>
              <w:t>I — Referência</w:t>
            </w:r>
          </w:p>
        </w:tc>
        <w:tc>
          <w:tcPr>
            <w:tcW w:type="dxa" w:w="3043"/>
            <w:vAlign w:val="center"/>
          </w:tcPr>
          <w:p>
            <w:pPr>
              <w:spacing w:after="80" w:before="80" w:line="252" w:lineRule="auto"/>
            </w:pPr>
            <w:r>
              <w:rPr>
                <w:rFonts w:ascii="Liberation Sans" w:hAnsi="Liberation Sans"/>
                <w:b w:val="0"/>
                <w:sz w:val="19"/>
              </w:rPr>
              <w:t>Liderança técnica, ensino ou inovação</w:t>
            </w:r>
          </w:p>
        </w:tc>
        <w:tc>
          <w:tcPr>
            <w:tcW w:type="dxa" w:w="3043"/>
            <w:vAlign w:val="center"/>
          </w:tcPr>
          <w:p>
            <w:pPr>
              <w:spacing w:after="80" w:before="80" w:line="252" w:lineRule="auto"/>
            </w:pPr>
            <w:r>
              <w:rPr>
                <w:rFonts w:ascii="Liberation Sans" w:hAnsi="Liberation Sans"/>
                <w:b w:val="0"/>
                <w:sz w:val="19"/>
              </w:rPr>
              <w:t>Contribuição reconhecida e revisão por pares</w:t>
            </w:r>
          </w:p>
        </w:tc>
      </w:tr>
    </w:tbl>
    <w:p>
      <w:pPr>
        <w:spacing w:after="0"/>
      </w:pPr>
    </w:p>
    <w:p>
      <w:r>
        <w:rPr>
          <w:b w:val="0"/>
        </w:rPr>
        <w:t>Títulos protegidos por lei e habilitação profissional não podem ser substituídos por uma nota privada do SMD-4. Uma “divisão” do projeto não cria especialidade médica, registro profissional, autorização técnica ou equivalência acadêmica. A matriz serve como proposta de carreira, subordinada às normas de cada profissão.</w:t>
      </w:r>
    </w:p>
    <w:p>
      <w:pPr>
        <w:pStyle w:val="Heading2"/>
      </w:pPr>
      <w:r>
        <w:t>Avaliação recente e direito de reconstrução</w:t>
      </w:r>
    </w:p>
    <w:p>
      <w:r>
        <w:rPr>
          <w:b w:val="0"/>
        </w:rPr>
        <w:t>A avaliação deveria privilegiar competências atuais, resultados recentes e trajetória contextualizada. Experiência é relevante quando produz capacidade verificável, não apenas quando se acumula tempo. Formação formal pode ser um requisito, mas a quantidade de diplomas não deve comprar uma remuneração automaticamente superior sem relação com a função.</w:t>
      </w:r>
    </w:p>
    <w:p>
      <w:r>
        <w:rPr>
          <w:b w:val="0"/>
        </w:rPr>
        <w:t>O rebaixamento profissional não seria mensal nem automático. Falhas exigem apuração, formação corretiva e possibilidade de contestação. Mudanças de remuneração devem respeitar contratos e a proteção jurídica aplicável; a Constituição prevê irredutibilidade salarial, ressalvada negociação coletiva nos termos constitucionais. O sistema proposto não autoriza redução de salário por simples atualização algorítmica. [1]</w:t>
      </w:r>
    </w:p>
    <w:p>
      <w:pPr>
        <w:pStyle w:val="Heading2"/>
      </w:pPr>
      <w:r>
        <w:t>Trabalho invisível e funções coletivas</w:t>
      </w:r>
    </w:p>
    <w:p>
      <w:r>
        <w:rPr>
          <w:b w:val="0"/>
        </w:rPr>
        <w:t>O desenho deve reconhecer manutenção, prevenção, cuidado e coordenação. Esses resultados podem ser menos visíveis que uma invenção ou venda, mas são necessários. Um hospital funciona por equipes; uma escola depende de professores, apoio, alimentação e ambiente. Premiar exclusivamente desempenho individual pode destruir cooperação.</w:t>
      </w:r>
    </w:p>
    <w:p>
      <w:r>
        <w:rPr>
          <w:b w:val="0"/>
        </w:rPr>
        <w:t>A progressão deve permitir trilhas paralelas: técnica, gestão, ensino e prática comunitária. Não é preciso transformar todo bom profissional em chefe para valorizá-lo. Também deve haver licença, reabilitação e retorno ao trabalho sem condenação permanente de quem atravessou doença ou interrupção familiar.</w:t>
      </w:r>
    </w:p>
    <w:p>
      <w:r>
        <w:rPr>
          <w:b/>
        </w:rPr>
        <w:t>Síntese:</w:t>
      </w:r>
      <w:r>
        <w:rPr>
          <w:b w:val="0"/>
        </w:rPr>
        <w:t xml:space="preserve"> classificar responsabilidades, preservar direitos e criar várias formas legítimas de progredir.</w:t>
      </w:r>
    </w:p>
    <w:p>
      <w:bookmarkStart w:id="7" w:name="ch7"/>
      <w:pPr>
        <w:pStyle w:val="Heading1"/>
      </w:pPr>
      <w:r>
        <w:t>8. Matriz de mérito profissional</w:t>
      </w:r>
      <w:bookmarkEnd w:id="7"/>
    </w:p>
    <w:p>
      <w:pPr>
        <w:pStyle w:val="Heading2"/>
      </w:pPr>
      <w:r>
        <w:t>Quatro dimensões, pesos específicos</w:t>
      </w:r>
    </w:p>
    <w:p>
      <w:r>
        <w:rPr>
          <w:b w:val="0"/>
        </w:rPr>
        <w:t>A matriz proposta reúne capacidade cognitiva e criativa, conhecimento científico-técnico, execução física-operacional e dimensão humana/ética. Os pesos dependem das tarefas reais. A metáfora “magia cognitiva” não é um teste de inteligência, um diagnóstico ou uma alegação sobre valor intrínseco.</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Dimensão</w:t>
            </w:r>
          </w:p>
        </w:tc>
        <w:tc>
          <w:tcPr>
            <w:tcW w:type="dxa" w:w="3043"/>
            <w:vAlign w:val="center"/>
            <w:shd w:fill="142B40"/>
          </w:tcPr>
          <w:p>
            <w:pPr>
              <w:spacing w:after="80" w:before="80" w:line="252" w:lineRule="auto"/>
            </w:pPr>
            <w:r>
              <w:rPr>
                <w:rFonts w:ascii="Liberation Sans" w:hAnsi="Liberation Sans"/>
                <w:b/>
                <w:color w:val="FFFFFF"/>
                <w:sz w:val="19"/>
              </w:rPr>
              <w:t>Avaliar</w:t>
            </w:r>
          </w:p>
        </w:tc>
        <w:tc>
          <w:tcPr>
            <w:tcW w:type="dxa" w:w="3043"/>
            <w:vAlign w:val="center"/>
            <w:shd w:fill="142B40"/>
          </w:tcPr>
          <w:p>
            <w:pPr>
              <w:spacing w:after="80" w:before="80" w:line="252" w:lineRule="auto"/>
            </w:pPr>
            <w:r>
              <w:rPr>
                <w:rFonts w:ascii="Liberation Sans" w:hAnsi="Liberation Sans"/>
                <w:b/>
                <w:color w:val="FFFFFF"/>
                <w:sz w:val="19"/>
              </w:rPr>
              <w:t>Não confundir com</w:t>
            </w:r>
          </w:p>
        </w:tc>
      </w:tr>
      <w:tr>
        <w:trPr>
          <w:cantSplit/>
        </w:trPr>
        <w:tc>
          <w:tcPr>
            <w:tcW w:type="dxa" w:w="3043"/>
            <w:vAlign w:val="center"/>
          </w:tcPr>
          <w:p>
            <w:pPr>
              <w:spacing w:after="80" w:before="80" w:line="252" w:lineRule="auto"/>
            </w:pPr>
            <w:r>
              <w:rPr>
                <w:rFonts w:ascii="Liberation Sans" w:hAnsi="Liberation Sans"/>
                <w:b w:val="0"/>
                <w:sz w:val="19"/>
              </w:rPr>
              <w:t>M — Cognitiva e criativa</w:t>
            </w:r>
          </w:p>
        </w:tc>
        <w:tc>
          <w:tcPr>
            <w:tcW w:type="dxa" w:w="3043"/>
            <w:vAlign w:val="center"/>
          </w:tcPr>
          <w:p>
            <w:pPr>
              <w:spacing w:after="80" w:before="80" w:line="252" w:lineRule="auto"/>
            </w:pPr>
            <w:r>
              <w:rPr>
                <w:rFonts w:ascii="Liberation Sans" w:hAnsi="Liberation Sans"/>
                <w:b w:val="0"/>
                <w:sz w:val="19"/>
              </w:rPr>
              <w:t>Raciocínio aplicado, solução de problemas e julgamento</w:t>
            </w:r>
          </w:p>
        </w:tc>
        <w:tc>
          <w:tcPr>
            <w:tcW w:type="dxa" w:w="3043"/>
            <w:vAlign w:val="center"/>
          </w:tcPr>
          <w:p>
            <w:pPr>
              <w:spacing w:after="80" w:before="80" w:line="252" w:lineRule="auto"/>
            </w:pPr>
            <w:r>
              <w:rPr>
                <w:rFonts w:ascii="Liberation Sans" w:hAnsi="Liberation Sans"/>
                <w:b w:val="0"/>
                <w:sz w:val="19"/>
              </w:rPr>
              <w:t>Rapidez isolada ou prestígio social</w:t>
            </w:r>
          </w:p>
        </w:tc>
      </w:tr>
      <w:tr>
        <w:trPr>
          <w:cantSplit/>
        </w:trPr>
        <w:tc>
          <w:tcPr>
            <w:tcW w:type="dxa" w:w="3043"/>
            <w:vAlign w:val="center"/>
          </w:tcPr>
          <w:p>
            <w:pPr>
              <w:spacing w:after="80" w:before="80" w:line="252" w:lineRule="auto"/>
            </w:pPr>
            <w:r>
              <w:rPr>
                <w:rFonts w:ascii="Liberation Sans" w:hAnsi="Liberation Sans"/>
                <w:b w:val="0"/>
                <w:sz w:val="19"/>
              </w:rPr>
              <w:t>C — Científico-técnica</w:t>
            </w:r>
          </w:p>
        </w:tc>
        <w:tc>
          <w:tcPr>
            <w:tcW w:type="dxa" w:w="3043"/>
            <w:vAlign w:val="center"/>
          </w:tcPr>
          <w:p>
            <w:pPr>
              <w:spacing w:after="80" w:before="80" w:line="252" w:lineRule="auto"/>
            </w:pPr>
            <w:r>
              <w:rPr>
                <w:rFonts w:ascii="Liberation Sans" w:hAnsi="Liberation Sans"/>
                <w:b w:val="0"/>
                <w:sz w:val="19"/>
              </w:rPr>
              <w:t>Conhecimento pertinente e uso crítico de evidências</w:t>
            </w:r>
          </w:p>
        </w:tc>
        <w:tc>
          <w:tcPr>
            <w:tcW w:type="dxa" w:w="3043"/>
            <w:vAlign w:val="center"/>
          </w:tcPr>
          <w:p>
            <w:pPr>
              <w:spacing w:after="80" w:before="80" w:line="252" w:lineRule="auto"/>
            </w:pPr>
            <w:r>
              <w:rPr>
                <w:rFonts w:ascii="Liberation Sans" w:hAnsi="Liberation Sans"/>
                <w:b w:val="0"/>
                <w:sz w:val="19"/>
              </w:rPr>
              <w:t>Número bruto de títulos ou textos</w:t>
            </w:r>
          </w:p>
        </w:tc>
      </w:tr>
      <w:tr>
        <w:trPr>
          <w:cantSplit/>
        </w:trPr>
        <w:tc>
          <w:tcPr>
            <w:tcW w:type="dxa" w:w="3043"/>
            <w:vAlign w:val="center"/>
          </w:tcPr>
          <w:p>
            <w:pPr>
              <w:spacing w:after="80" w:before="80" w:line="252" w:lineRule="auto"/>
            </w:pPr>
            <w:r>
              <w:rPr>
                <w:rFonts w:ascii="Liberation Sans" w:hAnsi="Liberation Sans"/>
                <w:b w:val="0"/>
                <w:sz w:val="19"/>
              </w:rPr>
              <w:t>F — Física-operacional</w:t>
            </w:r>
          </w:p>
        </w:tc>
        <w:tc>
          <w:tcPr>
            <w:tcW w:type="dxa" w:w="3043"/>
            <w:vAlign w:val="center"/>
          </w:tcPr>
          <w:p>
            <w:pPr>
              <w:spacing w:after="80" w:before="80" w:line="252" w:lineRule="auto"/>
            </w:pPr>
            <w:r>
              <w:rPr>
                <w:rFonts w:ascii="Liberation Sans" w:hAnsi="Liberation Sans"/>
                <w:b w:val="0"/>
                <w:sz w:val="19"/>
              </w:rPr>
              <w:t>Execução necessária, segura e adaptada</w:t>
            </w:r>
          </w:p>
        </w:tc>
        <w:tc>
          <w:tcPr>
            <w:tcW w:type="dxa" w:w="3043"/>
            <w:vAlign w:val="center"/>
          </w:tcPr>
          <w:p>
            <w:pPr>
              <w:spacing w:after="80" w:before="80" w:line="252" w:lineRule="auto"/>
            </w:pPr>
            <w:r>
              <w:rPr>
                <w:rFonts w:ascii="Liberation Sans" w:hAnsi="Liberation Sans"/>
                <w:b w:val="0"/>
                <w:sz w:val="19"/>
              </w:rPr>
              <w:t>Força máxima universal</w:t>
            </w:r>
          </w:p>
        </w:tc>
      </w:tr>
      <w:tr>
        <w:trPr>
          <w:cantSplit/>
        </w:trPr>
        <w:tc>
          <w:tcPr>
            <w:tcW w:type="dxa" w:w="3043"/>
            <w:vAlign w:val="center"/>
          </w:tcPr>
          <w:p>
            <w:pPr>
              <w:spacing w:after="80" w:before="80" w:line="252" w:lineRule="auto"/>
            </w:pPr>
            <w:r>
              <w:rPr>
                <w:rFonts w:ascii="Liberation Sans" w:hAnsi="Liberation Sans"/>
                <w:b w:val="0"/>
                <w:sz w:val="19"/>
              </w:rPr>
              <w:t>H — Humana e ética</w:t>
            </w:r>
          </w:p>
        </w:tc>
        <w:tc>
          <w:tcPr>
            <w:tcW w:type="dxa" w:w="3043"/>
            <w:vAlign w:val="center"/>
          </w:tcPr>
          <w:p>
            <w:pPr>
              <w:spacing w:after="80" w:before="80" w:line="252" w:lineRule="auto"/>
            </w:pPr>
            <w:r>
              <w:rPr>
                <w:rFonts w:ascii="Liberation Sans" w:hAnsi="Liberation Sans"/>
                <w:b w:val="0"/>
                <w:sz w:val="19"/>
              </w:rPr>
              <w:t>Cooperação, comunicação e responsabilidade</w:t>
            </w:r>
          </w:p>
        </w:tc>
        <w:tc>
          <w:tcPr>
            <w:tcW w:type="dxa" w:w="3043"/>
            <w:vAlign w:val="center"/>
          </w:tcPr>
          <w:p>
            <w:pPr>
              <w:spacing w:after="80" w:before="80" w:line="252" w:lineRule="auto"/>
            </w:pPr>
            <w:r>
              <w:rPr>
                <w:rFonts w:ascii="Liberation Sans" w:hAnsi="Liberation Sans"/>
                <w:b w:val="0"/>
                <w:sz w:val="19"/>
              </w:rPr>
              <w:t>Popularidade ou obediência pessoal</w:t>
            </w:r>
          </w:p>
        </w:tc>
      </w:tr>
    </w:tbl>
    <w:p>
      <w:pPr>
        <w:spacing w:after="0"/>
      </w:pPr>
    </w:p>
    <w:p>
      <w:pPr>
        <w:pStyle w:val="Heading2"/>
      </w:pPr>
      <w:r>
        <w:t>Exemplo de pesos, não regra salarial vigente</w:t>
      </w:r>
    </w:p>
    <w:p>
      <w:r>
        <w:rPr>
          <w:b w:val="0"/>
        </w:rPr>
        <w:t>Para discutir uma função médica, a versão textual inicial utiliza 30% em M, 35% em C, 10% em F e 25% em H. A imagem histórica de mérito apresenta percentuais diferentes. Nenhum dos conjuntos foi validado. Esta edição registra a divergência e exige que a matriz definitiva seja pactuada para cada função antes de afetar carreira ou renda.</w:t>
      </w:r>
    </w:p>
    <w:p>
      <w:r>
        <w:rPr>
          <w:b w:val="0"/>
        </w:rPr>
        <w:t>Em medicina, não faria sentido remunerar pela mortalidade bruta sem ajustar gravidade ou pela quantidade de procedimentos sem avaliar indicação. Em educação, o resultado da turma depende também do contexto e do ponto de partida. Em trabalho físico, a prevenção de lesões não deve ser punida como baixa produtividade. Esses exemplos mostram por que um índice geral aplicado a todas as profissões seria inadequado.</w:t>
      </w:r>
    </w:p>
    <w:p>
      <w:pPr>
        <w:pStyle w:val="Heading2"/>
      </w:pPr>
      <w:r>
        <w:t>Inclusão e proporcionalidade</w:t>
      </w:r>
    </w:p>
    <w:p>
      <w:r>
        <w:rPr>
          <w:b w:val="0"/>
        </w:rPr>
        <w:t>Uma capacidade física só pode ser avaliada quando essencial à tarefa. Adaptações razoáveis, tecnologia assistiva e acessibilidade precisam integrar a análise. A Lei Brasileira de Inclusão protege participação e igualdade de oportunidades e oferece um referencial normativo que não pode ser contornado por uma rubrica de mérito. [7]</w:t>
      </w:r>
    </w:p>
    <w:p>
      <w:r>
        <w:rPr>
          <w:b w:val="0"/>
        </w:rPr>
        <w:t>A avaliação de trabalhadores deve reduzir assimetria de poder. Pesquisas precisam proteger identidade e permitir crítica à chefia sem retaliação. Pares podem avaliar cooperação, mas não devem controlar sozinhos a carreira de um concorrente. As decisões devem combinar evidências documentadas, critérios prévios e revisão independente.</w:t>
      </w:r>
    </w:p>
    <w:p>
      <w:r>
        <w:rPr>
          <w:b/>
        </w:rPr>
        <w:t>Síntese:</w:t>
      </w:r>
      <w:r>
        <w:rPr>
          <w:b w:val="0"/>
        </w:rPr>
        <w:t xml:space="preserve"> mérito profissional é contribuição contextualizada à função; nunca uma classificação total da pessoa.</w:t>
      </w:r>
    </w:p>
    <w:p>
      <w:bookmarkStart w:id="8" w:name="ch8"/>
      <w:pPr>
        <w:pStyle w:val="Heading1"/>
      </w:pPr>
      <w:r>
        <w:t>9. Fórmula salarial</w:t>
      </w:r>
      <w:bookmarkEnd w:id="8"/>
    </w:p>
    <w:p>
      <w:pPr>
        <w:pStyle w:val="Heading2"/>
      </w:pPr>
      <w:r>
        <w:t>O piso precisa de uma base verificável</w:t>
      </w:r>
    </w:p>
    <w:p>
      <w:r>
        <w:rPr>
          <w:b w:val="0"/>
        </w:rPr>
        <w:t>O Piso de Vida Local, PVL, é uma proposta de referência de custo de vida, não o nome de um benefício existente. Sua cesta deve explicitar moradia, alimentação, transporte, energia, comunicação, cuidados, cultura e reserva. É necessário distinguir um piso individual de uma necessidade familiar: multiplicar a mesma cesta pelo número de pessoas pode superestimar alguns custos compartilhados e subestimar necessidades especiais.</w:t>
      </w:r>
    </w:p>
    <w:p>
      <w:r>
        <w:rPr>
          <w:b w:val="0"/>
        </w:rPr>
        <w:t>A OIT define o debate sobre salário digno a partir das necessidades dos trabalhadores e de suas famílias, das circunstâncias locais e dos fatores econômicos. A operacionalização depende de diálogo social e instituições salariais. Isso sustenta uma metodologia transparente; não demonstra que o teto de trinta PVL ou o bônus de 20% do SMD-4 sejam adequados. [4][16]</w:t>
      </w:r>
    </w:p>
    <w:p>
      <w:pPr>
        <w:pStyle w:val="Heading2"/>
      </w:pPr>
      <w:r>
        <w:t>Estrutura proposta</w:t>
      </w:r>
    </w:p>
    <w:p>
      <w:r>
        <w:rPr>
          <w:b w:val="0"/>
        </w:rPr>
        <w:t>Salário de referência = PVL × coeficiente do cargo × coeficiente do nível × fração de jornada + adicionais elegíveis + bônus limitado.</w:t>
      </w:r>
    </w:p>
    <w:p>
      <w:r>
        <w:rPr>
          <w:b w:val="0"/>
        </w:rPr>
        <w:t>Os coeficientes representam complexidade, responsabilidade e autonomia. A fração de jornada relaciona horas contratadas a uma jornada de referência, respeitadas as normas aplicáveis. Adicionais devem evitar dupla contagem: uma parcela regional não pode repetir o mesmo custo de vida já incorporado ao PVL. Risco ocupacional tampouco deve substituir prevenção e proteção.</w:t>
      </w:r>
    </w:p>
    <w:p>
      <w:r>
        <w:rPr>
          <w:b w:val="0"/>
        </w:rPr>
        <w:t>Exemplo fictício: PVL de R$ 4.000, coeficiente do cargo de 1,5, nível de 1,2 e jornada integral produzem base de R$ 7.200. Com R$ 800 em adicionais e bônus de 10% da base, a remuneração demonstrativa é R$ 8.720. Não se trata de sugestão de salário para uma profissão real. A base do bônus e os critérios dos adicionais precisam constar expressamente do regulamento.</w:t>
      </w:r>
    </w:p>
    <w:p>
      <w:pPr>
        <w:pStyle w:val="Heading2"/>
      </w:pPr>
      <w:r>
        <w:t>Tetos, dispersão e estabilidade</w:t>
      </w:r>
    </w:p>
    <w:p>
      <w:r>
        <w:rPr>
          <w:b w:val="0"/>
        </w:rPr>
        <w:t>Os limites iniciais de 30 PVL para remuneração recorrente, relação 20:1 dentro de empresas subsidiadas e bônus de até 20% são parâmetros para simulação. Aplicá-los de maneira geral exigiria análise jurídica, negociação e avaliação de emprego, produtividade e evasão de funções críticas. Não existe, nesta obra, uma estimativa que prove esses números como “justos”.</w:t>
      </w:r>
    </w:p>
    <w:p>
      <w:r>
        <w:rPr>
          <w:b w:val="0"/>
        </w:rPr>
        <w:t>Desvio-padrão mede dispersão, não justiça. Uma distribuição normal não deve ser imposta à remuneração nem usada para garantir que sempre exista uma fração de trabalhadores “inferiores”. Pode haver várias pessoas excelentes ao mesmo tempo. A política salarial deve ser orientada por critérios substantivos, e não por uma curva estatística convertida em norma moral.</w:t>
      </w:r>
    </w:p>
    <w:p>
      <w:r>
        <w:rPr>
          <w:b/>
        </w:rPr>
        <w:t>Síntese:</w:t>
      </w:r>
      <w:r>
        <w:rPr>
          <w:b w:val="0"/>
        </w:rPr>
        <w:t xml:space="preserve"> renda estável, piso transparente, adicionais justificados e mérito limitado à parcela que pode ser avaliada com confiabilidade.</w:t>
      </w:r>
    </w:p>
    <w:p>
      <w:bookmarkStart w:id="9" w:name="ch9"/>
      <w:pPr>
        <w:pStyle w:val="Heading1"/>
      </w:pPr>
      <w:r>
        <w:t>10. Histórico escolar das crianças</w:t>
      </w:r>
      <w:bookmarkEnd w:id="9"/>
    </w:p>
    <w:p>
      <w:pPr>
        <w:pStyle w:val="Heading2"/>
      </w:pPr>
      <w:r>
        <w:t>A infância não é um contrato de remuneração futura</w:t>
      </w:r>
    </w:p>
    <w:p>
      <w:r>
        <w:rPr>
          <w:b w:val="0"/>
        </w:rPr>
        <w:t>A formulação original sugeriu que o esforço escolar desde cedo influenciasse salários futuros. A intenção é reconhecer estudo e perseverança. O problema é que notas infantis também refletem qualidade escolar, apoio familiar, alimentação, segurança, saúde e acessibilidade. Converter essas notas em descontos permanentes na vida adulta confundiria oportunidade com mérito.</w:t>
      </w:r>
    </w:p>
    <w:p>
      <w:r>
        <w:rPr>
          <w:b w:val="0"/>
        </w:rPr>
        <w:t>A regra editorial desta versão é clara: dificuldades anteriores à vida adulta não geram penalidade salarial permanente. O registro escolar deve orientar apoio e oportunidades, respeitando finalidade, proteção de dados e desenvolvimento da criança. A LGPD prevê proteção específica ao tratamento de dados de crianças e adolescentes, com consideração de seu melhor interesse. [6]</w:t>
      </w:r>
    </w:p>
    <w:p>
      <w:pPr>
        <w:pStyle w:val="Heading2"/>
      </w:pPr>
      <w:r>
        <w:t>Apoio progressivo</w:t>
      </w:r>
    </w:p>
    <w:p>
      <w:r>
        <w:rPr>
          <w:b w:val="0"/>
        </w:rPr>
        <w:t>Uma nota baixa deve acionar uma pergunta pedagógica: qual barreira impede a aprendizagem? A resposta pode envolver tutoria, material acessível, alimentação, mudança de método ou apoio especializado. Um resultado alto pode abrir oportunidades científicas ou artísticas sem retirar o direito de outras crianças a uma educação de qualidade.</w:t>
      </w:r>
    </w:p>
    <w:p>
      <w:r>
        <w:rPr>
          <w:b w:val="0"/>
        </w:rPr>
        <w:t>O reconhecimento não precisa ser exclusivamente acadêmico. Cooperação, criação artística, participação comunitária e habilidades práticas também podem ser desenvolvidas. Isso não justifica uma nota total de personalidade, nem vigilância permanente de comportamento. A escola não deve produzir um dossiê que acompanhe a pessoa por toda a vida econômica.</w:t>
      </w:r>
    </w:p>
    <w:p>
      <w:pPr>
        <w:pStyle w:val="Heading2"/>
      </w:pPr>
      <w:r>
        <w:t>Segunda chance e percurso não linear</w:t>
      </w:r>
    </w:p>
    <w:p>
      <w:r>
        <w:rPr>
          <w:b w:val="0"/>
        </w:rPr>
        <w:t>O modelo deve permitir ingresso tardio, educação de adultos, reconhecimento de competências, requalificação e mudança de profissão. A dificuldade em uma etapa não determina o potencial de todas as etapas posteriores. Bolsas não devem depender de uma única prova, e processos de seleção precisam informar adaptações e meios de recurso.</w:t>
      </w:r>
    </w:p>
    <w:p>
      <w:r>
        <w:rPr>
          <w:b w:val="0"/>
        </w:rPr>
        <w:t>No piloto, a educação deve ser avaliada por acesso, permanência, evolução da aprendizagem e remoção de barreiras, sem expor estudantes identificáveis. Indicadores públicos devem ser agregados e não permitir que uma comunidade pequena seja indiretamente identificada. A finalidade é melhorar a instituição, não produzir um mercado de reputações infantis.</w:t>
      </w:r>
    </w:p>
    <w:p>
      <w:r>
        <w:rPr>
          <w:b/>
        </w:rPr>
        <w:t>Síntese:</w:t>
      </w:r>
      <w:r>
        <w:rPr>
          <w:b w:val="0"/>
        </w:rPr>
        <w:t xml:space="preserve"> desempenho infantil pode abrir apoio e oportunidades; não pode funcionar como sentença econômica vitalícia.</w:t>
      </w:r>
    </w:p>
    <w:p>
      <w:bookmarkStart w:id="10" w:name="ch10"/>
      <w:pPr>
        <w:pStyle w:val="Heading1"/>
      </w:pPr>
      <w:r>
        <w:t>11. As quatro faixas sociais</w:t>
      </w:r>
      <w:bookmarkEnd w:id="10"/>
    </w:p>
    <w:p>
      <w:pPr>
        <w:pStyle w:val="Heading2"/>
      </w:pPr>
      <w:r>
        <w:t>Uma categoria analítica, não uma identidade pública</w:t>
      </w:r>
    </w:p>
    <w:p>
      <w:r>
        <w:rPr>
          <w:b w:val="0"/>
        </w:rPr>
        <w:t>As faixas propostas descrevem situações econômicas: dignidade protegida, estabilidade, prosperidade e alta prosperidade delimitada. Elas não devem aparecer em documentos de identidade, perfis sociais, escolas, hospitais ou filas de atendimento. Sua eventual utilização seria restrita a tributação e desenho de políticas, com necessidade demonstrada e proteção de dados.</w:t>
      </w:r>
    </w:p>
    <w:p>
      <w:r>
        <w:rPr>
          <w:b w:val="0"/>
        </w:rPr>
        <w:t>A primeira faixa não significa incapacidade; a quarta não significa virtude. Renda depende de circunstâncias e pode variar ao longo da vida. A pessoa desempregada, aposentada, em tratamento ou dedicada a cuidados mantém o mesmo valor e os mesmos direitos. A Constituição não permite converter poder econômico em cidadania de qualidade distinta. [1]</w:t>
      </w:r>
    </w:p>
    <w:p>
      <w:pPr>
        <w:pStyle w:val="Heading2"/>
      </w:pPr>
      <w:r>
        <w:t>Como definir as faixas</w:t>
      </w:r>
    </w:p>
    <w:p>
      <w:r>
        <w:rPr>
          <w:b w:val="0"/>
        </w:rPr>
        <w:t>Antes de criar limites, é preciso decidir a unidade: indivíduo ou domicílio; renda bruta ou disponível; patrimônio bruto ou líquido; período mensal ou anual. Dívidas, dependentes, custos locais e despesas excepcionais precisam ser tratados de maneira explícita. Uma classificação mal desenhada pode enquadrar como próspera uma família que possui um imóvel, mas não tem renda suficiente para viver.</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Faixa proposta</w:t>
            </w:r>
          </w:p>
        </w:tc>
        <w:tc>
          <w:tcPr>
            <w:tcW w:type="dxa" w:w="3043"/>
            <w:vAlign w:val="center"/>
            <w:shd w:fill="142B40"/>
          </w:tcPr>
          <w:p>
            <w:pPr>
              <w:spacing w:after="80" w:before="80" w:line="252" w:lineRule="auto"/>
            </w:pPr>
            <w:r>
              <w:rPr>
                <w:rFonts w:ascii="Liberation Sans" w:hAnsi="Liberation Sans"/>
                <w:b/>
                <w:color w:val="FFFFFF"/>
                <w:sz w:val="19"/>
              </w:rPr>
              <w:t>Função analítica</w:t>
            </w:r>
          </w:p>
        </w:tc>
        <w:tc>
          <w:tcPr>
            <w:tcW w:type="dxa" w:w="3043"/>
            <w:vAlign w:val="center"/>
            <w:shd w:fill="142B40"/>
          </w:tcPr>
          <w:p>
            <w:pPr>
              <w:spacing w:after="80" w:before="80" w:line="252" w:lineRule="auto"/>
            </w:pPr>
            <w:r>
              <w:rPr>
                <w:rFonts w:ascii="Liberation Sans" w:hAnsi="Liberation Sans"/>
                <w:b/>
                <w:color w:val="FFFFFF"/>
                <w:sz w:val="19"/>
              </w:rPr>
              <w:t>Salvaguarda</w:t>
            </w:r>
          </w:p>
        </w:tc>
      </w:tr>
      <w:tr>
        <w:trPr>
          <w:cantSplit/>
        </w:trPr>
        <w:tc>
          <w:tcPr>
            <w:tcW w:type="dxa" w:w="3043"/>
            <w:vAlign w:val="center"/>
          </w:tcPr>
          <w:p>
            <w:pPr>
              <w:spacing w:after="80" w:before="80" w:line="252" w:lineRule="auto"/>
            </w:pPr>
            <w:r>
              <w:rPr>
                <w:rFonts w:ascii="Liberation Sans" w:hAnsi="Liberation Sans"/>
                <w:b w:val="0"/>
                <w:sz w:val="19"/>
              </w:rPr>
              <w:t>Dignidade protegida</w:t>
            </w:r>
          </w:p>
        </w:tc>
        <w:tc>
          <w:tcPr>
            <w:tcW w:type="dxa" w:w="3043"/>
            <w:vAlign w:val="center"/>
          </w:tcPr>
          <w:p>
            <w:pPr>
              <w:spacing w:after="80" w:before="80" w:line="252" w:lineRule="auto"/>
            </w:pPr>
            <w:r>
              <w:rPr>
                <w:rFonts w:ascii="Liberation Sans" w:hAnsi="Liberation Sans"/>
                <w:b w:val="0"/>
                <w:sz w:val="19"/>
              </w:rPr>
              <w:t>Identificar necessidades não atendidas</w:t>
            </w:r>
          </w:p>
        </w:tc>
        <w:tc>
          <w:tcPr>
            <w:tcW w:type="dxa" w:w="3043"/>
            <w:vAlign w:val="center"/>
          </w:tcPr>
          <w:p>
            <w:pPr>
              <w:spacing w:after="80" w:before="80" w:line="252" w:lineRule="auto"/>
            </w:pPr>
            <w:r>
              <w:rPr>
                <w:rFonts w:ascii="Liberation Sans" w:hAnsi="Liberation Sans"/>
                <w:b w:val="0"/>
                <w:sz w:val="19"/>
              </w:rPr>
              <w:t>Proteção não depende de pontuação moral</w:t>
            </w:r>
          </w:p>
        </w:tc>
      </w:tr>
      <w:tr>
        <w:trPr>
          <w:cantSplit/>
        </w:trPr>
        <w:tc>
          <w:tcPr>
            <w:tcW w:type="dxa" w:w="3043"/>
            <w:vAlign w:val="center"/>
          </w:tcPr>
          <w:p>
            <w:pPr>
              <w:spacing w:after="80" w:before="80" w:line="252" w:lineRule="auto"/>
            </w:pPr>
            <w:r>
              <w:rPr>
                <w:rFonts w:ascii="Liberation Sans" w:hAnsi="Liberation Sans"/>
                <w:b w:val="0"/>
                <w:sz w:val="19"/>
              </w:rPr>
              <w:t>Estabilidade</w:t>
            </w:r>
          </w:p>
        </w:tc>
        <w:tc>
          <w:tcPr>
            <w:tcW w:type="dxa" w:w="3043"/>
            <w:vAlign w:val="center"/>
          </w:tcPr>
          <w:p>
            <w:pPr>
              <w:spacing w:after="80" w:before="80" w:line="252" w:lineRule="auto"/>
            </w:pPr>
            <w:r>
              <w:rPr>
                <w:rFonts w:ascii="Liberation Sans" w:hAnsi="Liberation Sans"/>
                <w:b w:val="0"/>
                <w:sz w:val="19"/>
              </w:rPr>
              <w:t>Reconhecer renda regular e reserva básica</w:t>
            </w:r>
          </w:p>
        </w:tc>
        <w:tc>
          <w:tcPr>
            <w:tcW w:type="dxa" w:w="3043"/>
            <w:vAlign w:val="center"/>
          </w:tcPr>
          <w:p>
            <w:pPr>
              <w:spacing w:after="80" w:before="80" w:line="252" w:lineRule="auto"/>
            </w:pPr>
            <w:r>
              <w:rPr>
                <w:rFonts w:ascii="Liberation Sans" w:hAnsi="Liberation Sans"/>
                <w:b w:val="0"/>
                <w:sz w:val="19"/>
              </w:rPr>
              <w:t>Perda gradual de benefícios, sem corte abrupto</w:t>
            </w:r>
          </w:p>
        </w:tc>
      </w:tr>
      <w:tr>
        <w:trPr>
          <w:cantSplit/>
        </w:trPr>
        <w:tc>
          <w:tcPr>
            <w:tcW w:type="dxa" w:w="3043"/>
            <w:vAlign w:val="center"/>
          </w:tcPr>
          <w:p>
            <w:pPr>
              <w:spacing w:after="80" w:before="80" w:line="252" w:lineRule="auto"/>
            </w:pPr>
            <w:r>
              <w:rPr>
                <w:rFonts w:ascii="Liberation Sans" w:hAnsi="Liberation Sans"/>
                <w:b w:val="0"/>
                <w:sz w:val="19"/>
              </w:rPr>
              <w:t>Prosperidade</w:t>
            </w:r>
          </w:p>
        </w:tc>
        <w:tc>
          <w:tcPr>
            <w:tcW w:type="dxa" w:w="3043"/>
            <w:vAlign w:val="center"/>
          </w:tcPr>
          <w:p>
            <w:pPr>
              <w:spacing w:after="80" w:before="80" w:line="252" w:lineRule="auto"/>
            </w:pPr>
            <w:r>
              <w:rPr>
                <w:rFonts w:ascii="Liberation Sans" w:hAnsi="Liberation Sans"/>
                <w:b w:val="0"/>
                <w:sz w:val="19"/>
              </w:rPr>
              <w:t>Avaliar capacidade contributiva ampliada</w:t>
            </w:r>
          </w:p>
        </w:tc>
        <w:tc>
          <w:tcPr>
            <w:tcW w:type="dxa" w:w="3043"/>
            <w:vAlign w:val="center"/>
          </w:tcPr>
          <w:p>
            <w:pPr>
              <w:spacing w:after="80" w:before="80" w:line="252" w:lineRule="auto"/>
            </w:pPr>
            <w:r>
              <w:rPr>
                <w:rFonts w:ascii="Liberation Sans" w:hAnsi="Liberation Sans"/>
                <w:b w:val="0"/>
                <w:sz w:val="19"/>
              </w:rPr>
              <w:t>Distinguir ativos ilíquidos de renda disponível</w:t>
            </w:r>
          </w:p>
        </w:tc>
      </w:tr>
      <w:tr>
        <w:trPr>
          <w:cantSplit/>
        </w:trPr>
        <w:tc>
          <w:tcPr>
            <w:tcW w:type="dxa" w:w="3043"/>
            <w:vAlign w:val="center"/>
          </w:tcPr>
          <w:p>
            <w:pPr>
              <w:spacing w:after="80" w:before="80" w:line="252" w:lineRule="auto"/>
            </w:pPr>
            <w:r>
              <w:rPr>
                <w:rFonts w:ascii="Liberation Sans" w:hAnsi="Liberation Sans"/>
                <w:b w:val="0"/>
                <w:sz w:val="19"/>
              </w:rPr>
              <w:t>Alta prosperidade delimitada</w:t>
            </w:r>
          </w:p>
        </w:tc>
        <w:tc>
          <w:tcPr>
            <w:tcW w:type="dxa" w:w="3043"/>
            <w:vAlign w:val="center"/>
          </w:tcPr>
          <w:p>
            <w:pPr>
              <w:spacing w:after="80" w:before="80" w:line="252" w:lineRule="auto"/>
            </w:pPr>
            <w:r>
              <w:rPr>
                <w:rFonts w:ascii="Liberation Sans" w:hAnsi="Liberation Sans"/>
                <w:b w:val="0"/>
                <w:sz w:val="19"/>
              </w:rPr>
              <w:t>Examinar concentração e contribuição</w:t>
            </w:r>
          </w:p>
        </w:tc>
        <w:tc>
          <w:tcPr>
            <w:tcW w:type="dxa" w:w="3043"/>
            <w:vAlign w:val="center"/>
          </w:tcPr>
          <w:p>
            <w:pPr>
              <w:spacing w:after="80" w:before="80" w:line="252" w:lineRule="auto"/>
            </w:pPr>
            <w:r>
              <w:rPr>
                <w:rFonts w:ascii="Liberation Sans" w:hAnsi="Liberation Sans"/>
                <w:b w:val="0"/>
                <w:sz w:val="19"/>
              </w:rPr>
              <w:t>Critérios legais, devido processo e privacidade</w:t>
            </w:r>
          </w:p>
        </w:tc>
      </w:tr>
    </w:tbl>
    <w:p>
      <w:pPr>
        <w:spacing w:after="0"/>
      </w:pPr>
    </w:p>
    <w:p>
      <w:pPr>
        <w:pStyle w:val="Heading2"/>
      </w:pPr>
      <w:r>
        <w:t>Evitar o efeito de degrau</w:t>
      </w:r>
    </w:p>
    <w:p>
      <w:r>
        <w:rPr>
          <w:b w:val="0"/>
        </w:rPr>
        <w:t>Se uma pequena melhora de renda provoca perda grande de benefícios, o sistema pode criar um obstáculo à progressão. A proposta recomenda transições graduais e cálculo da renda disponível após tributos e transferências. A medida de sucesso é a pessoa viver melhor quando progride, não apenas mudar de etiqueta.</w:t>
      </w:r>
    </w:p>
    <w:p>
      <w:r>
        <w:rPr>
          <w:b w:val="0"/>
        </w:rPr>
        <w:t>As faixas não são obrigatórias para todos os componentes do projeto. Um piloto pode funcionar sem classificar famílias, usando indicadores agregados de acesso. Essa opção menos invasiva deve ser preferida quando produz o mesmo benefício. Mobilidade social é um resultado a medir ao longo do tempo; não uma promessa demonstrada pela existência de quatro categorias.</w:t>
      </w:r>
    </w:p>
    <w:p>
      <w:r>
        <w:rPr>
          <w:b/>
        </w:rPr>
        <w:t>Síntese:</w:t>
      </w:r>
      <w:r>
        <w:rPr>
          <w:b w:val="0"/>
        </w:rPr>
        <w:t xml:space="preserve"> categorias econômicas podem orientar políticas; nunca autorizar segregação ou reduzir direitos.</w:t>
      </w:r>
    </w:p>
    <w:p>
      <w:bookmarkStart w:id="11" w:name="ch11"/>
      <w:pPr>
        <w:pStyle w:val="Heading1"/>
      </w:pPr>
      <w:r>
        <w:t>12. Limitação de patrimônio</w:t>
      </w:r>
      <w:bookmarkEnd w:id="11"/>
    </w:p>
    <w:p>
      <w:pPr>
        <w:pStyle w:val="Heading2"/>
      </w:pPr>
      <w:r>
        <w:t>Finalidade e diferenças entre instrumentos</w:t>
      </w:r>
    </w:p>
    <w:p>
      <w:r>
        <w:rPr>
          <w:b w:val="0"/>
        </w:rPr>
        <w:t>O objetivo autoral é impedir que a acumulação econômica se converta em poder sem limite. Três instrumentos diferentes precisam ser separados: tributação progressiva, regras contra concentração de mercado e teto absoluto de patrimônio. Eles têm efeitos, exigências jurídicas e custos de administração distintos. Não é correto tratar um imposto progressivo como equivalente a um confisco ou supor que um teto absoluto possa ser implantado por simples regulamento.</w:t>
      </w:r>
    </w:p>
    <w:p>
      <w:r>
        <w:rPr>
          <w:b w:val="0"/>
        </w:rPr>
        <w:t>A Constituição protege a propriedade e sua função social, prevê competências tributárias e veda tributo com efeito confiscatório. Uma proposta geral de limite patrimonial requer exame específico de compatibilidade constitucional, transição, contratos, herança e devido processo. A possibilidade de discutir uma emenda não significa que qualquer conteúdo seja admissível: existem limites materiais ao poder de reforma. [1]</w:t>
      </w:r>
    </w:p>
    <w:p>
      <w:pPr>
        <w:pStyle w:val="Heading2"/>
      </w:pPr>
      <w:r>
        <w:t>Os números da proposta original</w:t>
      </w:r>
    </w:p>
    <w:p>
      <w:r>
        <w:rPr>
          <w:b w:val="0"/>
        </w:rPr>
        <w:t>A referência inicial de até três imóveis residenciais e três veículos pessoais é preservada como hipótese. Contar unidades não mede adequadamente riqueza: três imóveis de altíssimo valor podem representar patrimônio maior que várias moradias simples. Além disso, propriedade fracionada, residência multigeracional, trabalho, acessibilidade e diferenças regionais exigem tratamento próprio.</w:t>
      </w:r>
    </w:p>
    <w:p>
      <w:r>
        <w:rPr>
          <w:b w:val="0"/>
        </w:rPr>
        <w:t>O teto ilustrativo de 500 PVL anuais também não é recomendação validada. Se o PVL mensal hipotético for R$ 4.000, o PVL anual será R$ 48.000 e o teto simulado será R$ 24 milhões. O cálculo demonstra uma relação matemática; não prova adequação econômica nem validade jurídica.</w:t>
      </w:r>
    </w:p>
    <w:p>
      <w:pPr>
        <w:pStyle w:val="Heading2"/>
      </w:pPr>
      <w:r>
        <w:t>Ativos produtivos e beneficiário real</w:t>
      </w:r>
    </w:p>
    <w:p>
      <w:r>
        <w:rPr>
          <w:b w:val="0"/>
        </w:rPr>
        <w:t>É necessário distinguir uso pessoal de instalações empresariais, equipamentos, imóveis de prestação de serviço e ativos cooperativos. Excluir toda pessoa jurídica do limite, porém, abriria uma rota de ocultação por empresas controladas. A análise deve considerar beneficiário real, participação econômica e dívidas legítimas, sem presumir fraude pela mera existência de uma sociedade.</w:t>
      </w:r>
    </w:p>
    <w:p>
      <w:r>
        <w:rPr>
          <w:b w:val="0"/>
        </w:rPr>
        <w:t>A transição não deve exigir vendas simultâneas indiscriminadas. Alternativas em debate incluem tributação progressiva, regras sucessórias, distribuição de participação a trabalhadores e aportes voluntários a fundos. Cada opção precisa de regime jurídico próprio. Uma doação não apaga necessariamente o controle econômico, e uma fundação não deve ser um mecanismo de poder privado sem fiscalização.</w:t>
      </w:r>
    </w:p>
    <w:p>
      <w:pPr>
        <w:pStyle w:val="Heading2"/>
      </w:pPr>
      <w:r>
        <w:t>Critério de prudência</w:t>
      </w:r>
    </w:p>
    <w:p>
      <w:r>
        <w:rPr>
          <w:b w:val="0"/>
        </w:rPr>
        <w:t>Antes de discutir teto absoluto nacional, o piloto pode avaliar concentração econômica, transparência e acesso a ativos sem impor alienações. Medidas menos restritivas devem ser comparadas com a proposta forte. A decisão final depende de legitimidade democrática, demonstração de necessidade, análise distributiva e controle judicial.</w:t>
      </w:r>
    </w:p>
    <w:p>
      <w:r>
        <w:rPr>
          <w:b/>
        </w:rPr>
        <w:t>Síntese:</w:t>
      </w:r>
      <w:r>
        <w:rPr>
          <w:b w:val="0"/>
        </w:rPr>
        <w:t xml:space="preserve"> limitar concentração é uma finalidade discutível democraticamente; escolher um teto exige muito mais que definir um número.</w:t>
      </w:r>
    </w:p>
    <w:p>
      <w:bookmarkStart w:id="12" w:name="ch12"/>
      <w:pPr>
        <w:pStyle w:val="Heading1"/>
      </w:pPr>
      <w:r>
        <w:t>13. Sistema bancário em divisões</w:t>
      </w:r>
      <w:bookmarkEnd w:id="12"/>
    </w:p>
    <w:p>
      <w:pPr>
        <w:pStyle w:val="Heading2"/>
      </w:pPr>
      <w:r>
        <w:t>Segurança antes do espetáculo do ranking</w:t>
      </w:r>
    </w:p>
    <w:p>
      <w:r>
        <w:rPr>
          <w:b w:val="0"/>
        </w:rPr>
        <w:t>Bancos podem ser comparados por atendimento, tarifas, resolução de problemas e inclusão. Contudo, uma classificação pública simplificada não deve induzir a ideia de que a “Divisão A” equivale a garantia integral dos depósitos. Supervisão prudencial, gestão de riscos e proteção financeira seguem instituições e regras próprias. Um ranking de satisfação não substitui essas funções.</w:t>
      </w:r>
    </w:p>
    <w:p>
      <w:r>
        <w:rPr>
          <w:b w:val="0"/>
        </w:rPr>
        <w:t>A arquitetura inicial prevê até oito instituições na faixa de referência, dezesseis na segunda, trinta e duas na terceira e grupos abertos na entrada. Esses números não definem quantos bancos podem existir. Cooperativas e instituições regionais precisam ser avaliadas de acordo com seu público, porte e serviços efetivamente oferecidos.</w:t>
      </w:r>
    </w:p>
    <w:p>
      <w:pPr>
        <w:pStyle w:val="Heading2"/>
      </w:pPr>
      <w:r>
        <w:t>Composição ilustrativa da nota bancária</w:t>
      </w:r>
    </w:p>
    <w:tbl>
      <w:tblPr>
        <w:tblStyle w:val="LightShading-Accent1"/>
        <w:tblW w:type="auto" w:w="0"/>
        <w:tblLayout w:type="fixed"/>
        <w:tblLook w:firstColumn="1" w:firstRow="1" w:lastColumn="0" w:lastRow="0" w:noHBand="0" w:noVBand="1" w:val="04A0"/>
      </w:tblPr>
      <w:tblGrid>
        <w:gridCol w:w="4564"/>
        <w:gridCol w:w="4564"/>
      </w:tblGrid>
      <w:tr>
        <w:trPr>
          <w:cantSplit/>
          <w:tblHeader/>
        </w:trPr>
        <w:tc>
          <w:tcPr>
            <w:tcW w:type="dxa" w:w="4564"/>
            <w:vAlign w:val="center"/>
            <w:shd w:fill="142B40"/>
          </w:tcPr>
          <w:p>
            <w:pPr>
              <w:spacing w:after="80" w:before="80" w:line="252" w:lineRule="auto"/>
            </w:pPr>
            <w:r>
              <w:rPr>
                <w:rFonts w:ascii="Liberation Sans" w:hAnsi="Liberation Sans"/>
                <w:b/>
                <w:color w:val="FFFFFF"/>
                <w:sz w:val="19"/>
              </w:rPr>
              <w:t>Dimensão</w:t>
            </w:r>
          </w:p>
        </w:tc>
        <w:tc>
          <w:tcPr>
            <w:tcW w:type="dxa" w:w="4564"/>
            <w:vAlign w:val="center"/>
            <w:shd w:fill="142B40"/>
          </w:tcPr>
          <w:p>
            <w:pPr>
              <w:spacing w:after="80" w:before="80" w:line="252" w:lineRule="auto"/>
            </w:pPr>
            <w:r>
              <w:rPr>
                <w:rFonts w:ascii="Liberation Sans" w:hAnsi="Liberation Sans"/>
                <w:b/>
                <w:color w:val="FFFFFF"/>
                <w:sz w:val="19"/>
              </w:rPr>
              <w:t>Peso</w:t>
            </w:r>
          </w:p>
        </w:tc>
      </w:tr>
      <w:tr>
        <w:trPr>
          <w:cantSplit/>
        </w:trPr>
        <w:tc>
          <w:tcPr>
            <w:tcW w:type="dxa" w:w="4564"/>
            <w:vAlign w:val="center"/>
          </w:tcPr>
          <w:p>
            <w:pPr>
              <w:spacing w:after="80" w:before="80" w:line="252" w:lineRule="auto"/>
            </w:pPr>
            <w:r>
              <w:rPr>
                <w:rFonts w:ascii="Liberation Sans" w:hAnsi="Liberation Sans"/>
                <w:b w:val="0"/>
                <w:sz w:val="19"/>
              </w:rPr>
              <w:t>Solvência e segurança</w:t>
            </w:r>
          </w:p>
        </w:tc>
        <w:tc>
          <w:tcPr>
            <w:tcW w:type="dxa" w:w="4564"/>
            <w:vAlign w:val="center"/>
          </w:tcPr>
          <w:p>
            <w:pPr>
              <w:spacing w:after="80" w:before="80" w:line="252" w:lineRule="auto"/>
            </w:pPr>
            <w:r>
              <w:rPr>
                <w:rFonts w:ascii="Liberation Sans" w:hAnsi="Liberation Sans"/>
                <w:b w:val="0"/>
                <w:sz w:val="19"/>
              </w:rPr>
              <w:t>20%</w:t>
            </w:r>
          </w:p>
        </w:tc>
      </w:tr>
      <w:tr>
        <w:trPr>
          <w:cantSplit/>
        </w:trPr>
        <w:tc>
          <w:tcPr>
            <w:tcW w:type="dxa" w:w="4564"/>
            <w:vAlign w:val="center"/>
          </w:tcPr>
          <w:p>
            <w:pPr>
              <w:spacing w:after="80" w:before="80" w:line="252" w:lineRule="auto"/>
            </w:pPr>
            <w:r>
              <w:rPr>
                <w:rFonts w:ascii="Liberation Sans" w:hAnsi="Liberation Sans"/>
                <w:b w:val="0"/>
                <w:sz w:val="19"/>
              </w:rPr>
              <w:t>Juros, tarifas e custo efetivo</w:t>
            </w:r>
          </w:p>
        </w:tc>
        <w:tc>
          <w:tcPr>
            <w:tcW w:type="dxa" w:w="4564"/>
            <w:vAlign w:val="center"/>
          </w:tcPr>
          <w:p>
            <w:pPr>
              <w:spacing w:after="80" w:before="80" w:line="252" w:lineRule="auto"/>
            </w:pPr>
            <w:r>
              <w:rPr>
                <w:rFonts w:ascii="Liberation Sans" w:hAnsi="Liberation Sans"/>
                <w:b w:val="0"/>
                <w:sz w:val="19"/>
              </w:rPr>
              <w:t>20%</w:t>
            </w:r>
          </w:p>
        </w:tc>
      </w:tr>
      <w:tr>
        <w:trPr>
          <w:cantSplit/>
        </w:trPr>
        <w:tc>
          <w:tcPr>
            <w:tcW w:type="dxa" w:w="4564"/>
            <w:vAlign w:val="center"/>
          </w:tcPr>
          <w:p>
            <w:pPr>
              <w:spacing w:after="80" w:before="80" w:line="252" w:lineRule="auto"/>
            </w:pPr>
            <w:r>
              <w:rPr>
                <w:rFonts w:ascii="Liberation Sans" w:hAnsi="Liberation Sans"/>
                <w:b w:val="0"/>
                <w:sz w:val="19"/>
              </w:rPr>
              <w:t>Prevenção e resolução de fraudes</w:t>
            </w:r>
          </w:p>
        </w:tc>
        <w:tc>
          <w:tcPr>
            <w:tcW w:type="dxa" w:w="4564"/>
            <w:vAlign w:val="center"/>
          </w:tcPr>
          <w:p>
            <w:pPr>
              <w:spacing w:after="80" w:before="80" w:line="252" w:lineRule="auto"/>
            </w:pPr>
            <w:r>
              <w:rPr>
                <w:rFonts w:ascii="Liberation Sans" w:hAnsi="Liberation Sans"/>
                <w:b w:val="0"/>
                <w:sz w:val="19"/>
              </w:rPr>
              <w:t>15%</w:t>
            </w:r>
          </w:p>
        </w:tc>
      </w:tr>
      <w:tr>
        <w:trPr>
          <w:cantSplit/>
        </w:trPr>
        <w:tc>
          <w:tcPr>
            <w:tcW w:type="dxa" w:w="4564"/>
            <w:vAlign w:val="center"/>
          </w:tcPr>
          <w:p>
            <w:pPr>
              <w:spacing w:after="80" w:before="80" w:line="252" w:lineRule="auto"/>
            </w:pPr>
            <w:r>
              <w:rPr>
                <w:rFonts w:ascii="Liberation Sans" w:hAnsi="Liberation Sans"/>
                <w:b w:val="0"/>
                <w:sz w:val="19"/>
              </w:rPr>
              <w:t>Atendimento ao cliente</w:t>
            </w:r>
          </w:p>
        </w:tc>
        <w:tc>
          <w:tcPr>
            <w:tcW w:type="dxa" w:w="4564"/>
            <w:vAlign w:val="center"/>
          </w:tcPr>
          <w:p>
            <w:pPr>
              <w:spacing w:after="80" w:before="80" w:line="252" w:lineRule="auto"/>
            </w:pPr>
            <w:r>
              <w:rPr>
                <w:rFonts w:ascii="Liberation Sans" w:hAnsi="Liberation Sans"/>
                <w:b w:val="0"/>
                <w:sz w:val="19"/>
              </w:rPr>
              <w:t>15%</w:t>
            </w:r>
          </w:p>
        </w:tc>
      </w:tr>
      <w:tr>
        <w:trPr>
          <w:cantSplit/>
        </w:trPr>
        <w:tc>
          <w:tcPr>
            <w:tcW w:type="dxa" w:w="4564"/>
            <w:vAlign w:val="center"/>
          </w:tcPr>
          <w:p>
            <w:pPr>
              <w:spacing w:after="80" w:before="80" w:line="252" w:lineRule="auto"/>
            </w:pPr>
            <w:r>
              <w:rPr>
                <w:rFonts w:ascii="Liberation Sans" w:hAnsi="Liberation Sans"/>
                <w:b w:val="0"/>
                <w:sz w:val="19"/>
              </w:rPr>
              <w:t>Inclusão física e digital</w:t>
            </w:r>
          </w:p>
        </w:tc>
        <w:tc>
          <w:tcPr>
            <w:tcW w:type="dxa" w:w="4564"/>
            <w:vAlign w:val="center"/>
          </w:tcPr>
          <w:p>
            <w:pPr>
              <w:spacing w:after="80" w:before="80" w:line="252" w:lineRule="auto"/>
            </w:pPr>
            <w:r>
              <w:rPr>
                <w:rFonts w:ascii="Liberation Sans" w:hAnsi="Liberation Sans"/>
                <w:b w:val="0"/>
                <w:sz w:val="19"/>
              </w:rPr>
              <w:t>10%</w:t>
            </w:r>
          </w:p>
        </w:tc>
      </w:tr>
      <w:tr>
        <w:trPr>
          <w:cantSplit/>
        </w:trPr>
        <w:tc>
          <w:tcPr>
            <w:tcW w:type="dxa" w:w="4564"/>
            <w:vAlign w:val="center"/>
          </w:tcPr>
          <w:p>
            <w:pPr>
              <w:spacing w:after="80" w:before="80" w:line="252" w:lineRule="auto"/>
            </w:pPr>
            <w:r>
              <w:rPr>
                <w:rFonts w:ascii="Liberation Sans" w:hAnsi="Liberation Sans"/>
                <w:b w:val="0"/>
                <w:sz w:val="19"/>
              </w:rPr>
              <w:t>Crédito habitacional e produtivo</w:t>
            </w:r>
          </w:p>
        </w:tc>
        <w:tc>
          <w:tcPr>
            <w:tcW w:type="dxa" w:w="4564"/>
            <w:vAlign w:val="center"/>
          </w:tcPr>
          <w:p>
            <w:pPr>
              <w:spacing w:after="80" w:before="80" w:line="252" w:lineRule="auto"/>
            </w:pPr>
            <w:r>
              <w:rPr>
                <w:rFonts w:ascii="Liberation Sans" w:hAnsi="Liberation Sans"/>
                <w:b w:val="0"/>
                <w:sz w:val="19"/>
              </w:rPr>
              <w:t>10%</w:t>
            </w:r>
          </w:p>
        </w:tc>
      </w:tr>
      <w:tr>
        <w:trPr>
          <w:cantSplit/>
        </w:trPr>
        <w:tc>
          <w:tcPr>
            <w:tcW w:type="dxa" w:w="4564"/>
            <w:vAlign w:val="center"/>
          </w:tcPr>
          <w:p>
            <w:pPr>
              <w:spacing w:after="80" w:before="80" w:line="252" w:lineRule="auto"/>
            </w:pPr>
            <w:r>
              <w:rPr>
                <w:rFonts w:ascii="Liberation Sans" w:hAnsi="Liberation Sans"/>
                <w:b w:val="0"/>
                <w:sz w:val="19"/>
              </w:rPr>
              <w:t>Transparência</w:t>
            </w:r>
          </w:p>
        </w:tc>
        <w:tc>
          <w:tcPr>
            <w:tcW w:type="dxa" w:w="4564"/>
            <w:vAlign w:val="center"/>
          </w:tcPr>
          <w:p>
            <w:pPr>
              <w:spacing w:after="80" w:before="80" w:line="252" w:lineRule="auto"/>
            </w:pPr>
            <w:r>
              <w:rPr>
                <w:rFonts w:ascii="Liberation Sans" w:hAnsi="Liberation Sans"/>
                <w:b w:val="0"/>
                <w:sz w:val="19"/>
              </w:rPr>
              <w:t>5%</w:t>
            </w:r>
          </w:p>
        </w:tc>
      </w:tr>
      <w:tr>
        <w:trPr>
          <w:cantSplit/>
        </w:trPr>
        <w:tc>
          <w:tcPr>
            <w:tcW w:type="dxa" w:w="4564"/>
            <w:vAlign w:val="center"/>
          </w:tcPr>
          <w:p>
            <w:pPr>
              <w:spacing w:after="80" w:before="80" w:line="252" w:lineRule="auto"/>
            </w:pPr>
            <w:r>
              <w:rPr>
                <w:rFonts w:ascii="Liberation Sans" w:hAnsi="Liberation Sans"/>
                <w:b w:val="0"/>
                <w:sz w:val="19"/>
              </w:rPr>
              <w:t>Esporte e projetos sociais</w:t>
            </w:r>
          </w:p>
        </w:tc>
        <w:tc>
          <w:tcPr>
            <w:tcW w:type="dxa" w:w="4564"/>
            <w:vAlign w:val="center"/>
          </w:tcPr>
          <w:p>
            <w:pPr>
              <w:spacing w:after="80" w:before="80" w:line="252" w:lineRule="auto"/>
            </w:pPr>
            <w:r>
              <w:rPr>
                <w:rFonts w:ascii="Liberation Sans" w:hAnsi="Liberation Sans"/>
                <w:b w:val="0"/>
                <w:sz w:val="19"/>
              </w:rPr>
              <w:t>5%</w:t>
            </w:r>
          </w:p>
        </w:tc>
      </w:tr>
    </w:tbl>
    <w:p>
      <w:pPr>
        <w:spacing w:after="0"/>
      </w:pPr>
    </w:p>
    <w:p>
      <w:r>
        <w:rPr>
          <w:b w:val="0"/>
        </w:rPr>
        <w:t>A publicação de indicadores de risco precisa ser tecnicamente responsável para não produzir alarmes indevidos. Uma instituição não deve receber nota alta apenas por conceder mais crédito: é necessário avaliar adequação, inadimplência, proteção do tomador e sustentabilidade. O público também precisa saber se o indicador mede contratos novos, carteira total ou apenas clientes que responderam a pesquisas.</w:t>
      </w:r>
    </w:p>
    <w:p>
      <w:pPr>
        <w:pStyle w:val="Heading2"/>
      </w:pPr>
      <w:r>
        <w:t>Conflitos de interesse</w:t>
      </w:r>
    </w:p>
    <w:p>
      <w:r>
        <w:rPr>
          <w:b w:val="0"/>
        </w:rPr>
        <w:t>Patrocinar esporte não pode compensar fraude, atendimento abusivo ou crédito irresponsável. Auditores e avaliadores precisam declarar vínculos. A instituição avaliada não deve escolher sozinha a amostra de clientes nem exigir que um trabalhador dê nota positiva para preservar seu emprego.</w:t>
      </w:r>
    </w:p>
    <w:p>
      <w:r>
        <w:rPr>
          <w:b w:val="0"/>
        </w:rPr>
        <w:t>A liga bancária deve concentrar-se inicialmente em informação e melhoria. Associar automaticamente uma queda de posição a restrições de depósitos ou financiamentos poderia criar efeitos sistêmicos. Qualquer consequência regulatória dependeria de análise da autoridade competente, e não de um placar editorial.</w:t>
      </w:r>
    </w:p>
    <w:p>
      <w:r>
        <w:rPr>
          <w:b/>
        </w:rPr>
        <w:t>Síntese:</w:t>
      </w:r>
      <w:r>
        <w:rPr>
          <w:b w:val="0"/>
        </w:rPr>
        <w:t xml:space="preserve"> comparação útil para o cliente; supervisão prudencial preservada; nenhum banco recebe imunidade por estar no topo.</w:t>
      </w:r>
    </w:p>
    <w:p>
      <w:bookmarkStart w:id="13" w:name="ch13"/>
      <w:pPr>
        <w:pStyle w:val="Heading1"/>
      </w:pPr>
      <w:r>
        <w:t>14. Pix, bancos digitais e contato humano</w:t>
      </w:r>
      <w:bookmarkEnd w:id="13"/>
    </w:p>
    <w:p>
      <w:pPr>
        <w:pStyle w:val="Heading2"/>
      </w:pPr>
      <w:r>
        <w:t>Corrigir uma confusão central</w:t>
      </w:r>
    </w:p>
    <w:p>
      <w:r>
        <w:rPr>
          <w:b w:val="0"/>
        </w:rPr>
        <w:t>Pix é um sistema de pagamento instantâneo, não uma categoria de investimento. CDB, LCI e títulos públicos envolvem aplicação de recursos e condições de remuneração. Assim, eliminar Pix não elimina especulação, risco bancário ou fraude em outros meios. Essa distinção é necessária para avaliar a proposta com precisão. [8][10][11]</w:t>
      </w:r>
    </w:p>
    <w:p>
      <w:r>
        <w:rPr>
          <w:b w:val="0"/>
        </w:rPr>
        <w:t>A motivação de resgatar presença humana e documentos físicos pode ser incorporada sem obrigar todos a abandonar canais digitais. O desenho revisado propõe escolha real de atendimento: serviços digitais acessíveis e alternativas humanas para quem precisa ou prefere. Não presume que todo atendimento presencial seja seguro ou que todo aplicativo seja inadequado.</w:t>
      </w:r>
    </w:p>
    <w:p>
      <w:pPr>
        <w:pStyle w:val="Heading2"/>
      </w:pPr>
      <w:r>
        <w:t>Rede híbrida e responsabilidade definida</w:t>
      </w:r>
    </w:p>
    <w:p>
      <w:r>
        <w:rPr>
          <w:b w:val="0"/>
        </w:rPr>
        <w:t>Cada instituição poderia cumprir obrigações de presença por agência, posto acessível ou rede compartilhada, desde que a responsabilidade por resolver problemas seja inequívoca. O atendimento humano deve ter acesso aos sistemas e autoridade para encaminhar a solução; um balcão sem capacidade operacional não é inclusão.</w:t>
      </w:r>
    </w:p>
    <w:tbl>
      <w:tblPr>
        <w:tblStyle w:val="LightShading-Accent1"/>
        <w:tblW w:type="auto" w:w="0"/>
        <w:tblLayout w:type="fixed"/>
        <w:tblLook w:firstColumn="1" w:firstRow="1" w:lastColumn="0" w:lastRow="0" w:noHBand="0" w:noVBand="1" w:val="04A0"/>
      </w:tblPr>
      <w:tblGrid>
        <w:gridCol w:w="4564"/>
        <w:gridCol w:w="4564"/>
      </w:tblGrid>
      <w:tr>
        <w:trPr>
          <w:cantSplit/>
          <w:tblHeader/>
        </w:trPr>
        <w:tc>
          <w:tcPr>
            <w:tcW w:type="dxa" w:w="4564"/>
            <w:vAlign w:val="center"/>
            <w:shd w:fill="142B40"/>
          </w:tcPr>
          <w:p>
            <w:pPr>
              <w:spacing w:after="80" w:before="80" w:line="252" w:lineRule="auto"/>
            </w:pPr>
            <w:r>
              <w:rPr>
                <w:rFonts w:ascii="Liberation Sans" w:hAnsi="Liberation Sans"/>
                <w:b/>
                <w:color w:val="FFFFFF"/>
                <w:sz w:val="19"/>
              </w:rPr>
              <w:t>Necessidade</w:t>
            </w:r>
          </w:p>
        </w:tc>
        <w:tc>
          <w:tcPr>
            <w:tcW w:type="dxa" w:w="4564"/>
            <w:vAlign w:val="center"/>
            <w:shd w:fill="142B40"/>
          </w:tcPr>
          <w:p>
            <w:pPr>
              <w:spacing w:after="80" w:before="80" w:line="252" w:lineRule="auto"/>
            </w:pPr>
            <w:r>
              <w:rPr>
                <w:rFonts w:ascii="Liberation Sans" w:hAnsi="Liberation Sans"/>
                <w:b/>
                <w:color w:val="FFFFFF"/>
                <w:sz w:val="19"/>
              </w:rPr>
              <w:t>Resposta proposta</w:t>
            </w:r>
          </w:p>
        </w:tc>
      </w:tr>
      <w:tr>
        <w:trPr>
          <w:cantSplit/>
        </w:trPr>
        <w:tc>
          <w:tcPr>
            <w:tcW w:type="dxa" w:w="4564"/>
            <w:vAlign w:val="center"/>
          </w:tcPr>
          <w:p>
            <w:pPr>
              <w:spacing w:after="80" w:before="80" w:line="252" w:lineRule="auto"/>
            </w:pPr>
            <w:r>
              <w:rPr>
                <w:rFonts w:ascii="Liberation Sans" w:hAnsi="Liberation Sans"/>
                <w:b w:val="0"/>
                <w:sz w:val="19"/>
              </w:rPr>
              <w:t>Não possuir smartphone</w:t>
            </w:r>
          </w:p>
        </w:tc>
        <w:tc>
          <w:tcPr>
            <w:tcW w:type="dxa" w:w="4564"/>
            <w:vAlign w:val="center"/>
          </w:tcPr>
          <w:p>
            <w:pPr>
              <w:spacing w:after="80" w:before="80" w:line="252" w:lineRule="auto"/>
            </w:pPr>
            <w:r>
              <w:rPr>
                <w:rFonts w:ascii="Liberation Sans" w:hAnsi="Liberation Sans"/>
                <w:b w:val="0"/>
                <w:sz w:val="19"/>
              </w:rPr>
              <w:t>Operações essenciais por canal alternativo</w:t>
            </w:r>
          </w:p>
        </w:tc>
      </w:tr>
      <w:tr>
        <w:trPr>
          <w:cantSplit/>
        </w:trPr>
        <w:tc>
          <w:tcPr>
            <w:tcW w:type="dxa" w:w="4564"/>
            <w:vAlign w:val="center"/>
          </w:tcPr>
          <w:p>
            <w:pPr>
              <w:spacing w:after="80" w:before="80" w:line="252" w:lineRule="auto"/>
            </w:pPr>
            <w:r>
              <w:rPr>
                <w:rFonts w:ascii="Liberation Sans" w:hAnsi="Liberation Sans"/>
                <w:b w:val="0"/>
                <w:sz w:val="19"/>
              </w:rPr>
              <w:t>Dificuldade de compreensão</w:t>
            </w:r>
          </w:p>
        </w:tc>
        <w:tc>
          <w:tcPr>
            <w:tcW w:type="dxa" w:w="4564"/>
            <w:vAlign w:val="center"/>
          </w:tcPr>
          <w:p>
            <w:pPr>
              <w:spacing w:after="80" w:before="80" w:line="252" w:lineRule="auto"/>
            </w:pPr>
            <w:r>
              <w:rPr>
                <w:rFonts w:ascii="Liberation Sans" w:hAnsi="Liberation Sans"/>
                <w:b w:val="0"/>
                <w:sz w:val="19"/>
              </w:rPr>
              <w:t>Informação clara e atendimento humano</w:t>
            </w:r>
          </w:p>
        </w:tc>
      </w:tr>
      <w:tr>
        <w:trPr>
          <w:cantSplit/>
        </w:trPr>
        <w:tc>
          <w:tcPr>
            <w:tcW w:type="dxa" w:w="4564"/>
            <w:vAlign w:val="center"/>
          </w:tcPr>
          <w:p>
            <w:pPr>
              <w:spacing w:after="80" w:before="80" w:line="252" w:lineRule="auto"/>
            </w:pPr>
            <w:r>
              <w:rPr>
                <w:rFonts w:ascii="Liberation Sans" w:hAnsi="Liberation Sans"/>
                <w:b w:val="0"/>
                <w:sz w:val="19"/>
              </w:rPr>
              <w:t>Necessidade de prova física</w:t>
            </w:r>
          </w:p>
        </w:tc>
        <w:tc>
          <w:tcPr>
            <w:tcW w:type="dxa" w:w="4564"/>
            <w:vAlign w:val="center"/>
          </w:tcPr>
          <w:p>
            <w:pPr>
              <w:spacing w:after="80" w:before="80" w:line="252" w:lineRule="auto"/>
            </w:pPr>
            <w:r>
              <w:rPr>
                <w:rFonts w:ascii="Liberation Sans" w:hAnsi="Liberation Sans"/>
                <w:b w:val="0"/>
                <w:sz w:val="19"/>
              </w:rPr>
              <w:t>Extrato, contrato e comprovante impressos</w:t>
            </w:r>
          </w:p>
        </w:tc>
      </w:tr>
      <w:tr>
        <w:trPr>
          <w:cantSplit/>
        </w:trPr>
        <w:tc>
          <w:tcPr>
            <w:tcW w:type="dxa" w:w="4564"/>
            <w:vAlign w:val="center"/>
          </w:tcPr>
          <w:p>
            <w:pPr>
              <w:spacing w:after="80" w:before="80" w:line="252" w:lineRule="auto"/>
            </w:pPr>
            <w:r>
              <w:rPr>
                <w:rFonts w:ascii="Liberation Sans" w:hAnsi="Liberation Sans"/>
                <w:b w:val="0"/>
                <w:sz w:val="19"/>
              </w:rPr>
              <w:t>Preferência por meio digital</w:t>
            </w:r>
          </w:p>
        </w:tc>
        <w:tc>
          <w:tcPr>
            <w:tcW w:type="dxa" w:w="4564"/>
            <w:vAlign w:val="center"/>
          </w:tcPr>
          <w:p>
            <w:pPr>
              <w:spacing w:after="80" w:before="80" w:line="252" w:lineRule="auto"/>
            </w:pPr>
            <w:r>
              <w:rPr>
                <w:rFonts w:ascii="Liberation Sans" w:hAnsi="Liberation Sans"/>
                <w:b w:val="0"/>
                <w:sz w:val="19"/>
              </w:rPr>
              <w:t>Aplicativo acessível e suporte efetivo</w:t>
            </w:r>
          </w:p>
        </w:tc>
      </w:tr>
      <w:tr>
        <w:trPr>
          <w:cantSplit/>
        </w:trPr>
        <w:tc>
          <w:tcPr>
            <w:tcW w:type="dxa" w:w="4564"/>
            <w:vAlign w:val="center"/>
          </w:tcPr>
          <w:p>
            <w:pPr>
              <w:spacing w:after="80" w:before="80" w:line="252" w:lineRule="auto"/>
            </w:pPr>
            <w:r>
              <w:rPr>
                <w:rFonts w:ascii="Liberation Sans" w:hAnsi="Liberation Sans"/>
                <w:b w:val="0"/>
                <w:sz w:val="19"/>
              </w:rPr>
              <w:t>Suspeita de fraude</w:t>
            </w:r>
          </w:p>
        </w:tc>
        <w:tc>
          <w:tcPr>
            <w:tcW w:type="dxa" w:w="4564"/>
            <w:vAlign w:val="center"/>
          </w:tcPr>
          <w:p>
            <w:pPr>
              <w:spacing w:after="80" w:before="80" w:line="252" w:lineRule="auto"/>
            </w:pPr>
            <w:r>
              <w:rPr>
                <w:rFonts w:ascii="Liberation Sans" w:hAnsi="Liberation Sans"/>
                <w:b w:val="0"/>
                <w:sz w:val="19"/>
              </w:rPr>
              <w:t>Bloqueio, protocolo e análise conforme regras aplicáveis</w:t>
            </w:r>
          </w:p>
        </w:tc>
      </w:tr>
    </w:tbl>
    <w:p>
      <w:pPr>
        <w:spacing w:after="0"/>
      </w:pPr>
    </w:p>
    <w:p>
      <w:pPr>
        <w:pStyle w:val="Heading2"/>
      </w:pPr>
      <w:r>
        <w:t>Papel e digital como complementos</w:t>
      </w:r>
    </w:p>
    <w:p>
      <w:r>
        <w:rPr>
          <w:b w:val="0"/>
        </w:rPr>
        <w:t>Documentos físicos também podem ser perdidos, adulterados ou acessados indevidamente. A segurança depende de autenticidade, conservação, controle de acesso e possibilidade de verificação. O ideal proposto é permitir cópias compreensíveis e verificáveis, não criar uma falsa oposição entre papel confiável e digital inseguro.</w:t>
      </w:r>
    </w:p>
    <w:p>
      <w:r>
        <w:rPr>
          <w:b w:val="0"/>
        </w:rPr>
        <w:t>A proteção contra fraude deve combinar limites voluntários, alertas claros, confirmação proporcional ao risco e atendimento para contestação. Barreiras excessivas podem impedir pagamentos legítimos; barreiras insuficientes podem facilitar dano. O piloto deve medir tempo de resolução, acessibilidade e perda evitada sem prometer ausência total de golpes.</w:t>
      </w:r>
    </w:p>
    <w:p>
      <w:r>
        <w:rPr>
          <w:b/>
        </w:rPr>
        <w:t>Síntese:</w:t>
      </w:r>
      <w:r>
        <w:rPr>
          <w:b w:val="0"/>
        </w:rPr>
        <w:t xml:space="preserve"> preservar o contato humano sem retirar ferramentas úteis de quem delas depende.</w:t>
      </w:r>
    </w:p>
    <w:p>
      <w:bookmarkStart w:id="14" w:name="ch14"/>
      <w:pPr>
        <w:pStyle w:val="Heading1"/>
      </w:pPr>
      <w:r>
        <w:t>15. Crédito justo</w:t>
      </w:r>
      <w:bookmarkEnd w:id="14"/>
    </w:p>
    <w:p>
      <w:pPr>
        <w:pStyle w:val="Heading2"/>
      </w:pPr>
      <w:r>
        <w:t>Crédito é uma obrigação futura</w:t>
      </w:r>
    </w:p>
    <w:p>
      <w:r>
        <w:rPr>
          <w:b w:val="0"/>
        </w:rPr>
        <w:t>Financiar moradia, equipamento, educação ou atividade produtiva pode ampliar possibilidades. Mas crédito não equivale a renda, e a prestação não é o único custo. O projeto deve informar custo efetivo total, valor final, prazo, garantias e consequências do atraso. O Código de Defesa do Consumidor contém regras sobre crédito e superendividamento que precisam orientar qualquer proposta. [9]</w:t>
      </w:r>
    </w:p>
    <w:p>
      <w:r>
        <w:rPr>
          <w:b w:val="0"/>
        </w:rPr>
        <w:t>O acesso ao melhor produto não exige financiar sempre a opção mais cara. Um sistema justo deve permitir escolha informada, inclusive adiar a compra ou adquirir uma alternativa adequada e menos onerosa. A promessa de consumo universal por endividamento pode contrariar a autonomia que pretende promover.</w:t>
      </w:r>
    </w:p>
    <w:p>
      <w:pPr>
        <w:pStyle w:val="Heading2"/>
      </w:pPr>
      <w:r>
        <w:t>Fórmula ilustrativa de limite</w:t>
      </w:r>
    </w:p>
    <w:p>
      <w:r>
        <w:rPr>
          <w:b w:val="0"/>
        </w:rPr>
        <w:t>Juro máximo proposto = taxa de referência + custo administrativo eficiente + componente de risco estimado + margem limitada. Essa expressão é uma decomposição conceitual. Ela não determina, sozinha, um teto viável: risco pode variar, custos podem ser mal informados e um limite inadequado pode restringir a oferta formal.</w:t>
      </w:r>
    </w:p>
    <w:p>
      <w:r>
        <w:rPr>
          <w:b w:val="0"/>
        </w:rPr>
        <w:t>A política deve comparar limites, garantias focalizadas, concorrência, informação e prevenção do superendividamento. Um subsídio explícito ao público prioritário pode ser mais transparente que obrigar todo crédito a uma taxa artificialmente baixa, mas também precisa de orçamento, critérios e controle de perdas.</w:t>
      </w:r>
    </w:p>
    <w:p>
      <w:pPr>
        <w:pStyle w:val="Heading2"/>
      </w:pPr>
      <w:r>
        <w:t>Avaliar capacidade sem criar nota social</w:t>
      </w:r>
    </w:p>
    <w:p>
      <w:r>
        <w:rPr>
          <w:b w:val="0"/>
        </w:rPr>
        <w:t>A análise de crédito pode usar informações pertinentes e legalmente tratadas para estimar pagamento. Isso é diferente de usar religião, opinião política, amizades ou notas escolares como critério de merecimento. Dados inadequados devem ser excluídos e decisões automatizadas precisam ser contestáveis nos termos aplicáveis. A revisão humana ampla é uma salvaguarda adicional proposta neste projeto. [6]</w:t>
      </w:r>
    </w:p>
    <w:p>
      <w:r>
        <w:rPr>
          <w:b w:val="0"/>
        </w:rPr>
        <w:t>A instituição deve evitar venda agressiva, remuneração comercial que premie apenas o volume contratado e renegociação que esconda aumento do custo total. O consumidor precisa visualizar o saldo antes e depois da operação. Negativa de crédito não deve ser tratada automaticamente como discriminação: às vezes evita dano; o que se exige é critério pertinente e possibilidade de esclarecimento.</w:t>
      </w:r>
    </w:p>
    <w:p>
      <w:r>
        <w:rPr>
          <w:b/>
        </w:rPr>
        <w:t>Síntese:</w:t>
      </w:r>
      <w:r>
        <w:rPr>
          <w:b w:val="0"/>
        </w:rPr>
        <w:t xml:space="preserve"> ampliar capacidade de escolha, não transformar consumo financiado em obrigação de pertencimento social.</w:t>
      </w:r>
    </w:p>
    <w:p>
      <w:bookmarkStart w:id="15" w:name="ch15"/>
      <w:pPr>
        <w:pStyle w:val="Heading1"/>
      </w:pPr>
      <w:r>
        <w:t>16. Poupança e investimentos</w:t>
      </w:r>
      <w:bookmarkEnd w:id="15"/>
    </w:p>
    <w:p>
      <w:pPr>
        <w:pStyle w:val="Heading2"/>
      </w:pPr>
      <w:r>
        <w:t>Preservar recursos não elimina a economia financeira</w:t>
      </w:r>
    </w:p>
    <w:p>
      <w:r>
        <w:rPr>
          <w:b w:val="0"/>
        </w:rPr>
        <w:t>A proposta original restringe as alternativas a conta-corrente, CDB, LCI e Tesouro Direto. É importante reconhecer que os três últimos já são formas de investimento. O Banco Central descreve o CDB como aplicação de renda fixa remunerada por juros. Títulos públicos podem variar de preço antes do vencimento. Uma lista curta facilita compreensão, mas não torna todos os seus elementos livres de risco ou imediatamente resgatáveis. [10][11]</w:t>
      </w:r>
    </w:p>
    <w:p>
      <w:r>
        <w:rPr>
          <w:b w:val="0"/>
        </w:rPr>
        <w:t>Conta de uso cotidiano, reserva de emergência e recurso de longo prazo cumprem funções diferentes. A política deve divulgar prazo, liquidez, emissor, remuneração, tributação e condições de proteção. A classificação “conservador” não deve ocultar risco de crédito, inflação, indisponibilidade ou perda em venda antecipada. Esta obra não recomenda produtos a um investidor específico.</w:t>
      </w:r>
    </w:p>
    <w:p>
      <w:pPr>
        <w:pStyle w:val="Heading2"/>
      </w:pPr>
      <w:r>
        <w:t>Capital produtivo e absorção de perdas</w:t>
      </w:r>
    </w:p>
    <w:p>
      <w:r>
        <w:rPr>
          <w:b w:val="0"/>
        </w:rPr>
        <w:t>Eliminar integralmente participação societária e negociação de ativos exigiria responder quem financia projetos incertos, quem absorve prejuízos e como ocorre a saída de um investidor. Empréstimo exige pagamento mesmo quando o projeto falha; capital de risco distribui resultado de outra forma. Substituir toda a estrutura por bancos e Estado pode concentrar decisões e riscos.</w:t>
      </w:r>
    </w:p>
    <w:p>
      <w:r>
        <w:rPr>
          <w:b w:val="0"/>
        </w:rPr>
        <w:t>A alternativa conceitual é um fundo diversificado de capital produtivo, com governança independente, limites de concentração e transparência. Ainda assim, o fundo teria investimentos e poderia perder recursos. Não seria correto prometê-lo como mecanismo de “mérito preservado sem perdas”. A origem do dinheiro e os responsáveis por perdas precisariam estar explícitos.</w:t>
      </w:r>
    </w:p>
    <w:p>
      <w:pPr>
        <w:pStyle w:val="Heading2"/>
      </w:pPr>
      <w:r>
        <w:t>Regulação proporcional</w:t>
      </w:r>
    </w:p>
    <w:p>
      <w:r>
        <w:rPr>
          <w:b w:val="0"/>
        </w:rPr>
        <w:t>Restrições a alavancagem, divulgação enganosa e produtos inadequados podem ser examinadas separadamente de uma proibição geral de mercado de capitais. O projeto deve comparar alternativas e reconhecer que proteção excessivamente simplificada também pode reduzir financiamento, diversificação e liberdade de escolha.</w:t>
      </w:r>
    </w:p>
    <w:p>
      <w:r>
        <w:rPr>
          <w:b w:val="0"/>
        </w:rPr>
        <w:t>No piloto, a abordagem prudente é educação financeira, comparação de custos e avaliação de atendimento. Mudanças sistêmicas em financiamento não devem ser ensaiadas como se fossem apenas uma interface de aplicativo. Exigem competência legal, análise macroeconômica e planos de continuidade.</w:t>
      </w:r>
    </w:p>
    <w:p>
      <w:r>
        <w:rPr>
          <w:b/>
        </w:rPr>
        <w:t>Síntese:</w:t>
      </w:r>
      <w:r>
        <w:rPr>
          <w:b w:val="0"/>
        </w:rPr>
        <w:t xml:space="preserve"> reduzir opacidade e risco indevido; não confundir simplicidade com ausência de investimento ou garantia de resultado.</w:t>
      </w:r>
    </w:p>
    <w:p>
      <w:bookmarkStart w:id="16" w:name="ch16"/>
      <w:pPr>
        <w:pStyle w:val="Heading1"/>
      </w:pPr>
      <w:r>
        <w:t>17. Esportes e projetos socioambientais</w:t>
      </w:r>
      <w:bookmarkEnd w:id="16"/>
    </w:p>
    <w:p>
      <w:pPr>
        <w:pStyle w:val="Heading2"/>
      </w:pPr>
      <w:r>
        <w:t>Contribuição precisa gerar benefício adicional</w:t>
      </w:r>
    </w:p>
    <w:p>
      <w:r>
        <w:rPr>
          <w:b w:val="0"/>
        </w:rPr>
        <w:t>O projeto propõe participação das empresas e dos bancos no financiamento de esporte, ciência, cultura, educação e ambiente. Os percentuais históricos de 0,5% para bancos e de 0,5% a 1% para grandes empresas são exemplos de simulação. Não são obrigações vigentes criadas por este livro nem estimativas de arrecadação.</w:t>
      </w:r>
    </w:p>
    <w:p>
      <w:r>
        <w:rPr>
          <w:b w:val="0"/>
        </w:rPr>
        <w:t>Definir “lucro ajustado” exige regras contábeis, tratamento de prejuízos, grupos econômicos e prevenção de transferência artificial de resultados. Também é preciso separar doação voluntária, patrocínio comercial e eventual obrigação legal. Cada modalidade demanda transparência própria e não deve ser utilizada para comprar avaliação favorável.</w:t>
      </w:r>
    </w:p>
    <w:p>
      <w:pPr>
        <w:pStyle w:val="Heading2"/>
      </w:pPr>
      <w:r>
        <w:t>Crédito cívico de patrocínio</w:t>
      </w:r>
    </w:p>
    <w:p>
      <w:r>
        <w:rPr>
          <w:b w:val="0"/>
        </w:rPr>
        <w:t>Uma ideia complementar é permitir que cada cidadão distribua quantidade igual de créditos não negociáveis entre projetos credenciados. Os créditos não seriam dinheiro livre nem um instrumento de investimento. O objetivo é ampliar participação na escolha de prioridades, sujeito a estudo de orçamento, representatividade e prevenção de captura.</w:t>
      </w:r>
    </w:p>
    <w:p>
      <w:r>
        <w:rPr>
          <w:b w:val="0"/>
        </w:rPr>
        <w:t>Projetos muito conhecidos podem receber mais apoio que necessidades urgentes e pouco visíveis. Por isso, a proposta combina parcela de escolha popular com critérios técnicos, distribuição territorial e acessibilidade. O programa deve impedir compra indireta de créditos, coerção de beneficiários e publicidade enganosa de impacto.</w:t>
      </w:r>
    </w:p>
    <w:p>
      <w:pPr>
        <w:pStyle w:val="Heading2"/>
      </w:pPr>
      <w:r>
        <w:t>Medir resultado e não apenas gasto</w:t>
      </w:r>
    </w:p>
    <w:p>
      <w:r>
        <w:rPr>
          <w:b w:val="0"/>
        </w:rPr>
        <w:t>Uma quadra construída não equivale a participação esportiva sustentada. Um valor doado não equivale a melhoria ambiental. Indicadores podem incluir acesso gratuito, frequência, conservação do equipamento, inclusão de pessoas com deficiência e resultados coerentes com a missão. Dados pessoais de participantes, especialmente crianças, precisam de proteção. [6][7]</w:t>
      </w:r>
    </w:p>
    <w:p>
      <w:r>
        <w:rPr>
          <w:b w:val="0"/>
        </w:rPr>
        <w:t>O financiador deve permanecer sujeito às obrigações trabalhistas e ambientais. Patrocínio não compensa dano nem substitui reparação. Prestação de contas deve informar recursos, despesas, entregas, conflitos de interesse e limitações. O selo empresarial não pode ser comercializado como recompensa por contribuir ao próprio avaliador.</w:t>
      </w:r>
    </w:p>
    <w:p>
      <w:r>
        <w:rPr>
          <w:b/>
        </w:rPr>
        <w:t>Síntese:</w:t>
      </w:r>
      <w:r>
        <w:rPr>
          <w:b w:val="0"/>
        </w:rPr>
        <w:t xml:space="preserve"> financiar benefício coletivo verificável, sem converter solidariedade em compra de reputação.</w:t>
      </w:r>
    </w:p>
    <w:p>
      <w:bookmarkStart w:id="17" w:name="ch17"/>
      <w:pPr>
        <w:pStyle w:val="Heading1"/>
      </w:pPr>
      <w:r>
        <w:t>18. Proibição de uma nota social total</w:t>
      </w:r>
      <w:bookmarkEnd w:id="17"/>
    </w:p>
    <w:p>
      <w:pPr>
        <w:pStyle w:val="Heading2"/>
      </w:pPr>
      <w:r>
        <w:t>Separar finalidade e identidade</w:t>
      </w:r>
    </w:p>
    <w:p>
      <w:r>
        <w:rPr>
          <w:b w:val="0"/>
        </w:rPr>
        <w:t>Uma empresa pode ter avaliação de um produto; um profissional pode ser avaliado em determinada função; um contrato pode ter indicador de entrega. Nada disso exige uma pontuação universal do cidadão. Reunir consumo, saúde, educação, religião, amizades e opiniões em um único índice cria um poder de controle incompatível com a finalidade limitada de cada dado.</w:t>
      </w:r>
    </w:p>
    <w:p>
      <w:r>
        <w:rPr>
          <w:b w:val="0"/>
        </w:rPr>
        <w:t>A LGPD prevê princípios como finalidade, necessidade, transparência e não discriminação, além do direito de solicitar revisão de decisões exclusivamente automatizadas que afetem interesses. A redação vigente do artigo 20 não deve ser descrita, simplificadamente, como imposição universal de revisão “por pessoa natural”. A revisão humana garantida pelo desenho do SMD-4 é apresentada aqui como salvaguarda proposta, sem atribuir à lei uma frase que foi alterada. [6]</w:t>
      </w:r>
    </w:p>
    <w:p>
      <w:pPr>
        <w:pStyle w:val="Heading2"/>
      </w:pPr>
      <w:r>
        <w:t>Direitos no sistema proposto</w:t>
      </w:r>
    </w:p>
    <w:p>
      <w:r>
        <w:rPr>
          <w:b w:val="0"/>
        </w:rPr>
        <w:t>O titular deve saber quais dados foram utilizados e para qual finalidade; poder corrigir informação incorreta; receber explicação proporcional; contestar o resultado; e ter acesso a revisão independente. Segredo comercial não deve ser uma justificativa genérica para impedir qualquer explicação, sem prejuízo das proteções legais pertinentes.</w:t>
      </w:r>
    </w:p>
    <w:p>
      <w:r>
        <w:rPr>
          <w:b w:val="0"/>
        </w:rPr>
        <w:t>O banco de dados de um piloto não pode se tornar cadastro partidário, lista de consumidores vulneráveis ou instrumento de seleção de serviços essenciais. Publicar “dados abertos” não significa abrir prontuários, salários individuais, histórico escolar ou respostas identificáveis de trabalhadores. Transparência institucional e privacidade pessoal são objetivos complementares.</w:t>
      </w:r>
    </w:p>
    <w:p>
      <w:pPr>
        <w:pStyle w:val="Heading2"/>
      </w:pPr>
      <w:r>
        <w:t>Critérios para suspender o algoritmo</w:t>
      </w:r>
    </w:p>
    <w:p>
      <w:r>
        <w:rPr>
          <w:b w:val="0"/>
        </w:rPr>
        <w:t>O sistema deve ser interrompido quando houver vazamento, uso fora da finalidade, evidência de discriminação relevante, impossibilidade de explicar decisões ou ausência de canal efetivo de recurso. O plano de resposta deve definir quem interrompe, como preservar evidências, quem é informado e como reparar efeitos. Não basta substituir uma fórmula depois que o dano já aconteceu.</w:t>
      </w:r>
    </w:p>
    <w:p>
      <w:r>
        <w:rPr>
          <w:b w:val="0"/>
        </w:rPr>
        <w:t>O código pode ser aberto sem que os dados pessoais sejam públicos. Também não basta publicar o código: documentação, testes, acessibilidade e compreensão das variáveis são necessários. A decisão de alterar pesos precisa ser registrada, inclusive para impedir mudanças oportunistas quando os resultados desagradam ao regulador.</w:t>
      </w:r>
    </w:p>
    <w:p>
      <w:r>
        <w:rPr>
          <w:b/>
        </w:rPr>
        <w:t>Síntese:</w:t>
      </w:r>
      <w:r>
        <w:rPr>
          <w:b w:val="0"/>
        </w:rPr>
        <w:t xml:space="preserve"> avaliar tarefas e instituições; não produzir uma hierarquia computacional de seres humanos.</w:t>
      </w:r>
    </w:p>
    <w:p>
      <w:bookmarkStart w:id="18" w:name="ch18"/>
      <w:pPr>
        <w:pStyle w:val="Heading1"/>
      </w:pPr>
      <w:r>
        <w:t>19. Instituições necessárias</w:t>
      </w:r>
      <w:bookmarkEnd w:id="18"/>
    </w:p>
    <w:p>
      <w:pPr>
        <w:pStyle w:val="Heading2"/>
      </w:pPr>
      <w:r>
        <w:t>Distribuir funções em vez de criar um superórgão</w:t>
      </w:r>
    </w:p>
    <w:p>
      <w:r>
        <w:rPr>
          <w:b w:val="0"/>
        </w:rPr>
        <w:t>A proposta anterior lista autoridades para ligas, concorrência, preços, salários, algoritmos, recursos, proteção do consumidor e responsabilidade fiscal. Essas são funções de governança, não oito órgãos que obrigatoriamente precisam nascer do zero. Uma reforma responsável deve primeiro mapear competências existentes, evitar sobreposição e preservar autonomia institucional.</w:t>
      </w:r>
    </w:p>
    <w:p>
      <w:r>
        <w:rPr>
          <w:b w:val="0"/>
        </w:rPr>
        <w:t>Criar uma nova autoridade não cria automaticamente capacidade técnica. É necessário orçamento, pessoal, processo, acesso a informações, integridade e prestação de contas. A escolha entre órgão novo, unidade especializada ou cooperação interinstitucional deve ser justificada pelo problema a resolver.</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Função</w:t>
            </w:r>
          </w:p>
        </w:tc>
        <w:tc>
          <w:tcPr>
            <w:tcW w:type="dxa" w:w="3043"/>
            <w:vAlign w:val="center"/>
            <w:shd w:fill="142B40"/>
          </w:tcPr>
          <w:p>
            <w:pPr>
              <w:spacing w:after="80" w:before="80" w:line="252" w:lineRule="auto"/>
            </w:pPr>
            <w:r>
              <w:rPr>
                <w:rFonts w:ascii="Liberation Sans" w:hAnsi="Liberation Sans"/>
                <w:b/>
                <w:color w:val="FFFFFF"/>
                <w:sz w:val="19"/>
              </w:rPr>
              <w:t>Responsabilidade</w:t>
            </w:r>
          </w:p>
        </w:tc>
        <w:tc>
          <w:tcPr>
            <w:tcW w:type="dxa" w:w="3043"/>
            <w:vAlign w:val="center"/>
            <w:shd w:fill="142B40"/>
          </w:tcPr>
          <w:p>
            <w:pPr>
              <w:spacing w:after="80" w:before="80" w:line="252" w:lineRule="auto"/>
            </w:pPr>
            <w:r>
              <w:rPr>
                <w:rFonts w:ascii="Liberation Sans" w:hAnsi="Liberation Sans"/>
                <w:b/>
                <w:color w:val="FFFFFF"/>
                <w:sz w:val="19"/>
              </w:rPr>
              <w:t>Controle proposto</w:t>
            </w:r>
          </w:p>
        </w:tc>
      </w:tr>
      <w:tr>
        <w:trPr>
          <w:cantSplit/>
        </w:trPr>
        <w:tc>
          <w:tcPr>
            <w:tcW w:type="dxa" w:w="3043"/>
            <w:vAlign w:val="center"/>
          </w:tcPr>
          <w:p>
            <w:pPr>
              <w:spacing w:after="80" w:before="80" w:line="252" w:lineRule="auto"/>
            </w:pPr>
            <w:r>
              <w:rPr>
                <w:rFonts w:ascii="Liberation Sans" w:hAnsi="Liberation Sans"/>
                <w:b w:val="0"/>
                <w:sz w:val="19"/>
              </w:rPr>
              <w:t>Administração da liga</w:t>
            </w:r>
          </w:p>
        </w:tc>
        <w:tc>
          <w:tcPr>
            <w:tcW w:type="dxa" w:w="3043"/>
            <w:vAlign w:val="center"/>
          </w:tcPr>
          <w:p>
            <w:pPr>
              <w:spacing w:after="80" w:before="80" w:line="252" w:lineRule="auto"/>
            </w:pPr>
            <w:r>
              <w:rPr>
                <w:rFonts w:ascii="Liberation Sans" w:hAnsi="Liberation Sans"/>
                <w:b w:val="0"/>
                <w:sz w:val="19"/>
              </w:rPr>
              <w:t>Definição de categorias e ciclos</w:t>
            </w:r>
          </w:p>
        </w:tc>
        <w:tc>
          <w:tcPr>
            <w:tcW w:type="dxa" w:w="3043"/>
            <w:vAlign w:val="center"/>
          </w:tcPr>
          <w:p>
            <w:pPr>
              <w:spacing w:after="80" w:before="80" w:line="252" w:lineRule="auto"/>
            </w:pPr>
            <w:r>
              <w:rPr>
                <w:rFonts w:ascii="Liberation Sans" w:hAnsi="Liberation Sans"/>
                <w:b w:val="0"/>
                <w:sz w:val="19"/>
              </w:rPr>
              <w:t>Consulta pública e regras anteriores ao ciclo</w:t>
            </w:r>
          </w:p>
        </w:tc>
      </w:tr>
      <w:tr>
        <w:trPr>
          <w:cantSplit/>
        </w:trPr>
        <w:tc>
          <w:tcPr>
            <w:tcW w:type="dxa" w:w="3043"/>
            <w:vAlign w:val="center"/>
          </w:tcPr>
          <w:p>
            <w:pPr>
              <w:spacing w:after="80" w:before="80" w:line="252" w:lineRule="auto"/>
            </w:pPr>
            <w:r>
              <w:rPr>
                <w:rFonts w:ascii="Liberation Sans" w:hAnsi="Liberation Sans"/>
                <w:b w:val="0"/>
                <w:sz w:val="19"/>
              </w:rPr>
              <w:t>Concorrência</w:t>
            </w:r>
          </w:p>
        </w:tc>
        <w:tc>
          <w:tcPr>
            <w:tcW w:type="dxa" w:w="3043"/>
            <w:vAlign w:val="center"/>
          </w:tcPr>
          <w:p>
            <w:pPr>
              <w:spacing w:after="80" w:before="80" w:line="252" w:lineRule="auto"/>
            </w:pPr>
            <w:r>
              <w:rPr>
                <w:rFonts w:ascii="Liberation Sans" w:hAnsi="Liberation Sans"/>
                <w:b w:val="0"/>
                <w:sz w:val="19"/>
              </w:rPr>
              <w:t>Avaliar restrições e abuso</w:t>
            </w:r>
          </w:p>
        </w:tc>
        <w:tc>
          <w:tcPr>
            <w:tcW w:type="dxa" w:w="3043"/>
            <w:vAlign w:val="center"/>
          </w:tcPr>
          <w:p>
            <w:pPr>
              <w:spacing w:after="80" w:before="80" w:line="252" w:lineRule="auto"/>
            </w:pPr>
            <w:r>
              <w:rPr>
                <w:rFonts w:ascii="Liberation Sans" w:hAnsi="Liberation Sans"/>
                <w:b w:val="0"/>
                <w:sz w:val="19"/>
              </w:rPr>
              <w:t>Independência e procedimento próprio</w:t>
            </w:r>
          </w:p>
        </w:tc>
      </w:tr>
      <w:tr>
        <w:trPr>
          <w:cantSplit/>
        </w:trPr>
        <w:tc>
          <w:tcPr>
            <w:tcW w:type="dxa" w:w="3043"/>
            <w:vAlign w:val="center"/>
          </w:tcPr>
          <w:p>
            <w:pPr>
              <w:spacing w:after="80" w:before="80" w:line="252" w:lineRule="auto"/>
            </w:pPr>
            <w:r>
              <w:rPr>
                <w:rFonts w:ascii="Liberation Sans" w:hAnsi="Liberation Sans"/>
                <w:b w:val="0"/>
                <w:sz w:val="19"/>
              </w:rPr>
              <w:t>Avaliação técnica</w:t>
            </w:r>
          </w:p>
        </w:tc>
        <w:tc>
          <w:tcPr>
            <w:tcW w:type="dxa" w:w="3043"/>
            <w:vAlign w:val="center"/>
          </w:tcPr>
          <w:p>
            <w:pPr>
              <w:spacing w:after="80" w:before="80" w:line="252" w:lineRule="auto"/>
            </w:pPr>
            <w:r>
              <w:rPr>
                <w:rFonts w:ascii="Liberation Sans" w:hAnsi="Liberation Sans"/>
                <w:b w:val="0"/>
                <w:sz w:val="19"/>
              </w:rPr>
              <w:t>Medir indicadores e incerteza</w:t>
            </w:r>
          </w:p>
        </w:tc>
        <w:tc>
          <w:tcPr>
            <w:tcW w:type="dxa" w:w="3043"/>
            <w:vAlign w:val="center"/>
          </w:tcPr>
          <w:p>
            <w:pPr>
              <w:spacing w:after="80" w:before="80" w:line="252" w:lineRule="auto"/>
            </w:pPr>
            <w:r>
              <w:rPr>
                <w:rFonts w:ascii="Liberation Sans" w:hAnsi="Liberation Sans"/>
                <w:b w:val="0"/>
                <w:sz w:val="19"/>
              </w:rPr>
              <w:t>Auditoria metodológica</w:t>
            </w:r>
          </w:p>
        </w:tc>
      </w:tr>
      <w:tr>
        <w:trPr>
          <w:cantSplit/>
        </w:trPr>
        <w:tc>
          <w:tcPr>
            <w:tcW w:type="dxa" w:w="3043"/>
            <w:vAlign w:val="center"/>
          </w:tcPr>
          <w:p>
            <w:pPr>
              <w:spacing w:after="80" w:before="80" w:line="252" w:lineRule="auto"/>
            </w:pPr>
            <w:r>
              <w:rPr>
                <w:rFonts w:ascii="Liberation Sans" w:hAnsi="Liberation Sans"/>
                <w:b w:val="0"/>
                <w:sz w:val="19"/>
              </w:rPr>
              <w:t>Pagamento</w:t>
            </w:r>
          </w:p>
        </w:tc>
        <w:tc>
          <w:tcPr>
            <w:tcW w:type="dxa" w:w="3043"/>
            <w:vAlign w:val="center"/>
          </w:tcPr>
          <w:p>
            <w:pPr>
              <w:spacing w:after="80" w:before="80" w:line="252" w:lineRule="auto"/>
            </w:pPr>
            <w:r>
              <w:rPr>
                <w:rFonts w:ascii="Liberation Sans" w:hAnsi="Liberation Sans"/>
                <w:b w:val="0"/>
                <w:sz w:val="19"/>
              </w:rPr>
              <w:t>Executar contratos aprovados</w:t>
            </w:r>
          </w:p>
        </w:tc>
        <w:tc>
          <w:tcPr>
            <w:tcW w:type="dxa" w:w="3043"/>
            <w:vAlign w:val="center"/>
          </w:tcPr>
          <w:p>
            <w:pPr>
              <w:spacing w:after="80" w:before="80" w:line="252" w:lineRule="auto"/>
            </w:pPr>
            <w:r>
              <w:rPr>
                <w:rFonts w:ascii="Liberation Sans" w:hAnsi="Liberation Sans"/>
                <w:b w:val="0"/>
                <w:sz w:val="19"/>
              </w:rPr>
              <w:t>Separação da avaliação e controle financeiro</w:t>
            </w:r>
          </w:p>
        </w:tc>
      </w:tr>
      <w:tr>
        <w:trPr>
          <w:cantSplit/>
        </w:trPr>
        <w:tc>
          <w:tcPr>
            <w:tcW w:type="dxa" w:w="3043"/>
            <w:vAlign w:val="center"/>
          </w:tcPr>
          <w:p>
            <w:pPr>
              <w:spacing w:after="80" w:before="80" w:line="252" w:lineRule="auto"/>
            </w:pPr>
            <w:r>
              <w:rPr>
                <w:rFonts w:ascii="Liberation Sans" w:hAnsi="Liberation Sans"/>
                <w:b w:val="0"/>
                <w:sz w:val="19"/>
              </w:rPr>
              <w:t>Recurso</w:t>
            </w:r>
          </w:p>
        </w:tc>
        <w:tc>
          <w:tcPr>
            <w:tcW w:type="dxa" w:w="3043"/>
            <w:vAlign w:val="center"/>
          </w:tcPr>
          <w:p>
            <w:pPr>
              <w:spacing w:after="80" w:before="80" w:line="252" w:lineRule="auto"/>
            </w:pPr>
            <w:r>
              <w:rPr>
                <w:rFonts w:ascii="Liberation Sans" w:hAnsi="Liberation Sans"/>
                <w:b w:val="0"/>
                <w:sz w:val="19"/>
              </w:rPr>
              <w:t>Corrigir erros e examinar contestações</w:t>
            </w:r>
          </w:p>
        </w:tc>
        <w:tc>
          <w:tcPr>
            <w:tcW w:type="dxa" w:w="3043"/>
            <w:vAlign w:val="center"/>
          </w:tcPr>
          <w:p>
            <w:pPr>
              <w:spacing w:after="80" w:before="80" w:line="252" w:lineRule="auto"/>
            </w:pPr>
            <w:r>
              <w:rPr>
                <w:rFonts w:ascii="Liberation Sans" w:hAnsi="Liberation Sans"/>
                <w:b w:val="0"/>
                <w:sz w:val="19"/>
              </w:rPr>
              <w:t>Revisores sem conflito de interesse</w:t>
            </w:r>
          </w:p>
        </w:tc>
      </w:tr>
      <w:tr>
        <w:trPr>
          <w:cantSplit/>
        </w:trPr>
        <w:tc>
          <w:tcPr>
            <w:tcW w:type="dxa" w:w="3043"/>
            <w:vAlign w:val="center"/>
          </w:tcPr>
          <w:p>
            <w:pPr>
              <w:spacing w:after="80" w:before="80" w:line="252" w:lineRule="auto"/>
            </w:pPr>
            <w:r>
              <w:rPr>
                <w:rFonts w:ascii="Liberation Sans" w:hAnsi="Liberation Sans"/>
                <w:b w:val="0"/>
                <w:sz w:val="19"/>
              </w:rPr>
              <w:t>Privacidade</w:t>
            </w:r>
          </w:p>
        </w:tc>
        <w:tc>
          <w:tcPr>
            <w:tcW w:type="dxa" w:w="3043"/>
            <w:vAlign w:val="center"/>
          </w:tcPr>
          <w:p>
            <w:pPr>
              <w:spacing w:after="80" w:before="80" w:line="252" w:lineRule="auto"/>
            </w:pPr>
            <w:r>
              <w:rPr>
                <w:rFonts w:ascii="Liberation Sans" w:hAnsi="Liberation Sans"/>
                <w:b w:val="0"/>
                <w:sz w:val="19"/>
              </w:rPr>
              <w:t>Limitar coleta e uso de dados</w:t>
            </w:r>
          </w:p>
        </w:tc>
        <w:tc>
          <w:tcPr>
            <w:tcW w:type="dxa" w:w="3043"/>
            <w:vAlign w:val="center"/>
          </w:tcPr>
          <w:p>
            <w:pPr>
              <w:spacing w:after="80" w:before="80" w:line="252" w:lineRule="auto"/>
            </w:pPr>
            <w:r>
              <w:rPr>
                <w:rFonts w:ascii="Liberation Sans" w:hAnsi="Liberation Sans"/>
                <w:b w:val="0"/>
                <w:sz w:val="19"/>
              </w:rPr>
              <w:t>Auditoria e resposta a incidentes</w:t>
            </w:r>
          </w:p>
        </w:tc>
      </w:tr>
      <w:tr>
        <w:trPr>
          <w:cantSplit/>
        </w:trPr>
        <w:tc>
          <w:tcPr>
            <w:tcW w:type="dxa" w:w="3043"/>
            <w:vAlign w:val="center"/>
          </w:tcPr>
          <w:p>
            <w:pPr>
              <w:spacing w:after="80" w:before="80" w:line="252" w:lineRule="auto"/>
            </w:pPr>
            <w:r>
              <w:rPr>
                <w:rFonts w:ascii="Liberation Sans" w:hAnsi="Liberation Sans"/>
                <w:b w:val="0"/>
                <w:sz w:val="19"/>
              </w:rPr>
              <w:t>Controle fiscal</w:t>
            </w:r>
          </w:p>
        </w:tc>
        <w:tc>
          <w:tcPr>
            <w:tcW w:type="dxa" w:w="3043"/>
            <w:vAlign w:val="center"/>
          </w:tcPr>
          <w:p>
            <w:pPr>
              <w:spacing w:after="80" w:before="80" w:line="252" w:lineRule="auto"/>
            </w:pPr>
            <w:r>
              <w:rPr>
                <w:rFonts w:ascii="Liberation Sans" w:hAnsi="Liberation Sans"/>
                <w:b w:val="0"/>
                <w:sz w:val="19"/>
              </w:rPr>
              <w:t>Verificar custo e sustentabilidade</w:t>
            </w:r>
          </w:p>
        </w:tc>
        <w:tc>
          <w:tcPr>
            <w:tcW w:type="dxa" w:w="3043"/>
            <w:vAlign w:val="center"/>
          </w:tcPr>
          <w:p>
            <w:pPr>
              <w:spacing w:after="80" w:before="80" w:line="252" w:lineRule="auto"/>
            </w:pPr>
            <w:r>
              <w:rPr>
                <w:rFonts w:ascii="Liberation Sans" w:hAnsi="Liberation Sans"/>
                <w:b w:val="0"/>
                <w:sz w:val="19"/>
              </w:rPr>
              <w:t>Relatórios públicos e orçamento autorizado</w:t>
            </w:r>
          </w:p>
        </w:tc>
      </w:tr>
    </w:tbl>
    <w:p>
      <w:pPr>
        <w:spacing w:after="0"/>
      </w:pPr>
    </w:p>
    <w:p>
      <w:pPr>
        <w:pStyle w:val="Heading2"/>
      </w:pPr>
      <w:r>
        <w:t>O regulador também é avaliado</w:t>
      </w:r>
    </w:p>
    <w:p>
      <w:r>
        <w:rPr>
          <w:b w:val="0"/>
        </w:rPr>
        <w:t>Tempo de análise, custo de conformidade, número de decisões reformadas, qualidade das explicações e concentração de benefícios devem ser públicos. Uma agência que produz rankings sofisticados, mas não resolve recursos, está falhando em uma função essencial. A avaliação do regulador também precisa evitar incentivos ruins: reduzir recursos recebidos pode significar barreira de acesso, não qualidade.</w:t>
      </w:r>
    </w:p>
    <w:p>
      <w:r>
        <w:rPr>
          <w:b w:val="0"/>
        </w:rPr>
        <w:t>Mandatos, impedimentos, divulgação de vínculos, quarentena quando aplicável e proteção a denunciantes são instrumentos possíveis. Nenhum deles funciona isoladamente. O procedimento precisa permitir controle social sem expor pessoas que relatam abusos.</w:t>
      </w:r>
    </w:p>
    <w:p>
      <w:pPr>
        <w:pStyle w:val="Heading2"/>
      </w:pPr>
      <w:r>
        <w:t>Separação editorial e partidária</w:t>
      </w:r>
    </w:p>
    <w:p>
      <w:r>
        <w:rPr>
          <w:b w:val="0"/>
        </w:rPr>
        <w:t>O módulo SMD-4 no PROJETO 360X tem finalidade de estudo e debate. Uma eventual organização partidária teria governança, contabilidade e comunicação próprias, observando regras eleitorais. Recursos clínicos, dados de pacientes e relações assistenciais não devem ser utilizados para apoio político. O fato de uma ideia nascer em um portfólio não transforma o portfólio em partido, governo ou órgão regulador.</w:t>
      </w:r>
    </w:p>
    <w:p>
      <w:r>
        <w:rPr>
          <w:b/>
        </w:rPr>
        <w:t>Síntese:</w:t>
      </w:r>
      <w:r>
        <w:rPr>
          <w:b w:val="0"/>
        </w:rPr>
        <w:t xml:space="preserve"> quem mede, quem decide, quem paga e quem julga recursos não deve ser a mesma instância sem controles.</w:t>
      </w:r>
    </w:p>
    <w:p>
      <w:bookmarkStart w:id="19" w:name="ch19"/>
      <w:pPr>
        <w:pStyle w:val="Heading1"/>
      </w:pPr>
      <w:r>
        <w:t>20. Métricas diferentes para cada setor</w:t>
      </w:r>
      <w:bookmarkEnd w:id="19"/>
    </w:p>
    <w:p>
      <w:pPr>
        <w:pStyle w:val="Heading2"/>
      </w:pPr>
      <w:r>
        <w:t>Comparabilidade antes de classificação</w:t>
      </w:r>
    </w:p>
    <w:p>
      <w:r>
        <w:rPr>
          <w:b w:val="0"/>
        </w:rPr>
        <w:t>A mesma fórmula não consegue representar adequadamente um hospital, uma fábrica de automóveis e uma rede social. Há princípios compartilhados, mas o significado de qualidade, risco e custo é setorial. Um indicador deve responder à finalidade concreta e declarar suas limitações.</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Setor</w:t>
            </w:r>
          </w:p>
        </w:tc>
        <w:tc>
          <w:tcPr>
            <w:tcW w:type="dxa" w:w="3043"/>
            <w:vAlign w:val="center"/>
            <w:shd w:fill="142B40"/>
          </w:tcPr>
          <w:p>
            <w:pPr>
              <w:spacing w:after="80" w:before="80" w:line="252" w:lineRule="auto"/>
            </w:pPr>
            <w:r>
              <w:rPr>
                <w:rFonts w:ascii="Liberation Sans" w:hAnsi="Liberation Sans"/>
                <w:b/>
                <w:color w:val="FFFFFF"/>
                <w:sz w:val="19"/>
              </w:rPr>
              <w:t>Métricas possíveis</w:t>
            </w:r>
          </w:p>
        </w:tc>
        <w:tc>
          <w:tcPr>
            <w:tcW w:type="dxa" w:w="3043"/>
            <w:vAlign w:val="center"/>
            <w:shd w:fill="142B40"/>
          </w:tcPr>
          <w:p>
            <w:pPr>
              <w:spacing w:after="80" w:before="80" w:line="252" w:lineRule="auto"/>
            </w:pPr>
            <w:r>
              <w:rPr>
                <w:rFonts w:ascii="Liberation Sans" w:hAnsi="Liberation Sans"/>
                <w:b/>
                <w:color w:val="FFFFFF"/>
                <w:sz w:val="19"/>
              </w:rPr>
              <w:t>Distorção a evitar</w:t>
            </w:r>
          </w:p>
        </w:tc>
      </w:tr>
      <w:tr>
        <w:trPr>
          <w:cantSplit/>
        </w:trPr>
        <w:tc>
          <w:tcPr>
            <w:tcW w:type="dxa" w:w="3043"/>
            <w:vAlign w:val="center"/>
          </w:tcPr>
          <w:p>
            <w:pPr>
              <w:spacing w:after="80" w:before="80" w:line="252" w:lineRule="auto"/>
            </w:pPr>
            <w:r>
              <w:rPr>
                <w:rFonts w:ascii="Liberation Sans" w:hAnsi="Liberation Sans"/>
                <w:b w:val="0"/>
                <w:sz w:val="19"/>
              </w:rPr>
              <w:t>Tecnologia</w:t>
            </w:r>
          </w:p>
        </w:tc>
        <w:tc>
          <w:tcPr>
            <w:tcW w:type="dxa" w:w="3043"/>
            <w:vAlign w:val="center"/>
          </w:tcPr>
          <w:p>
            <w:pPr>
              <w:spacing w:after="80" w:before="80" w:line="252" w:lineRule="auto"/>
            </w:pPr>
            <w:r>
              <w:rPr>
                <w:rFonts w:ascii="Liberation Sans" w:hAnsi="Liberation Sans"/>
                <w:b w:val="0"/>
                <w:sz w:val="19"/>
              </w:rPr>
              <w:t>Vida útil, atualizações, segurança e reparação</w:t>
            </w:r>
          </w:p>
        </w:tc>
        <w:tc>
          <w:tcPr>
            <w:tcW w:type="dxa" w:w="3043"/>
            <w:vAlign w:val="center"/>
          </w:tcPr>
          <w:p>
            <w:pPr>
              <w:spacing w:after="80" w:before="80" w:line="252" w:lineRule="auto"/>
            </w:pPr>
            <w:r>
              <w:rPr>
                <w:rFonts w:ascii="Liberation Sans" w:hAnsi="Liberation Sans"/>
                <w:b w:val="0"/>
                <w:sz w:val="19"/>
              </w:rPr>
              <w:t>Premiar apenas novidade ou potência</w:t>
            </w:r>
          </w:p>
        </w:tc>
      </w:tr>
      <w:tr>
        <w:trPr>
          <w:cantSplit/>
        </w:trPr>
        <w:tc>
          <w:tcPr>
            <w:tcW w:type="dxa" w:w="3043"/>
            <w:vAlign w:val="center"/>
          </w:tcPr>
          <w:p>
            <w:pPr>
              <w:spacing w:after="80" w:before="80" w:line="252" w:lineRule="auto"/>
            </w:pPr>
            <w:r>
              <w:rPr>
                <w:rFonts w:ascii="Liberation Sans" w:hAnsi="Liberation Sans"/>
                <w:b w:val="0"/>
                <w:sz w:val="19"/>
              </w:rPr>
              <w:t>Automóveis</w:t>
            </w:r>
          </w:p>
        </w:tc>
        <w:tc>
          <w:tcPr>
            <w:tcW w:type="dxa" w:w="3043"/>
            <w:vAlign w:val="center"/>
          </w:tcPr>
          <w:p>
            <w:pPr>
              <w:spacing w:after="80" w:before="80" w:line="252" w:lineRule="auto"/>
            </w:pPr>
            <w:r>
              <w:rPr>
                <w:rFonts w:ascii="Liberation Sans" w:hAnsi="Liberation Sans"/>
                <w:b w:val="0"/>
                <w:sz w:val="19"/>
              </w:rPr>
              <w:t>Segurança, confiabilidade, peças e manutenção</w:t>
            </w:r>
          </w:p>
        </w:tc>
        <w:tc>
          <w:tcPr>
            <w:tcW w:type="dxa" w:w="3043"/>
            <w:vAlign w:val="center"/>
          </w:tcPr>
          <w:p>
            <w:pPr>
              <w:spacing w:after="80" w:before="80" w:line="252" w:lineRule="auto"/>
            </w:pPr>
            <w:r>
              <w:rPr>
                <w:rFonts w:ascii="Liberation Sans" w:hAnsi="Liberation Sans"/>
                <w:b w:val="0"/>
                <w:sz w:val="19"/>
              </w:rPr>
              <w:t>Confundir luxo com qualidade pública</w:t>
            </w:r>
          </w:p>
        </w:tc>
      </w:tr>
      <w:tr>
        <w:trPr>
          <w:cantSplit/>
        </w:trPr>
        <w:tc>
          <w:tcPr>
            <w:tcW w:type="dxa" w:w="3043"/>
            <w:vAlign w:val="center"/>
          </w:tcPr>
          <w:p>
            <w:pPr>
              <w:spacing w:after="80" w:before="80" w:line="252" w:lineRule="auto"/>
            </w:pPr>
            <w:r>
              <w:rPr>
                <w:rFonts w:ascii="Liberation Sans" w:hAnsi="Liberation Sans"/>
                <w:b w:val="0"/>
                <w:sz w:val="19"/>
              </w:rPr>
              <w:t>Bancos</w:t>
            </w:r>
          </w:p>
        </w:tc>
        <w:tc>
          <w:tcPr>
            <w:tcW w:type="dxa" w:w="3043"/>
            <w:vAlign w:val="center"/>
          </w:tcPr>
          <w:p>
            <w:pPr>
              <w:spacing w:after="80" w:before="80" w:line="252" w:lineRule="auto"/>
            </w:pPr>
            <w:r>
              <w:rPr>
                <w:rFonts w:ascii="Liberation Sans" w:hAnsi="Liberation Sans"/>
                <w:b w:val="0"/>
                <w:sz w:val="19"/>
              </w:rPr>
              <w:t>Atendimento, custo total, inclusão e risco</w:t>
            </w:r>
          </w:p>
        </w:tc>
        <w:tc>
          <w:tcPr>
            <w:tcW w:type="dxa" w:w="3043"/>
            <w:vAlign w:val="center"/>
          </w:tcPr>
          <w:p>
            <w:pPr>
              <w:spacing w:after="80" w:before="80" w:line="252" w:lineRule="auto"/>
            </w:pPr>
            <w:r>
              <w:rPr>
                <w:rFonts w:ascii="Liberation Sans" w:hAnsi="Liberation Sans"/>
                <w:b w:val="0"/>
                <w:sz w:val="19"/>
              </w:rPr>
              <w:t>Premiar crédito sem adequação</w:t>
            </w:r>
          </w:p>
        </w:tc>
      </w:tr>
      <w:tr>
        <w:trPr>
          <w:cantSplit/>
        </w:trPr>
        <w:tc>
          <w:tcPr>
            <w:tcW w:type="dxa" w:w="3043"/>
            <w:vAlign w:val="center"/>
          </w:tcPr>
          <w:p>
            <w:pPr>
              <w:spacing w:after="80" w:before="80" w:line="252" w:lineRule="auto"/>
            </w:pPr>
            <w:r>
              <w:rPr>
                <w:rFonts w:ascii="Liberation Sans" w:hAnsi="Liberation Sans"/>
                <w:b w:val="0"/>
                <w:sz w:val="19"/>
              </w:rPr>
              <w:t>Marketplaces</w:t>
            </w:r>
          </w:p>
        </w:tc>
        <w:tc>
          <w:tcPr>
            <w:tcW w:type="dxa" w:w="3043"/>
            <w:vAlign w:val="center"/>
          </w:tcPr>
          <w:p>
            <w:pPr>
              <w:spacing w:after="80" w:before="80" w:line="252" w:lineRule="auto"/>
            </w:pPr>
            <w:r>
              <w:rPr>
                <w:rFonts w:ascii="Liberation Sans" w:hAnsi="Liberation Sans"/>
                <w:b w:val="0"/>
                <w:sz w:val="19"/>
              </w:rPr>
              <w:t>Entrega, devolução e autenticidade</w:t>
            </w:r>
          </w:p>
        </w:tc>
        <w:tc>
          <w:tcPr>
            <w:tcW w:type="dxa" w:w="3043"/>
            <w:vAlign w:val="center"/>
          </w:tcPr>
          <w:p>
            <w:pPr>
              <w:spacing w:after="80" w:before="80" w:line="252" w:lineRule="auto"/>
            </w:pPr>
            <w:r>
              <w:rPr>
                <w:rFonts w:ascii="Liberation Sans" w:hAnsi="Liberation Sans"/>
                <w:b w:val="0"/>
                <w:sz w:val="19"/>
              </w:rPr>
              <w:t>Responsabilizar só uma ponta da cadeia</w:t>
            </w:r>
          </w:p>
        </w:tc>
      </w:tr>
      <w:tr>
        <w:trPr>
          <w:cantSplit/>
        </w:trPr>
        <w:tc>
          <w:tcPr>
            <w:tcW w:type="dxa" w:w="3043"/>
            <w:vAlign w:val="center"/>
          </w:tcPr>
          <w:p>
            <w:pPr>
              <w:spacing w:after="80" w:before="80" w:line="252" w:lineRule="auto"/>
            </w:pPr>
            <w:r>
              <w:rPr>
                <w:rFonts w:ascii="Liberation Sans" w:hAnsi="Liberation Sans"/>
                <w:b w:val="0"/>
                <w:sz w:val="19"/>
              </w:rPr>
              <w:t>Redes sociais</w:t>
            </w:r>
          </w:p>
        </w:tc>
        <w:tc>
          <w:tcPr>
            <w:tcW w:type="dxa" w:w="3043"/>
            <w:vAlign w:val="center"/>
          </w:tcPr>
          <w:p>
            <w:pPr>
              <w:spacing w:after="80" w:before="80" w:line="252" w:lineRule="auto"/>
            </w:pPr>
            <w:r>
              <w:rPr>
                <w:rFonts w:ascii="Liberation Sans" w:hAnsi="Liberation Sans"/>
                <w:b w:val="0"/>
                <w:sz w:val="19"/>
              </w:rPr>
              <w:t>Privacidade, segurança e transparência</w:t>
            </w:r>
          </w:p>
        </w:tc>
        <w:tc>
          <w:tcPr>
            <w:tcW w:type="dxa" w:w="3043"/>
            <w:vAlign w:val="center"/>
          </w:tcPr>
          <w:p>
            <w:pPr>
              <w:spacing w:after="80" w:before="80" w:line="252" w:lineRule="auto"/>
            </w:pPr>
            <w:r>
              <w:rPr>
                <w:rFonts w:ascii="Liberation Sans" w:hAnsi="Liberation Sans"/>
                <w:b w:val="0"/>
                <w:sz w:val="19"/>
              </w:rPr>
              <w:t>Premiar tempo de tela a qualquer custo</w:t>
            </w:r>
          </w:p>
        </w:tc>
      </w:tr>
      <w:tr>
        <w:trPr>
          <w:cantSplit/>
        </w:trPr>
        <w:tc>
          <w:tcPr>
            <w:tcW w:type="dxa" w:w="3043"/>
            <w:vAlign w:val="center"/>
          </w:tcPr>
          <w:p>
            <w:pPr>
              <w:spacing w:after="80" w:before="80" w:line="252" w:lineRule="auto"/>
            </w:pPr>
            <w:r>
              <w:rPr>
                <w:rFonts w:ascii="Liberation Sans" w:hAnsi="Liberation Sans"/>
                <w:b w:val="0"/>
                <w:sz w:val="19"/>
              </w:rPr>
              <w:t>Saúde</w:t>
            </w:r>
          </w:p>
        </w:tc>
        <w:tc>
          <w:tcPr>
            <w:tcW w:type="dxa" w:w="3043"/>
            <w:vAlign w:val="center"/>
          </w:tcPr>
          <w:p>
            <w:pPr>
              <w:spacing w:after="80" w:before="80" w:line="252" w:lineRule="auto"/>
            </w:pPr>
            <w:r>
              <w:rPr>
                <w:rFonts w:ascii="Liberation Sans" w:hAnsi="Liberation Sans"/>
                <w:b w:val="0"/>
                <w:sz w:val="19"/>
              </w:rPr>
              <w:t>Segurança, acesso e resultados ajustados</w:t>
            </w:r>
          </w:p>
        </w:tc>
        <w:tc>
          <w:tcPr>
            <w:tcW w:type="dxa" w:w="3043"/>
            <w:vAlign w:val="center"/>
          </w:tcPr>
          <w:p>
            <w:pPr>
              <w:spacing w:after="80" w:before="80" w:line="252" w:lineRule="auto"/>
            </w:pPr>
            <w:r>
              <w:rPr>
                <w:rFonts w:ascii="Liberation Sans" w:hAnsi="Liberation Sans"/>
                <w:b w:val="0"/>
                <w:sz w:val="19"/>
              </w:rPr>
              <w:t>Comparar mortalidade bruta de casos diferentes</w:t>
            </w:r>
          </w:p>
        </w:tc>
      </w:tr>
      <w:tr>
        <w:trPr>
          <w:cantSplit/>
        </w:trPr>
        <w:tc>
          <w:tcPr>
            <w:tcW w:type="dxa" w:w="3043"/>
            <w:vAlign w:val="center"/>
          </w:tcPr>
          <w:p>
            <w:pPr>
              <w:spacing w:after="80" w:before="80" w:line="252" w:lineRule="auto"/>
            </w:pPr>
            <w:r>
              <w:rPr>
                <w:rFonts w:ascii="Liberation Sans" w:hAnsi="Liberation Sans"/>
                <w:b w:val="0"/>
                <w:sz w:val="19"/>
              </w:rPr>
              <w:t>Educação</w:t>
            </w:r>
          </w:p>
        </w:tc>
        <w:tc>
          <w:tcPr>
            <w:tcW w:type="dxa" w:w="3043"/>
            <w:vAlign w:val="center"/>
          </w:tcPr>
          <w:p>
            <w:pPr>
              <w:spacing w:after="80" w:before="80" w:line="252" w:lineRule="auto"/>
            </w:pPr>
            <w:r>
              <w:rPr>
                <w:rFonts w:ascii="Liberation Sans" w:hAnsi="Liberation Sans"/>
                <w:b w:val="0"/>
                <w:sz w:val="19"/>
              </w:rPr>
              <w:t>Evolução da aprendizagem e inclusão</w:t>
            </w:r>
          </w:p>
        </w:tc>
        <w:tc>
          <w:tcPr>
            <w:tcW w:type="dxa" w:w="3043"/>
            <w:vAlign w:val="center"/>
          </w:tcPr>
          <w:p>
            <w:pPr>
              <w:spacing w:after="80" w:before="80" w:line="252" w:lineRule="auto"/>
            </w:pPr>
            <w:r>
              <w:rPr>
                <w:rFonts w:ascii="Liberation Sans" w:hAnsi="Liberation Sans"/>
                <w:b w:val="0"/>
                <w:sz w:val="19"/>
              </w:rPr>
              <w:t>Selecionar apenas alunos com melhores condições</w:t>
            </w:r>
          </w:p>
        </w:tc>
      </w:tr>
      <w:tr>
        <w:trPr>
          <w:cantSplit/>
        </w:trPr>
        <w:tc>
          <w:tcPr>
            <w:tcW w:type="dxa" w:w="3043"/>
            <w:vAlign w:val="center"/>
          </w:tcPr>
          <w:p>
            <w:pPr>
              <w:spacing w:after="80" w:before="80" w:line="252" w:lineRule="auto"/>
            </w:pPr>
            <w:r>
              <w:rPr>
                <w:rFonts w:ascii="Liberation Sans" w:hAnsi="Liberation Sans"/>
                <w:b w:val="0"/>
                <w:sz w:val="19"/>
              </w:rPr>
              <w:t>Vestuário e perfumes</w:t>
            </w:r>
          </w:p>
        </w:tc>
        <w:tc>
          <w:tcPr>
            <w:tcW w:type="dxa" w:w="3043"/>
            <w:vAlign w:val="center"/>
          </w:tcPr>
          <w:p>
            <w:pPr>
              <w:spacing w:after="80" w:before="80" w:line="252" w:lineRule="auto"/>
            </w:pPr>
            <w:r>
              <w:rPr>
                <w:rFonts w:ascii="Liberation Sans" w:hAnsi="Liberation Sans"/>
                <w:b w:val="0"/>
                <w:sz w:val="19"/>
              </w:rPr>
              <w:t>Durabilidade, qualidade e trabalho digno</w:t>
            </w:r>
          </w:p>
        </w:tc>
        <w:tc>
          <w:tcPr>
            <w:tcW w:type="dxa" w:w="3043"/>
            <w:vAlign w:val="center"/>
          </w:tcPr>
          <w:p>
            <w:pPr>
              <w:spacing w:after="80" w:before="80" w:line="252" w:lineRule="auto"/>
            </w:pPr>
            <w:r>
              <w:rPr>
                <w:rFonts w:ascii="Liberation Sans" w:hAnsi="Liberation Sans"/>
                <w:b w:val="0"/>
                <w:sz w:val="19"/>
              </w:rPr>
              <w:t>Confundir marketing com impacto verificado</w:t>
            </w:r>
          </w:p>
        </w:tc>
      </w:tr>
    </w:tbl>
    <w:p>
      <w:pPr>
        <w:spacing w:after="0"/>
      </w:pPr>
    </w:p>
    <w:p>
      <w:pPr>
        <w:pStyle w:val="Heading2"/>
      </w:pPr>
      <w:r>
        <w:t>O problema do indicador que vira alvo</w:t>
      </w:r>
    </w:p>
    <w:p>
      <w:r>
        <w:rPr>
          <w:b w:val="0"/>
        </w:rPr>
        <w:t>Quando um benefício depende de uma métrica, participantes podem melhorar a métrica sem melhorar a realidade. Uma central pode encerrar chamados rapidamente sem resolver o problema. Uma escola pode excluir alunos com dificuldade. Uma empresa pode mudar a definição de defeito. O desenho precisa procurar esses comportamentos antes de vincular dinheiro e reputação aos resultados.</w:t>
      </w:r>
    </w:p>
    <w:p>
      <w:r>
        <w:rPr>
          <w:b w:val="0"/>
        </w:rPr>
        <w:t>Uma proteção é combinar indicadores de processo, resultado e equilíbrio. O tempo de atendimento é processo; a solução sustentada é resultado; a taxa de reabertura e o acesso de públicos com maior dificuldade funcionam como contrapesos. Auditorias de amostra e relatos qualitativos ajudam a revelar o que uma média oculta.</w:t>
      </w:r>
    </w:p>
    <w:p>
      <w:pPr>
        <w:pStyle w:val="Heading2"/>
      </w:pPr>
      <w:r>
        <w:t>Ficha técnica mínima</w:t>
      </w:r>
    </w:p>
    <w:p>
      <w:r>
        <w:rPr>
          <w:b w:val="0"/>
        </w:rPr>
        <w:t>Cada métrica deve conter nome, finalidade, unidade, regra de cálculo, fonte, periodicidade, população, exclusões, tratamento de ausências, incerteza, responsável e procedimento de revisão. Mudanças devem gerar nova versão e explicação de comparabilidade. Resultados de versões incompatíveis não podem ser apresentados como uma única série histórica contínua.</w:t>
      </w:r>
    </w:p>
    <w:p>
      <w:r>
        <w:rPr>
          <w:b w:val="0"/>
        </w:rPr>
        <w:t>O piloto deve começar com poucas medidas relevantes. Um painel com dezenas de indicadores pouco confiáveis pode ser pior que três medidas bem definidas. O objetivo é apoiar decisão, não produzir uma aparência de precisão.</w:t>
      </w:r>
    </w:p>
    <w:p>
      <w:r>
        <w:rPr>
          <w:b/>
        </w:rPr>
        <w:t>Síntese:</w:t>
      </w:r>
      <w:r>
        <w:rPr>
          <w:b w:val="0"/>
        </w:rPr>
        <w:t xml:space="preserve"> critérios específicos, contexto explícito e direitos universais.</w:t>
      </w:r>
    </w:p>
    <w:p>
      <w:bookmarkStart w:id="20" w:name="ch20"/>
      <w:pPr>
        <w:pStyle w:val="Heading1"/>
      </w:pPr>
      <w:r>
        <w:t>21. Miniconstituição do modelo</w:t>
      </w:r>
      <w:bookmarkEnd w:id="20"/>
    </w:p>
    <w:p>
      <w:pPr>
        <w:pStyle w:val="Heading2"/>
      </w:pPr>
      <w:r>
        <w:t>Carta de princípios para debate</w:t>
      </w:r>
    </w:p>
    <w:p>
      <w:r>
        <w:rPr>
          <w:b w:val="0"/>
        </w:rPr>
        <w:t>Os artigos seguintes compõem uma carta autoral, sem força de Constituição, lei ou estatuto partidário registrado. Sua finalidade é estabelecer limites internos ao projeto. Eles não substituem o ordenamento brasileiro nem autorizam afastar garantias constitucionais. [1]</w:t>
      </w:r>
    </w:p>
    <w:p>
      <w:r>
        <w:rPr>
          <w:b/>
        </w:rPr>
        <w:t>Artigo 1 — Dignidade.</w:t>
      </w:r>
      <w:r>
        <w:rPr>
          <w:b w:val="0"/>
        </w:rPr>
        <w:t xml:space="preserve"> Toda pessoa deve ter condições básicas de vida e acesso a direitos independentemente de nota, renda, produtividade ou condição de trabalho.</w:t>
      </w:r>
    </w:p>
    <w:p>
      <w:r>
        <w:rPr>
          <w:b/>
        </w:rPr>
        <w:t>Artigo 2 — Igualdade.</w:t>
      </w:r>
      <w:r>
        <w:rPr>
          <w:b w:val="0"/>
        </w:rPr>
        <w:t xml:space="preserve"> Classificações econômicas, empresariais ou profissionais não alteram cidadania, liberdade, proteção judicial ou valor humano.</w:t>
      </w:r>
    </w:p>
    <w:p>
      <w:r>
        <w:rPr>
          <w:b/>
        </w:rPr>
        <w:t>Artigo 3 — Mobilidade.</w:t>
      </w:r>
      <w:r>
        <w:rPr>
          <w:b w:val="0"/>
        </w:rPr>
        <w:t xml:space="preserve"> Nenhuma divisão é hereditária ou permanente. Devem existir portas de entrada, revisão e requalificação.</w:t>
      </w:r>
    </w:p>
    <w:p>
      <w:r>
        <w:rPr>
          <w:b/>
        </w:rPr>
        <w:t>Artigo 4 — Concorrência aberta.</w:t>
      </w:r>
      <w:r>
        <w:rPr>
          <w:b w:val="0"/>
        </w:rPr>
        <w:t xml:space="preserve"> O reconhecimento de desempenho não pode fechar o mercado a novos participantes nem escolher vencedores por vínculo político.</w:t>
      </w:r>
    </w:p>
    <w:p>
      <w:r>
        <w:rPr>
          <w:b/>
        </w:rPr>
        <w:t>Artigo 5 — Limites proporcionais.</w:t>
      </w:r>
      <w:r>
        <w:rPr>
          <w:b w:val="0"/>
        </w:rPr>
        <w:t xml:space="preserve"> Regras sobre renda, patrimônio e concentração exigem finalidade legítima, fundamentação, proporcionalidade, transição e controle.</w:t>
      </w:r>
    </w:p>
    <w:p>
      <w:r>
        <w:rPr>
          <w:b/>
        </w:rPr>
        <w:t>Artigo 6 — Mérito contextualizado.</w:t>
      </w:r>
      <w:r>
        <w:rPr>
          <w:b w:val="0"/>
        </w:rPr>
        <w:t xml:space="preserve"> Reconhecimento profissional considera competências pertinentes, oportunidades, responsabilidades e contribuição verificável; não uma pontuação moral geral.</w:t>
      </w:r>
    </w:p>
    <w:p>
      <w:r>
        <w:rPr>
          <w:b/>
        </w:rPr>
        <w:t>Artigo 7 — Segunda chance.</w:t>
      </w:r>
      <w:r>
        <w:rPr>
          <w:b w:val="0"/>
        </w:rPr>
        <w:t xml:space="preserve"> Dificuldades escolares, doença, deficiência, interrupção de carreira ou pobreza não geram condenação econômica permanente.</w:t>
      </w:r>
    </w:p>
    <w:p>
      <w:r>
        <w:rPr>
          <w:b/>
        </w:rPr>
        <w:t>Artigo 8 — Transparência.</w:t>
      </w:r>
      <w:r>
        <w:rPr>
          <w:b w:val="0"/>
        </w:rPr>
        <w:t xml:space="preserve"> Critérios, versões e decisões institucionais devem ser explicáveis e auditáveis, preservada a privacidade das pessoas.</w:t>
      </w:r>
    </w:p>
    <w:p>
      <w:r>
        <w:rPr>
          <w:b/>
        </w:rPr>
        <w:t>Artigo 9 — Trabalho digno.</w:t>
      </w:r>
      <w:r>
        <w:rPr>
          <w:b w:val="0"/>
        </w:rPr>
        <w:t xml:space="preserve"> Desempenho empresarial não compensa exploração, discriminação, fraude ou insegurança do trabalho.</w:t>
      </w:r>
    </w:p>
    <w:p>
      <w:r>
        <w:rPr>
          <w:b/>
        </w:rPr>
        <w:t>Artigo 10 — Responsabilidade socioambiental.</w:t>
      </w:r>
      <w:r>
        <w:rPr>
          <w:b w:val="0"/>
        </w:rPr>
        <w:t xml:space="preserve"> Contribuição ao coletivo deve ser verificável e adicional, sem substituir prevenção ou reparação de danos.</w:t>
      </w:r>
    </w:p>
    <w:p>
      <w:r>
        <w:rPr>
          <w:b/>
        </w:rPr>
        <w:t>Artigo 11 — Limites do Estado.</w:t>
      </w:r>
      <w:r>
        <w:rPr>
          <w:b w:val="0"/>
        </w:rPr>
        <w:t xml:space="preserve"> O poder público permanece sujeito a legalidade, orçamento, pluralismo, participação e controle judicial.</w:t>
      </w:r>
    </w:p>
    <w:p>
      <w:r>
        <w:rPr>
          <w:b/>
        </w:rPr>
        <w:t>Artigo 12 — Revisão e interrupção.</w:t>
      </w:r>
      <w:r>
        <w:rPr>
          <w:b w:val="0"/>
        </w:rPr>
        <w:t xml:space="preserve"> Instrumentos devem ser revistos e podem ser suspensos ou abandonados quando falharem, sem que isso retire a dignidade das pessoas.</w:t>
      </w:r>
    </w:p>
    <w:p>
      <w:pPr>
        <w:pStyle w:val="Heading2"/>
      </w:pPr>
      <w:r>
        <w:t>O que a carta não resolve</w:t>
      </w:r>
    </w:p>
    <w:p>
      <w:r>
        <w:rPr>
          <w:b w:val="0"/>
        </w:rPr>
        <w:t>Uma lista de princípios não define, por si, quem paga a conta, como medir impacto ou como resolver conflitos entre direitos. O capítulo seguinte apresenta uma sequência de estudo e implementação. Os anexos registram orçamento ilustrativo, critérios de piloto, parâmetros e fontes. A legitimidade depende também do processo pelo qual uma norma é discutida, aprovada e aplicada.</w:t>
      </w:r>
    </w:p>
    <w:p>
      <w:r>
        <w:rPr>
          <w:b/>
        </w:rPr>
        <w:t>Síntese:</w:t>
      </w:r>
      <w:r>
        <w:rPr>
          <w:b w:val="0"/>
        </w:rPr>
        <w:t xml:space="preserve"> uma proposta de limites econômicos precisa começar pelos limites do próprio projeto.</w:t>
      </w:r>
    </w:p>
    <w:p>
      <w:bookmarkStart w:id="21" w:name="ch21"/>
      <w:pPr>
        <w:pStyle w:val="Heading1"/>
      </w:pPr>
      <w:r>
        <w:t>22. Implementação gradual: cenário de 2028 a 2040</w:t>
      </w:r>
      <w:bookmarkEnd w:id="21"/>
    </w:p>
    <w:p>
      <w:pPr>
        <w:pStyle w:val="Heading2"/>
      </w:pPr>
      <w:r>
        <w:t>O prazo não pode ser previsto como uma obra de engenharia</w:t>
      </w:r>
    </w:p>
    <w:p>
      <w:r>
        <w:rPr>
          <w:b w:val="0"/>
        </w:rPr>
        <w:t>Iniciar a organização de um partido em 2028 não equivale a obter registro naquele ano, participar de uma eleição ou assumir governo. Pela legislação consultada, criação de personalidade jurídica, programa, estatuto, comprovação de caráter nacional e registro na Justiça Eleitoral são etapas distintas. Também há condições e prazos próprios para participação eleitoral. Essas regras deverão ser conferidas novamente no período efetivo. [12][13]</w:t>
      </w:r>
    </w:p>
    <w:p>
      <w:r>
        <w:rPr>
          <w:b w:val="0"/>
        </w:rPr>
        <w:t>Não há base empírica nesta obra para afirmar que o modelo inteiro será implantado em dez ou doze anos. O intervalo 2028–2040 é um cenário de planejamento condicionado. Ele pode ser mais longo, resultar em implementação apenas parcial ou concluir que determinados instrumentos não devem ser adotados. A decisão democrática não é uma tarefa que possa ser acelerada por eliminar oposição ou garantias.</w:t>
      </w:r>
    </w:p>
    <w:p>
      <w:pPr>
        <w:pStyle w:val="Heading2"/>
      </w:pPr>
      <w:r>
        <w:t>Correção do calendário</w:t>
      </w:r>
    </w:p>
    <w:p>
      <w:r>
        <w:rPr>
          <w:b w:val="0"/>
        </w:rPr>
        <w:t>Mantido o ciclo constitucional vigente, 2028, 2032, 2036 e 2040 correspondem a eleições municipais; 2030, 2034 e 2038 a eleições gerais. Os mandatos subsequentes começam no ano seguinte ao pleito, respeitadas as datas próprias de cada cargo. As datas detalhadas de pleitos futuros dependerão dos calendários oficiais. [1][14]</w:t>
      </w:r>
    </w:p>
    <w:p>
      <w:r>
        <w:rPr>
          <w:b w:val="0"/>
        </w:rPr>
        <w:t>As imagens históricas que apresentam eleições municipais em 2030 ou tratam 2036 como eleição presidencial estão incorretas. O ano de 2033 não é um ciclo regular de eleição geral; pode ser um período de execução municipal após 2032. Essas correções impedem que uma ilustração se torne uma orientação eleitoral errada.</w:t>
      </w:r>
    </w:p>
    <w:p>
      <w:pPr>
        <w:pStyle w:val="Heading2"/>
      </w:pPr>
      <w:r>
        <w:t>Dez etapas condicionais</w:t>
      </w:r>
    </w:p>
    <w:tbl>
      <w:tblPr>
        <w:tblStyle w:val="LightShading-Accent1"/>
        <w:tblW w:type="auto" w:w="0"/>
        <w:tblLayout w:type="fixed"/>
        <w:tblLook w:firstColumn="1" w:firstRow="1" w:lastColumn="0" w:lastRow="0" w:noHBand="0" w:noVBand="1" w:val="04A0"/>
      </w:tblPr>
      <w:tblGrid>
        <w:gridCol w:w="2282"/>
        <w:gridCol w:w="2282"/>
        <w:gridCol w:w="2282"/>
        <w:gridCol w:w="2282"/>
      </w:tblGrid>
      <w:tr>
        <w:trPr>
          <w:cantSplit/>
          <w:tblHeader/>
        </w:trPr>
        <w:tc>
          <w:tcPr>
            <w:tcW w:type="dxa" w:w="2282"/>
            <w:vAlign w:val="center"/>
            <w:shd w:fill="142B40"/>
          </w:tcPr>
          <w:p>
            <w:pPr>
              <w:spacing w:after="80" w:before="80" w:line="252" w:lineRule="auto"/>
            </w:pPr>
            <w:r>
              <w:rPr>
                <w:rFonts w:ascii="Liberation Sans" w:hAnsi="Liberation Sans"/>
                <w:b/>
                <w:color w:val="FFFFFF"/>
                <w:sz w:val="19"/>
              </w:rPr>
              <w:t>Etapa</w:t>
            </w:r>
          </w:p>
        </w:tc>
        <w:tc>
          <w:tcPr>
            <w:tcW w:type="dxa" w:w="2282"/>
            <w:vAlign w:val="center"/>
            <w:shd w:fill="142B40"/>
          </w:tcPr>
          <w:p>
            <w:pPr>
              <w:spacing w:after="80" w:before="80" w:line="252" w:lineRule="auto"/>
            </w:pPr>
            <w:r>
              <w:rPr>
                <w:rFonts w:ascii="Liberation Sans" w:hAnsi="Liberation Sans"/>
                <w:b/>
                <w:color w:val="FFFFFF"/>
                <w:sz w:val="19"/>
              </w:rPr>
              <w:t>Janela exploratória</w:t>
            </w:r>
          </w:p>
        </w:tc>
        <w:tc>
          <w:tcPr>
            <w:tcW w:type="dxa" w:w="2282"/>
            <w:vAlign w:val="center"/>
            <w:shd w:fill="142B40"/>
          </w:tcPr>
          <w:p>
            <w:pPr>
              <w:spacing w:after="80" w:before="80" w:line="252" w:lineRule="auto"/>
            </w:pPr>
            <w:r>
              <w:rPr>
                <w:rFonts w:ascii="Liberation Sans" w:hAnsi="Liberation Sans"/>
                <w:b/>
                <w:color w:val="FFFFFF"/>
                <w:sz w:val="19"/>
              </w:rPr>
              <w:t>Entrega principal</w:t>
            </w:r>
          </w:p>
        </w:tc>
        <w:tc>
          <w:tcPr>
            <w:tcW w:type="dxa" w:w="2282"/>
            <w:vAlign w:val="center"/>
            <w:shd w:fill="142B40"/>
          </w:tcPr>
          <w:p>
            <w:pPr>
              <w:spacing w:after="80" w:before="80" w:line="252" w:lineRule="auto"/>
            </w:pPr>
            <w:r>
              <w:rPr>
                <w:rFonts w:ascii="Liberation Sans" w:hAnsi="Liberation Sans"/>
                <w:b/>
                <w:color w:val="FFFFFF"/>
                <w:sz w:val="19"/>
              </w:rPr>
              <w:t>Condição de avanço</w:t>
            </w:r>
          </w:p>
        </w:tc>
      </w:tr>
      <w:tr>
        <w:trPr>
          <w:cantSplit/>
        </w:trPr>
        <w:tc>
          <w:tcPr>
            <w:tcW w:type="dxa" w:w="2282"/>
            <w:vAlign w:val="center"/>
          </w:tcPr>
          <w:p>
            <w:pPr>
              <w:spacing w:after="80" w:before="80" w:line="252" w:lineRule="auto"/>
            </w:pPr>
            <w:r>
              <w:rPr>
                <w:rFonts w:ascii="Liberation Sans" w:hAnsi="Liberation Sans"/>
                <w:b w:val="0"/>
                <w:sz w:val="19"/>
              </w:rPr>
              <w:t>1</w:t>
            </w:r>
          </w:p>
        </w:tc>
        <w:tc>
          <w:tcPr>
            <w:tcW w:type="dxa" w:w="2282"/>
            <w:vAlign w:val="center"/>
          </w:tcPr>
          <w:p>
            <w:pPr>
              <w:spacing w:after="80" w:before="80" w:line="252" w:lineRule="auto"/>
            </w:pPr>
            <w:r>
              <w:rPr>
                <w:rFonts w:ascii="Liberation Sans" w:hAnsi="Liberation Sans"/>
                <w:b w:val="0"/>
                <w:sz w:val="19"/>
              </w:rPr>
              <w:t>2028</w:t>
            </w:r>
          </w:p>
        </w:tc>
        <w:tc>
          <w:tcPr>
            <w:tcW w:type="dxa" w:w="2282"/>
            <w:vAlign w:val="center"/>
          </w:tcPr>
          <w:p>
            <w:pPr>
              <w:spacing w:after="80" w:before="80" w:line="252" w:lineRule="auto"/>
            </w:pPr>
            <w:r>
              <w:rPr>
                <w:rFonts w:ascii="Liberation Sans" w:hAnsi="Liberation Sans"/>
                <w:b w:val="0"/>
                <w:sz w:val="19"/>
              </w:rPr>
              <w:t>Carta, escopo e análise inicial de direitos</w:t>
            </w:r>
          </w:p>
        </w:tc>
        <w:tc>
          <w:tcPr>
            <w:tcW w:type="dxa" w:w="2282"/>
            <w:vAlign w:val="center"/>
          </w:tcPr>
          <w:p>
            <w:pPr>
              <w:spacing w:after="80" w:before="80" w:line="252" w:lineRule="auto"/>
            </w:pPr>
            <w:r>
              <w:rPr>
                <w:rFonts w:ascii="Liberation Sans" w:hAnsi="Liberation Sans"/>
                <w:b w:val="0"/>
                <w:sz w:val="19"/>
              </w:rPr>
              <w:t>Problemas e limites claramente definidos</w:t>
            </w:r>
          </w:p>
        </w:tc>
      </w:tr>
      <w:tr>
        <w:trPr>
          <w:cantSplit/>
        </w:trPr>
        <w:tc>
          <w:tcPr>
            <w:tcW w:type="dxa" w:w="2282"/>
            <w:vAlign w:val="center"/>
          </w:tcPr>
          <w:p>
            <w:pPr>
              <w:spacing w:after="80" w:before="80" w:line="252" w:lineRule="auto"/>
            </w:pPr>
            <w:r>
              <w:rPr>
                <w:rFonts w:ascii="Liberation Sans" w:hAnsi="Liberation Sans"/>
                <w:b w:val="0"/>
                <w:sz w:val="19"/>
              </w:rPr>
              <w:t>2</w:t>
            </w:r>
          </w:p>
        </w:tc>
        <w:tc>
          <w:tcPr>
            <w:tcW w:type="dxa" w:w="2282"/>
            <w:vAlign w:val="center"/>
          </w:tcPr>
          <w:p>
            <w:pPr>
              <w:spacing w:after="80" w:before="80" w:line="252" w:lineRule="auto"/>
            </w:pPr>
            <w:r>
              <w:rPr>
                <w:rFonts w:ascii="Liberation Sans" w:hAnsi="Liberation Sans"/>
                <w:b w:val="0"/>
                <w:sz w:val="19"/>
              </w:rPr>
              <w:t>2028–2029</w:t>
            </w:r>
          </w:p>
        </w:tc>
        <w:tc>
          <w:tcPr>
            <w:tcW w:type="dxa" w:w="2282"/>
            <w:vAlign w:val="center"/>
          </w:tcPr>
          <w:p>
            <w:pPr>
              <w:spacing w:after="80" w:before="80" w:line="252" w:lineRule="auto"/>
            </w:pPr>
            <w:r>
              <w:rPr>
                <w:rFonts w:ascii="Liberation Sans" w:hAnsi="Liberation Sans"/>
                <w:b w:val="0"/>
                <w:sz w:val="19"/>
              </w:rPr>
              <w:t>Estudos jurídicos, institucionais e econômicos</w:t>
            </w:r>
          </w:p>
        </w:tc>
        <w:tc>
          <w:tcPr>
            <w:tcW w:type="dxa" w:w="2282"/>
            <w:vAlign w:val="center"/>
          </w:tcPr>
          <w:p>
            <w:pPr>
              <w:spacing w:after="80" w:before="80" w:line="252" w:lineRule="auto"/>
            </w:pPr>
            <w:r>
              <w:rPr>
                <w:rFonts w:ascii="Liberation Sans" w:hAnsi="Liberation Sans"/>
                <w:b w:val="0"/>
                <w:sz w:val="19"/>
              </w:rPr>
              <w:t>Viabilidade mínima e transparência organizacional</w:t>
            </w:r>
          </w:p>
        </w:tc>
      </w:tr>
      <w:tr>
        <w:trPr>
          <w:cantSplit/>
        </w:trPr>
        <w:tc>
          <w:tcPr>
            <w:tcW w:type="dxa" w:w="2282"/>
            <w:vAlign w:val="center"/>
          </w:tcPr>
          <w:p>
            <w:pPr>
              <w:spacing w:after="80" w:before="80" w:line="252" w:lineRule="auto"/>
            </w:pPr>
            <w:r>
              <w:rPr>
                <w:rFonts w:ascii="Liberation Sans" w:hAnsi="Liberation Sans"/>
                <w:b w:val="0"/>
                <w:sz w:val="19"/>
              </w:rPr>
              <w:t>3</w:t>
            </w:r>
          </w:p>
        </w:tc>
        <w:tc>
          <w:tcPr>
            <w:tcW w:type="dxa" w:w="2282"/>
            <w:vAlign w:val="center"/>
          </w:tcPr>
          <w:p>
            <w:pPr>
              <w:spacing w:after="80" w:before="80" w:line="252" w:lineRule="auto"/>
            </w:pPr>
            <w:r>
              <w:rPr>
                <w:rFonts w:ascii="Liberation Sans" w:hAnsi="Liberation Sans"/>
                <w:b w:val="0"/>
                <w:sz w:val="19"/>
              </w:rPr>
              <w:t>2030</w:t>
            </w:r>
          </w:p>
        </w:tc>
        <w:tc>
          <w:tcPr>
            <w:tcW w:type="dxa" w:w="2282"/>
            <w:vAlign w:val="center"/>
          </w:tcPr>
          <w:p>
            <w:pPr>
              <w:spacing w:after="80" w:before="80" w:line="252" w:lineRule="auto"/>
            </w:pPr>
            <w:r>
              <w:rPr>
                <w:rFonts w:ascii="Liberation Sans" w:hAnsi="Liberation Sans"/>
                <w:b w:val="0"/>
                <w:sz w:val="19"/>
              </w:rPr>
              <w:t>Revisão pública; eventual participação no ciclo geral</w:t>
            </w:r>
          </w:p>
        </w:tc>
        <w:tc>
          <w:tcPr>
            <w:tcW w:type="dxa" w:w="2282"/>
            <w:vAlign w:val="center"/>
          </w:tcPr>
          <w:p>
            <w:pPr>
              <w:spacing w:after="80" w:before="80" w:line="252" w:lineRule="auto"/>
            </w:pPr>
            <w:r>
              <w:rPr>
                <w:rFonts w:ascii="Liberation Sans" w:hAnsi="Liberation Sans"/>
                <w:b w:val="0"/>
                <w:sz w:val="19"/>
              </w:rPr>
              <w:t>Registro e requisitos legais, sem pressupor vitória</w:t>
            </w:r>
          </w:p>
        </w:tc>
      </w:tr>
      <w:tr>
        <w:trPr>
          <w:cantSplit/>
        </w:trPr>
        <w:tc>
          <w:tcPr>
            <w:tcW w:type="dxa" w:w="2282"/>
            <w:vAlign w:val="center"/>
          </w:tcPr>
          <w:p>
            <w:pPr>
              <w:spacing w:after="80" w:before="80" w:line="252" w:lineRule="auto"/>
            </w:pPr>
            <w:r>
              <w:rPr>
                <w:rFonts w:ascii="Liberation Sans" w:hAnsi="Liberation Sans"/>
                <w:b w:val="0"/>
                <w:sz w:val="19"/>
              </w:rPr>
              <w:t>4</w:t>
            </w:r>
          </w:p>
        </w:tc>
        <w:tc>
          <w:tcPr>
            <w:tcW w:type="dxa" w:w="2282"/>
            <w:vAlign w:val="center"/>
          </w:tcPr>
          <w:p>
            <w:pPr>
              <w:spacing w:after="80" w:before="80" w:line="252" w:lineRule="auto"/>
            </w:pPr>
            <w:r>
              <w:rPr>
                <w:rFonts w:ascii="Liberation Sans" w:hAnsi="Liberation Sans"/>
                <w:b w:val="0"/>
                <w:sz w:val="19"/>
              </w:rPr>
              <w:t>2031</w:t>
            </w:r>
          </w:p>
        </w:tc>
        <w:tc>
          <w:tcPr>
            <w:tcW w:type="dxa" w:w="2282"/>
            <w:vAlign w:val="center"/>
          </w:tcPr>
          <w:p>
            <w:pPr>
              <w:spacing w:after="80" w:before="80" w:line="252" w:lineRule="auto"/>
            </w:pPr>
            <w:r>
              <w:rPr>
                <w:rFonts w:ascii="Liberation Sans" w:hAnsi="Liberation Sans"/>
                <w:b w:val="0"/>
                <w:sz w:val="19"/>
              </w:rPr>
              <w:t>Pilotos informacionais ou contratuais autorizados</w:t>
            </w:r>
          </w:p>
        </w:tc>
        <w:tc>
          <w:tcPr>
            <w:tcW w:type="dxa" w:w="2282"/>
            <w:vAlign w:val="center"/>
          </w:tcPr>
          <w:p>
            <w:pPr>
              <w:spacing w:after="80" w:before="80" w:line="252" w:lineRule="auto"/>
            </w:pPr>
            <w:r>
              <w:rPr>
                <w:rFonts w:ascii="Liberation Sans" w:hAnsi="Liberation Sans"/>
                <w:b w:val="0"/>
                <w:sz w:val="19"/>
              </w:rPr>
              <w:t>Competência legal, orçamento e avaliação independente</w:t>
            </w:r>
          </w:p>
        </w:tc>
      </w:tr>
      <w:tr>
        <w:trPr>
          <w:cantSplit/>
        </w:trPr>
        <w:tc>
          <w:tcPr>
            <w:tcW w:type="dxa" w:w="2282"/>
            <w:vAlign w:val="center"/>
          </w:tcPr>
          <w:p>
            <w:pPr>
              <w:spacing w:after="80" w:before="80" w:line="252" w:lineRule="auto"/>
            </w:pPr>
            <w:r>
              <w:rPr>
                <w:rFonts w:ascii="Liberation Sans" w:hAnsi="Liberation Sans"/>
                <w:b w:val="0"/>
                <w:sz w:val="19"/>
              </w:rPr>
              <w:t>5</w:t>
            </w:r>
          </w:p>
        </w:tc>
        <w:tc>
          <w:tcPr>
            <w:tcW w:type="dxa" w:w="2282"/>
            <w:vAlign w:val="center"/>
          </w:tcPr>
          <w:p>
            <w:pPr>
              <w:spacing w:after="80" w:before="80" w:line="252" w:lineRule="auto"/>
            </w:pPr>
            <w:r>
              <w:rPr>
                <w:rFonts w:ascii="Liberation Sans" w:hAnsi="Liberation Sans"/>
                <w:b w:val="0"/>
                <w:sz w:val="19"/>
              </w:rPr>
              <w:t>2032</w:t>
            </w:r>
          </w:p>
        </w:tc>
        <w:tc>
          <w:tcPr>
            <w:tcW w:type="dxa" w:w="2282"/>
            <w:vAlign w:val="center"/>
          </w:tcPr>
          <w:p>
            <w:pPr>
              <w:spacing w:after="80" w:before="80" w:line="252" w:lineRule="auto"/>
            </w:pPr>
            <w:r>
              <w:rPr>
                <w:rFonts w:ascii="Liberation Sans" w:hAnsi="Liberation Sans"/>
                <w:b w:val="0"/>
                <w:sz w:val="19"/>
              </w:rPr>
              <w:t>Revisão dos pilotos e ciclo municipal</w:t>
            </w:r>
          </w:p>
        </w:tc>
        <w:tc>
          <w:tcPr>
            <w:tcW w:type="dxa" w:w="2282"/>
            <w:vAlign w:val="center"/>
          </w:tcPr>
          <w:p>
            <w:pPr>
              <w:spacing w:after="80" w:before="80" w:line="252" w:lineRule="auto"/>
            </w:pPr>
            <w:r>
              <w:rPr>
                <w:rFonts w:ascii="Liberation Sans" w:hAnsi="Liberation Sans"/>
                <w:b w:val="0"/>
                <w:sz w:val="19"/>
              </w:rPr>
              <w:t>Evidência suficiente e participação democrática</w:t>
            </w:r>
          </w:p>
        </w:tc>
      </w:tr>
      <w:tr>
        <w:trPr>
          <w:cantSplit/>
        </w:trPr>
        <w:tc>
          <w:tcPr>
            <w:tcW w:type="dxa" w:w="2282"/>
            <w:vAlign w:val="center"/>
          </w:tcPr>
          <w:p>
            <w:pPr>
              <w:spacing w:after="80" w:before="80" w:line="252" w:lineRule="auto"/>
            </w:pPr>
            <w:r>
              <w:rPr>
                <w:rFonts w:ascii="Liberation Sans" w:hAnsi="Liberation Sans"/>
                <w:b w:val="0"/>
                <w:sz w:val="19"/>
              </w:rPr>
              <w:t>6</w:t>
            </w:r>
          </w:p>
        </w:tc>
        <w:tc>
          <w:tcPr>
            <w:tcW w:type="dxa" w:w="2282"/>
            <w:vAlign w:val="center"/>
          </w:tcPr>
          <w:p>
            <w:pPr>
              <w:spacing w:after="80" w:before="80" w:line="252" w:lineRule="auto"/>
            </w:pPr>
            <w:r>
              <w:rPr>
                <w:rFonts w:ascii="Liberation Sans" w:hAnsi="Liberation Sans"/>
                <w:b w:val="0"/>
                <w:sz w:val="19"/>
              </w:rPr>
              <w:t>2033</w:t>
            </w:r>
          </w:p>
        </w:tc>
        <w:tc>
          <w:tcPr>
            <w:tcW w:type="dxa" w:w="2282"/>
            <w:vAlign w:val="center"/>
          </w:tcPr>
          <w:p>
            <w:pPr>
              <w:spacing w:after="80" w:before="80" w:line="252" w:lineRule="auto"/>
            </w:pPr>
            <w:r>
              <w:rPr>
                <w:rFonts w:ascii="Liberation Sans" w:hAnsi="Liberation Sans"/>
                <w:b w:val="0"/>
                <w:sz w:val="19"/>
              </w:rPr>
              <w:t>Cooperação local e comparação de resultados</w:t>
            </w:r>
          </w:p>
        </w:tc>
        <w:tc>
          <w:tcPr>
            <w:tcW w:type="dxa" w:w="2282"/>
            <w:vAlign w:val="center"/>
          </w:tcPr>
          <w:p>
            <w:pPr>
              <w:spacing w:after="80" w:before="80" w:line="252" w:lineRule="auto"/>
            </w:pPr>
            <w:r>
              <w:rPr>
                <w:rFonts w:ascii="Liberation Sans" w:hAnsi="Liberation Sans"/>
                <w:b w:val="0"/>
                <w:sz w:val="19"/>
              </w:rPr>
              <w:t>Autorizações e dados de qualidade</w:t>
            </w:r>
          </w:p>
        </w:tc>
      </w:tr>
      <w:tr>
        <w:trPr>
          <w:cantSplit/>
        </w:trPr>
        <w:tc>
          <w:tcPr>
            <w:tcW w:type="dxa" w:w="2282"/>
            <w:vAlign w:val="center"/>
          </w:tcPr>
          <w:p>
            <w:pPr>
              <w:spacing w:after="80" w:before="80" w:line="252" w:lineRule="auto"/>
            </w:pPr>
            <w:r>
              <w:rPr>
                <w:rFonts w:ascii="Liberation Sans" w:hAnsi="Liberation Sans"/>
                <w:b w:val="0"/>
                <w:sz w:val="19"/>
              </w:rPr>
              <w:t>7</w:t>
            </w:r>
          </w:p>
        </w:tc>
        <w:tc>
          <w:tcPr>
            <w:tcW w:type="dxa" w:w="2282"/>
            <w:vAlign w:val="center"/>
          </w:tcPr>
          <w:p>
            <w:pPr>
              <w:spacing w:after="80" w:before="80" w:line="252" w:lineRule="auto"/>
            </w:pPr>
            <w:r>
              <w:rPr>
                <w:rFonts w:ascii="Liberation Sans" w:hAnsi="Liberation Sans"/>
                <w:b w:val="0"/>
                <w:sz w:val="19"/>
              </w:rPr>
              <w:t>2034</w:t>
            </w:r>
          </w:p>
        </w:tc>
        <w:tc>
          <w:tcPr>
            <w:tcW w:type="dxa" w:w="2282"/>
            <w:vAlign w:val="center"/>
          </w:tcPr>
          <w:p>
            <w:pPr>
              <w:spacing w:after="80" w:before="80" w:line="252" w:lineRule="auto"/>
            </w:pPr>
            <w:r>
              <w:rPr>
                <w:rFonts w:ascii="Liberation Sans" w:hAnsi="Liberation Sans"/>
                <w:b w:val="0"/>
                <w:sz w:val="19"/>
              </w:rPr>
              <w:t>Debate de reformas e novo ciclo geral</w:t>
            </w:r>
          </w:p>
        </w:tc>
        <w:tc>
          <w:tcPr>
            <w:tcW w:type="dxa" w:w="2282"/>
            <w:vAlign w:val="center"/>
          </w:tcPr>
          <w:p>
            <w:pPr>
              <w:spacing w:after="80" w:before="80" w:line="252" w:lineRule="auto"/>
            </w:pPr>
            <w:r>
              <w:rPr>
                <w:rFonts w:ascii="Liberation Sans" w:hAnsi="Liberation Sans"/>
                <w:b w:val="0"/>
                <w:sz w:val="19"/>
              </w:rPr>
              <w:t>Estudos de impacto e deliberação competente</w:t>
            </w:r>
          </w:p>
        </w:tc>
      </w:tr>
      <w:tr>
        <w:trPr>
          <w:cantSplit/>
        </w:trPr>
        <w:tc>
          <w:tcPr>
            <w:tcW w:type="dxa" w:w="2282"/>
            <w:vAlign w:val="center"/>
          </w:tcPr>
          <w:p>
            <w:pPr>
              <w:spacing w:after="80" w:before="80" w:line="252" w:lineRule="auto"/>
            </w:pPr>
            <w:r>
              <w:rPr>
                <w:rFonts w:ascii="Liberation Sans" w:hAnsi="Liberation Sans"/>
                <w:b w:val="0"/>
                <w:sz w:val="19"/>
              </w:rPr>
              <w:t>8</w:t>
            </w:r>
          </w:p>
        </w:tc>
        <w:tc>
          <w:tcPr>
            <w:tcW w:type="dxa" w:w="2282"/>
            <w:vAlign w:val="center"/>
          </w:tcPr>
          <w:p>
            <w:pPr>
              <w:spacing w:after="80" w:before="80" w:line="252" w:lineRule="auto"/>
            </w:pPr>
            <w:r>
              <w:rPr>
                <w:rFonts w:ascii="Liberation Sans" w:hAnsi="Liberation Sans"/>
                <w:b w:val="0"/>
                <w:sz w:val="19"/>
              </w:rPr>
              <w:t>2035–2036</w:t>
            </w:r>
          </w:p>
        </w:tc>
        <w:tc>
          <w:tcPr>
            <w:tcW w:type="dxa" w:w="2282"/>
            <w:vAlign w:val="center"/>
          </w:tcPr>
          <w:p>
            <w:pPr>
              <w:spacing w:after="80" w:before="80" w:line="252" w:lineRule="auto"/>
            </w:pPr>
            <w:r>
              <w:rPr>
                <w:rFonts w:ascii="Liberation Sans" w:hAnsi="Liberation Sans"/>
                <w:b w:val="0"/>
                <w:sz w:val="19"/>
              </w:rPr>
              <w:t>Expansão apenas de componentes aprovados</w:t>
            </w:r>
          </w:p>
        </w:tc>
        <w:tc>
          <w:tcPr>
            <w:tcW w:type="dxa" w:w="2282"/>
            <w:vAlign w:val="center"/>
          </w:tcPr>
          <w:p>
            <w:pPr>
              <w:spacing w:after="80" w:before="80" w:line="252" w:lineRule="auto"/>
            </w:pPr>
            <w:r>
              <w:rPr>
                <w:rFonts w:ascii="Liberation Sans" w:hAnsi="Liberation Sans"/>
                <w:b w:val="0"/>
                <w:sz w:val="19"/>
              </w:rPr>
              <w:t>Resultados sustentados e capacidade de execução</w:t>
            </w:r>
          </w:p>
        </w:tc>
      </w:tr>
      <w:tr>
        <w:trPr>
          <w:cantSplit/>
        </w:trPr>
        <w:tc>
          <w:tcPr>
            <w:tcW w:type="dxa" w:w="2282"/>
            <w:vAlign w:val="center"/>
          </w:tcPr>
          <w:p>
            <w:pPr>
              <w:spacing w:after="80" w:before="80" w:line="252" w:lineRule="auto"/>
            </w:pPr>
            <w:r>
              <w:rPr>
                <w:rFonts w:ascii="Liberation Sans" w:hAnsi="Liberation Sans"/>
                <w:b w:val="0"/>
                <w:sz w:val="19"/>
              </w:rPr>
              <w:t>9</w:t>
            </w:r>
          </w:p>
        </w:tc>
        <w:tc>
          <w:tcPr>
            <w:tcW w:type="dxa" w:w="2282"/>
            <w:vAlign w:val="center"/>
          </w:tcPr>
          <w:p>
            <w:pPr>
              <w:spacing w:after="80" w:before="80" w:line="252" w:lineRule="auto"/>
            </w:pPr>
            <w:r>
              <w:rPr>
                <w:rFonts w:ascii="Liberation Sans" w:hAnsi="Liberation Sans"/>
                <w:b w:val="0"/>
                <w:sz w:val="19"/>
              </w:rPr>
              <w:t>2037–2038</w:t>
            </w:r>
          </w:p>
        </w:tc>
        <w:tc>
          <w:tcPr>
            <w:tcW w:type="dxa" w:w="2282"/>
            <w:vAlign w:val="center"/>
          </w:tcPr>
          <w:p>
            <w:pPr>
              <w:spacing w:after="80" w:before="80" w:line="252" w:lineRule="auto"/>
            </w:pPr>
            <w:r>
              <w:rPr>
                <w:rFonts w:ascii="Liberation Sans" w:hAnsi="Liberation Sans"/>
                <w:b w:val="0"/>
                <w:sz w:val="19"/>
              </w:rPr>
              <w:t>Auditoria distributiva e novo ciclo geral</w:t>
            </w:r>
          </w:p>
        </w:tc>
        <w:tc>
          <w:tcPr>
            <w:tcW w:type="dxa" w:w="2282"/>
            <w:vAlign w:val="center"/>
          </w:tcPr>
          <w:p>
            <w:pPr>
              <w:spacing w:after="80" w:before="80" w:line="252" w:lineRule="auto"/>
            </w:pPr>
            <w:r>
              <w:rPr>
                <w:rFonts w:ascii="Liberation Sans" w:hAnsi="Liberation Sans"/>
                <w:b w:val="0"/>
                <w:sz w:val="19"/>
              </w:rPr>
              <w:t>Segurança fiscal, direitos e ausência de danos relevantes</w:t>
            </w:r>
          </w:p>
        </w:tc>
      </w:tr>
      <w:tr>
        <w:trPr>
          <w:cantSplit/>
        </w:trPr>
        <w:tc>
          <w:tcPr>
            <w:tcW w:type="dxa" w:w="2282"/>
            <w:vAlign w:val="center"/>
          </w:tcPr>
          <w:p>
            <w:pPr>
              <w:spacing w:after="80" w:before="80" w:line="252" w:lineRule="auto"/>
            </w:pPr>
            <w:r>
              <w:rPr>
                <w:rFonts w:ascii="Liberation Sans" w:hAnsi="Liberation Sans"/>
                <w:b w:val="0"/>
                <w:sz w:val="19"/>
              </w:rPr>
              <w:t>10</w:t>
            </w:r>
          </w:p>
        </w:tc>
        <w:tc>
          <w:tcPr>
            <w:tcW w:type="dxa" w:w="2282"/>
            <w:vAlign w:val="center"/>
          </w:tcPr>
          <w:p>
            <w:pPr>
              <w:spacing w:after="80" w:before="80" w:line="252" w:lineRule="auto"/>
            </w:pPr>
            <w:r>
              <w:rPr>
                <w:rFonts w:ascii="Liberation Sans" w:hAnsi="Liberation Sans"/>
                <w:b w:val="0"/>
                <w:sz w:val="19"/>
              </w:rPr>
              <w:t>2039–2040 ou além</w:t>
            </w:r>
          </w:p>
        </w:tc>
        <w:tc>
          <w:tcPr>
            <w:tcW w:type="dxa" w:w="2282"/>
            <w:vAlign w:val="center"/>
          </w:tcPr>
          <w:p>
            <w:pPr>
              <w:spacing w:after="80" w:before="80" w:line="252" w:lineRule="auto"/>
            </w:pPr>
            <w:r>
              <w:rPr>
                <w:rFonts w:ascii="Liberation Sans" w:hAnsi="Liberation Sans"/>
                <w:b w:val="0"/>
                <w:sz w:val="19"/>
              </w:rPr>
              <w:t>Revisão ampla, continuidade ou encerramento</w:t>
            </w:r>
          </w:p>
        </w:tc>
        <w:tc>
          <w:tcPr>
            <w:tcW w:type="dxa" w:w="2282"/>
            <w:vAlign w:val="center"/>
          </w:tcPr>
          <w:p>
            <w:pPr>
              <w:spacing w:after="80" w:before="80" w:line="252" w:lineRule="auto"/>
            </w:pPr>
            <w:r>
              <w:rPr>
                <w:rFonts w:ascii="Liberation Sans" w:hAnsi="Liberation Sans"/>
                <w:b w:val="0"/>
                <w:sz w:val="19"/>
              </w:rPr>
              <w:t>Evidência, legitimidade e correções públicas</w:t>
            </w:r>
          </w:p>
        </w:tc>
      </w:tr>
    </w:tbl>
    <w:p>
      <w:pPr>
        <w:spacing w:after="0"/>
      </w:pPr>
    </w:p>
    <w:p>
      <w:pPr>
        <w:pStyle w:val="Heading2"/>
      </w:pPr>
      <w:r>
        <w:t>Acelerar aprendizagem, não prometer poder</w:t>
      </w:r>
    </w:p>
    <w:p>
      <w:r>
        <w:rPr>
          <w:b w:val="0"/>
        </w:rPr>
        <w:t>A forma legítima de otimizar o processo é realizar atividades compatíveis em paralelo. Revisão jurídica, definição de indicadores e desenho de orçamento podem ocorrer simultaneamente. Um catálogo informacional voluntário pode ser testado antes de haver governo próprio, desde que não simule autoridade pública nem produza pontuações pessoais indevidas.</w:t>
      </w:r>
    </w:p>
    <w:p>
      <w:r>
        <w:rPr>
          <w:b w:val="0"/>
        </w:rPr>
        <w:t>Não é necessário esperar seis anos para testar a clareza de um painel. Por outro lado, um teste de interface não autoriza impor salários, patrimônio ou restrições financeiras à população. O caminho crítico varia por componente: informação exige dados; contrato público exige competência e orçamento; mudança legal exige deliberação; alteração constitucional exige procedimento próprio e respeito a limites materiais. [1][15]</w:t>
      </w:r>
    </w:p>
    <w:p>
      <w:pPr>
        <w:pStyle w:val="Heading2"/>
      </w:pPr>
      <w:r>
        <w:t>Três horizontes de cenário</w:t>
      </w:r>
    </w:p>
    <w:p>
      <w:r>
        <w:rPr>
          <w:b w:val="0"/>
        </w:rPr>
        <w:t>Um cenário informacional pode iniciar estudos e testes pequenos no próprio período de organização, sem poder estatal. Um cenário de políticas parciais pode se desenvolver quando houver autoridades competentes, orçamento e base legal. Um cenário de transformação estrutural demanda compatibilidade constitucional, capacidade administrativa e sustentação social ao longo de vários ciclos. Não se atribui probabilidade numérica a nenhum deles.</w:t>
      </w:r>
    </w:p>
    <w:p>
      <w:r>
        <w:rPr>
          <w:b w:val="0"/>
        </w:rPr>
        <w:t>A expressão “implantação ampla entre 2038 e 2040” permanece apenas como horizonte exploratório da ideia original. O marco relevante não é chegar a uma data com todo o modelo imposto, mas identificar quais componentes melhoram a vida sem efeitos adversos inaceitáveis. Uma revisão que descarte um mecanismo ruim é um resultado útil, não um fracasso moral.</w:t>
      </w:r>
    </w:p>
    <w:p>
      <w:r>
        <w:rPr>
          <w:b/>
        </w:rPr>
        <w:t>Síntese:</w:t>
      </w:r>
      <w:r>
        <w:rPr>
          <w:b w:val="0"/>
        </w:rPr>
        <w:t xml:space="preserve"> começar pequeno, medir cedo e ampliar apenas o que for legítimo, financiável e demonstravelmente útil.</w:t>
      </w:r>
    </w:p>
    <w:p>
      <w:bookmarkStart w:id="22" w:name="ch22"/>
      <w:pPr>
        <w:pStyle w:val="Heading1"/>
      </w:pPr>
      <w:r>
        <w:t>23. Principais riscos, objeções e condições de interrupção</w:t>
      </w:r>
      <w:bookmarkEnd w:id="22"/>
    </w:p>
    <w:p>
      <w:pPr>
        <w:pStyle w:val="Heading2"/>
      </w:pPr>
      <w:r>
        <w:t>O contraditório faz parte do projeto</w:t>
      </w:r>
    </w:p>
    <w:p>
      <w:r>
        <w:rPr>
          <w:b w:val="0"/>
        </w:rPr>
        <w:t>Uma proposta de sociedade precisa enfrentar suas melhores objeções, não apenas as versões mais fracas. A combinação de limites, rankings e transferências pode melhorar informação, mas também concentrar poder de classificação. O mesmo sistema que promete reconhecer mérito pode se tornar um mecanismo de dependência do avaliador.</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Risco</w:t>
            </w:r>
          </w:p>
        </w:tc>
        <w:tc>
          <w:tcPr>
            <w:tcW w:type="dxa" w:w="3043"/>
            <w:vAlign w:val="center"/>
            <w:shd w:fill="142B40"/>
          </w:tcPr>
          <w:p>
            <w:pPr>
              <w:spacing w:after="80" w:before="80" w:line="252" w:lineRule="auto"/>
            </w:pPr>
            <w:r>
              <w:rPr>
                <w:rFonts w:ascii="Liberation Sans" w:hAnsi="Liberation Sans"/>
                <w:b/>
                <w:color w:val="FFFFFF"/>
                <w:sz w:val="19"/>
              </w:rPr>
              <w:t>Como pode surgir</w:t>
            </w:r>
          </w:p>
        </w:tc>
        <w:tc>
          <w:tcPr>
            <w:tcW w:type="dxa" w:w="3043"/>
            <w:vAlign w:val="center"/>
            <w:shd w:fill="142B40"/>
          </w:tcPr>
          <w:p>
            <w:pPr>
              <w:spacing w:after="80" w:before="80" w:line="252" w:lineRule="auto"/>
            </w:pPr>
            <w:r>
              <w:rPr>
                <w:rFonts w:ascii="Liberation Sans" w:hAnsi="Liberation Sans"/>
                <w:b/>
                <w:color w:val="FFFFFF"/>
                <w:sz w:val="19"/>
              </w:rPr>
              <w:t>Resposta proposta</w:t>
            </w:r>
          </w:p>
        </w:tc>
      </w:tr>
      <w:tr>
        <w:trPr>
          <w:cantSplit/>
        </w:trPr>
        <w:tc>
          <w:tcPr>
            <w:tcW w:type="dxa" w:w="3043"/>
            <w:vAlign w:val="center"/>
          </w:tcPr>
          <w:p>
            <w:pPr>
              <w:spacing w:after="80" w:before="80" w:line="252" w:lineRule="auto"/>
            </w:pPr>
            <w:r>
              <w:rPr>
                <w:rFonts w:ascii="Liberation Sans" w:hAnsi="Liberation Sans"/>
                <w:b w:val="0"/>
                <w:sz w:val="19"/>
              </w:rPr>
              <w:t>Cartel protegido</w:t>
            </w:r>
          </w:p>
        </w:tc>
        <w:tc>
          <w:tcPr>
            <w:tcW w:type="dxa" w:w="3043"/>
            <w:vAlign w:val="center"/>
          </w:tcPr>
          <w:p>
            <w:pPr>
              <w:spacing w:after="80" w:before="80" w:line="252" w:lineRule="auto"/>
            </w:pPr>
            <w:r>
              <w:rPr>
                <w:rFonts w:ascii="Liberation Sans" w:hAnsi="Liberation Sans"/>
                <w:b w:val="0"/>
                <w:sz w:val="19"/>
              </w:rPr>
              <w:t>Divisão A controla entrada e contratos</w:t>
            </w:r>
          </w:p>
        </w:tc>
        <w:tc>
          <w:tcPr>
            <w:tcW w:type="dxa" w:w="3043"/>
            <w:vAlign w:val="center"/>
          </w:tcPr>
          <w:p>
            <w:pPr>
              <w:spacing w:after="80" w:before="80" w:line="252" w:lineRule="auto"/>
            </w:pPr>
            <w:r>
              <w:rPr>
                <w:rFonts w:ascii="Liberation Sans" w:hAnsi="Liberation Sans"/>
                <w:b w:val="0"/>
                <w:sz w:val="19"/>
              </w:rPr>
              <w:t>Entrada aberta, controle concorrencial e revisão</w:t>
            </w:r>
          </w:p>
        </w:tc>
      </w:tr>
      <w:tr>
        <w:trPr>
          <w:cantSplit/>
        </w:trPr>
        <w:tc>
          <w:tcPr>
            <w:tcW w:type="dxa" w:w="3043"/>
            <w:vAlign w:val="center"/>
          </w:tcPr>
          <w:p>
            <w:pPr>
              <w:spacing w:after="80" w:before="80" w:line="252" w:lineRule="auto"/>
            </w:pPr>
            <w:r>
              <w:rPr>
                <w:rFonts w:ascii="Liberation Sans" w:hAnsi="Liberation Sans"/>
                <w:b w:val="0"/>
                <w:sz w:val="19"/>
              </w:rPr>
              <w:t>Captura estatal</w:t>
            </w:r>
          </w:p>
        </w:tc>
        <w:tc>
          <w:tcPr>
            <w:tcW w:type="dxa" w:w="3043"/>
            <w:vAlign w:val="center"/>
          </w:tcPr>
          <w:p>
            <w:pPr>
              <w:spacing w:after="80" w:before="80" w:line="252" w:lineRule="auto"/>
            </w:pPr>
            <w:r>
              <w:rPr>
                <w:rFonts w:ascii="Liberation Sans" w:hAnsi="Liberation Sans"/>
                <w:b w:val="0"/>
                <w:sz w:val="19"/>
              </w:rPr>
              <w:t>Critérios favorecem aliados</w:t>
            </w:r>
          </w:p>
        </w:tc>
        <w:tc>
          <w:tcPr>
            <w:tcW w:type="dxa" w:w="3043"/>
            <w:vAlign w:val="center"/>
          </w:tcPr>
          <w:p>
            <w:pPr>
              <w:spacing w:after="80" w:before="80" w:line="252" w:lineRule="auto"/>
            </w:pPr>
            <w:r>
              <w:rPr>
                <w:rFonts w:ascii="Liberation Sans" w:hAnsi="Liberation Sans"/>
                <w:b w:val="0"/>
                <w:sz w:val="19"/>
              </w:rPr>
              <w:t>Independência, publicidade e recurso</w:t>
            </w:r>
          </w:p>
        </w:tc>
      </w:tr>
      <w:tr>
        <w:trPr>
          <w:cantSplit/>
        </w:trPr>
        <w:tc>
          <w:tcPr>
            <w:tcW w:type="dxa" w:w="3043"/>
            <w:vAlign w:val="center"/>
          </w:tcPr>
          <w:p>
            <w:pPr>
              <w:spacing w:after="80" w:before="80" w:line="252" w:lineRule="auto"/>
            </w:pPr>
            <w:r>
              <w:rPr>
                <w:rFonts w:ascii="Liberation Sans" w:hAnsi="Liberation Sans"/>
                <w:b w:val="0"/>
                <w:sz w:val="19"/>
              </w:rPr>
              <w:t>Manipulação de métricas</w:t>
            </w:r>
          </w:p>
        </w:tc>
        <w:tc>
          <w:tcPr>
            <w:tcW w:type="dxa" w:w="3043"/>
            <w:vAlign w:val="center"/>
          </w:tcPr>
          <w:p>
            <w:pPr>
              <w:spacing w:after="80" w:before="80" w:line="252" w:lineRule="auto"/>
            </w:pPr>
            <w:r>
              <w:rPr>
                <w:rFonts w:ascii="Liberation Sans" w:hAnsi="Liberation Sans"/>
                <w:b w:val="0"/>
                <w:sz w:val="19"/>
              </w:rPr>
              <w:t>Melhorar placar sem melhorar serviço</w:t>
            </w:r>
          </w:p>
        </w:tc>
        <w:tc>
          <w:tcPr>
            <w:tcW w:type="dxa" w:w="3043"/>
            <w:vAlign w:val="center"/>
          </w:tcPr>
          <w:p>
            <w:pPr>
              <w:spacing w:after="80" w:before="80" w:line="252" w:lineRule="auto"/>
            </w:pPr>
            <w:r>
              <w:rPr>
                <w:rFonts w:ascii="Liberation Sans" w:hAnsi="Liberation Sans"/>
                <w:b w:val="0"/>
                <w:sz w:val="19"/>
              </w:rPr>
              <w:t>Auditoria, contrapesos e dados de origem</w:t>
            </w:r>
          </w:p>
        </w:tc>
      </w:tr>
      <w:tr>
        <w:trPr>
          <w:cantSplit/>
        </w:trPr>
        <w:tc>
          <w:tcPr>
            <w:tcW w:type="dxa" w:w="3043"/>
            <w:vAlign w:val="center"/>
          </w:tcPr>
          <w:p>
            <w:pPr>
              <w:spacing w:after="80" w:before="80" w:line="252" w:lineRule="auto"/>
            </w:pPr>
            <w:r>
              <w:rPr>
                <w:rFonts w:ascii="Liberation Sans" w:hAnsi="Liberation Sans"/>
                <w:b w:val="0"/>
                <w:sz w:val="19"/>
              </w:rPr>
              <w:t>Escassez</w:t>
            </w:r>
          </w:p>
        </w:tc>
        <w:tc>
          <w:tcPr>
            <w:tcW w:type="dxa" w:w="3043"/>
            <w:vAlign w:val="center"/>
          </w:tcPr>
          <w:p>
            <w:pPr>
              <w:spacing w:after="80" w:before="80" w:line="252" w:lineRule="auto"/>
            </w:pPr>
            <w:r>
              <w:rPr>
                <w:rFonts w:ascii="Liberation Sans" w:hAnsi="Liberation Sans"/>
                <w:b w:val="0"/>
                <w:sz w:val="19"/>
              </w:rPr>
              <w:t>Teto incompatível com custo e oferta</w:t>
            </w:r>
          </w:p>
        </w:tc>
        <w:tc>
          <w:tcPr>
            <w:tcW w:type="dxa" w:w="3043"/>
            <w:vAlign w:val="center"/>
          </w:tcPr>
          <w:p>
            <w:pPr>
              <w:spacing w:after="80" w:before="80" w:line="252" w:lineRule="auto"/>
            </w:pPr>
            <w:r>
              <w:rPr>
                <w:rFonts w:ascii="Liberation Sans" w:hAnsi="Liberation Sans"/>
                <w:b w:val="0"/>
                <w:sz w:val="19"/>
              </w:rPr>
              <w:t>Monitoramento, ajuste e medidas alternativas</w:t>
            </w:r>
          </w:p>
        </w:tc>
      </w:tr>
      <w:tr>
        <w:trPr>
          <w:cantSplit/>
        </w:trPr>
        <w:tc>
          <w:tcPr>
            <w:tcW w:type="dxa" w:w="3043"/>
            <w:vAlign w:val="center"/>
          </w:tcPr>
          <w:p>
            <w:pPr>
              <w:spacing w:after="80" w:before="80" w:line="252" w:lineRule="auto"/>
            </w:pPr>
            <w:r>
              <w:rPr>
                <w:rFonts w:ascii="Liberation Sans" w:hAnsi="Liberation Sans"/>
                <w:b w:val="0"/>
                <w:sz w:val="19"/>
              </w:rPr>
              <w:t>Vigilância</w:t>
            </w:r>
          </w:p>
        </w:tc>
        <w:tc>
          <w:tcPr>
            <w:tcW w:type="dxa" w:w="3043"/>
            <w:vAlign w:val="center"/>
          </w:tcPr>
          <w:p>
            <w:pPr>
              <w:spacing w:after="80" w:before="80" w:line="252" w:lineRule="auto"/>
            </w:pPr>
            <w:r>
              <w:rPr>
                <w:rFonts w:ascii="Liberation Sans" w:hAnsi="Liberation Sans"/>
                <w:b w:val="0"/>
                <w:sz w:val="19"/>
              </w:rPr>
              <w:t>Bases são reunidas sem finalidade</w:t>
            </w:r>
          </w:p>
        </w:tc>
        <w:tc>
          <w:tcPr>
            <w:tcW w:type="dxa" w:w="3043"/>
            <w:vAlign w:val="center"/>
          </w:tcPr>
          <w:p>
            <w:pPr>
              <w:spacing w:after="80" w:before="80" w:line="252" w:lineRule="auto"/>
            </w:pPr>
            <w:r>
              <w:rPr>
                <w:rFonts w:ascii="Liberation Sans" w:hAnsi="Liberation Sans"/>
                <w:b w:val="0"/>
                <w:sz w:val="19"/>
              </w:rPr>
              <w:t>Minimização, segregação e proibição de nota total</w:t>
            </w:r>
          </w:p>
        </w:tc>
      </w:tr>
      <w:tr>
        <w:trPr>
          <w:cantSplit/>
        </w:trPr>
        <w:tc>
          <w:tcPr>
            <w:tcW w:type="dxa" w:w="3043"/>
            <w:vAlign w:val="center"/>
          </w:tcPr>
          <w:p>
            <w:pPr>
              <w:spacing w:after="80" w:before="80" w:line="252" w:lineRule="auto"/>
            </w:pPr>
            <w:r>
              <w:rPr>
                <w:rFonts w:ascii="Liberation Sans" w:hAnsi="Liberation Sans"/>
                <w:b w:val="0"/>
                <w:sz w:val="19"/>
              </w:rPr>
              <w:t>Rigidez salarial</w:t>
            </w:r>
          </w:p>
        </w:tc>
        <w:tc>
          <w:tcPr>
            <w:tcW w:type="dxa" w:w="3043"/>
            <w:vAlign w:val="center"/>
          </w:tcPr>
          <w:p>
            <w:pPr>
              <w:spacing w:after="80" w:before="80" w:line="252" w:lineRule="auto"/>
            </w:pPr>
            <w:r>
              <w:rPr>
                <w:rFonts w:ascii="Liberation Sans" w:hAnsi="Liberation Sans"/>
                <w:b w:val="0"/>
                <w:sz w:val="19"/>
              </w:rPr>
              <w:t>Modelo ignora funções e mercados</w:t>
            </w:r>
          </w:p>
        </w:tc>
        <w:tc>
          <w:tcPr>
            <w:tcW w:type="dxa" w:w="3043"/>
            <w:vAlign w:val="center"/>
          </w:tcPr>
          <w:p>
            <w:pPr>
              <w:spacing w:after="80" w:before="80" w:line="252" w:lineRule="auto"/>
            </w:pPr>
            <w:r>
              <w:rPr>
                <w:rFonts w:ascii="Liberation Sans" w:hAnsi="Liberation Sans"/>
                <w:b w:val="0"/>
                <w:sz w:val="19"/>
              </w:rPr>
              <w:t>Negociação, transição e avaliação de emprego</w:t>
            </w:r>
          </w:p>
        </w:tc>
      </w:tr>
      <w:tr>
        <w:trPr>
          <w:cantSplit/>
        </w:trPr>
        <w:tc>
          <w:tcPr>
            <w:tcW w:type="dxa" w:w="3043"/>
            <w:vAlign w:val="center"/>
          </w:tcPr>
          <w:p>
            <w:pPr>
              <w:spacing w:after="80" w:before="80" w:line="252" w:lineRule="auto"/>
            </w:pPr>
            <w:r>
              <w:rPr>
                <w:rFonts w:ascii="Liberation Sans" w:hAnsi="Liberation Sans"/>
                <w:b w:val="0"/>
                <w:sz w:val="19"/>
              </w:rPr>
              <w:t>Evasão e ocultação</w:t>
            </w:r>
          </w:p>
        </w:tc>
        <w:tc>
          <w:tcPr>
            <w:tcW w:type="dxa" w:w="3043"/>
            <w:vAlign w:val="center"/>
          </w:tcPr>
          <w:p>
            <w:pPr>
              <w:spacing w:after="80" w:before="80" w:line="252" w:lineRule="auto"/>
            </w:pPr>
            <w:r>
              <w:rPr>
                <w:rFonts w:ascii="Liberation Sans" w:hAnsi="Liberation Sans"/>
                <w:b w:val="0"/>
                <w:sz w:val="19"/>
              </w:rPr>
              <w:t>Tetos patrimoniais mal desenhados</w:t>
            </w:r>
          </w:p>
        </w:tc>
        <w:tc>
          <w:tcPr>
            <w:tcW w:type="dxa" w:w="3043"/>
            <w:vAlign w:val="center"/>
          </w:tcPr>
          <w:p>
            <w:pPr>
              <w:spacing w:after="80" w:before="80" w:line="252" w:lineRule="auto"/>
            </w:pPr>
            <w:r>
              <w:rPr>
                <w:rFonts w:ascii="Liberation Sans" w:hAnsi="Liberation Sans"/>
                <w:b w:val="0"/>
                <w:sz w:val="19"/>
              </w:rPr>
              <w:t>Beneficiário real, proporcionalidade e devido processo</w:t>
            </w:r>
          </w:p>
        </w:tc>
      </w:tr>
      <w:tr>
        <w:trPr>
          <w:cantSplit/>
        </w:trPr>
        <w:tc>
          <w:tcPr>
            <w:tcW w:type="dxa" w:w="3043"/>
            <w:vAlign w:val="center"/>
          </w:tcPr>
          <w:p>
            <w:pPr>
              <w:spacing w:after="80" w:before="80" w:line="252" w:lineRule="auto"/>
            </w:pPr>
            <w:r>
              <w:rPr>
                <w:rFonts w:ascii="Liberation Sans" w:hAnsi="Liberation Sans"/>
                <w:b w:val="0"/>
                <w:sz w:val="19"/>
              </w:rPr>
              <w:t>Custo fiscal</w:t>
            </w:r>
          </w:p>
        </w:tc>
        <w:tc>
          <w:tcPr>
            <w:tcW w:type="dxa" w:w="3043"/>
            <w:vAlign w:val="center"/>
          </w:tcPr>
          <w:p>
            <w:pPr>
              <w:spacing w:after="80" w:before="80" w:line="252" w:lineRule="auto"/>
            </w:pPr>
            <w:r>
              <w:rPr>
                <w:rFonts w:ascii="Liberation Sans" w:hAnsi="Liberation Sans"/>
                <w:b w:val="0"/>
                <w:sz w:val="19"/>
              </w:rPr>
              <w:t>Compromissos superam recursos</w:t>
            </w:r>
          </w:p>
        </w:tc>
        <w:tc>
          <w:tcPr>
            <w:tcW w:type="dxa" w:w="3043"/>
            <w:vAlign w:val="center"/>
          </w:tcPr>
          <w:p>
            <w:pPr>
              <w:spacing w:after="80" w:before="80" w:line="252" w:lineRule="auto"/>
            </w:pPr>
            <w:r>
              <w:rPr>
                <w:rFonts w:ascii="Liberation Sans" w:hAnsi="Liberation Sans"/>
                <w:b w:val="0"/>
                <w:sz w:val="19"/>
              </w:rPr>
              <w:t>Orçamento, faseamento e revisão independente</w:t>
            </w:r>
          </w:p>
        </w:tc>
      </w:tr>
      <w:tr>
        <w:trPr>
          <w:cantSplit/>
        </w:trPr>
        <w:tc>
          <w:tcPr>
            <w:tcW w:type="dxa" w:w="3043"/>
            <w:vAlign w:val="center"/>
          </w:tcPr>
          <w:p>
            <w:pPr>
              <w:spacing w:after="80" w:before="80" w:line="252" w:lineRule="auto"/>
            </w:pPr>
            <w:r>
              <w:rPr>
                <w:rFonts w:ascii="Liberation Sans" w:hAnsi="Liberation Sans"/>
                <w:b w:val="0"/>
                <w:sz w:val="19"/>
              </w:rPr>
              <w:t>Exclusão</w:t>
            </w:r>
          </w:p>
        </w:tc>
        <w:tc>
          <w:tcPr>
            <w:tcW w:type="dxa" w:w="3043"/>
            <w:vAlign w:val="center"/>
          </w:tcPr>
          <w:p>
            <w:pPr>
              <w:spacing w:after="80" w:before="80" w:line="252" w:lineRule="auto"/>
            </w:pPr>
            <w:r>
              <w:rPr>
                <w:rFonts w:ascii="Liberation Sans" w:hAnsi="Liberation Sans"/>
                <w:b w:val="0"/>
                <w:sz w:val="19"/>
              </w:rPr>
              <w:t>Pontuação pune contexto e deficiência</w:t>
            </w:r>
          </w:p>
        </w:tc>
        <w:tc>
          <w:tcPr>
            <w:tcW w:type="dxa" w:w="3043"/>
            <w:vAlign w:val="center"/>
          </w:tcPr>
          <w:p>
            <w:pPr>
              <w:spacing w:after="80" w:before="80" w:line="252" w:lineRule="auto"/>
            </w:pPr>
            <w:r>
              <w:rPr>
                <w:rFonts w:ascii="Liberation Sans" w:hAnsi="Liberation Sans"/>
                <w:b w:val="0"/>
                <w:sz w:val="19"/>
              </w:rPr>
              <w:t>Ajuste de contexto e acessibilidade</w:t>
            </w:r>
          </w:p>
        </w:tc>
      </w:tr>
      <w:tr>
        <w:trPr>
          <w:cantSplit/>
        </w:trPr>
        <w:tc>
          <w:tcPr>
            <w:tcW w:type="dxa" w:w="3043"/>
            <w:vAlign w:val="center"/>
          </w:tcPr>
          <w:p>
            <w:pPr>
              <w:spacing w:after="80" w:before="80" w:line="252" w:lineRule="auto"/>
            </w:pPr>
            <w:r>
              <w:rPr>
                <w:rFonts w:ascii="Liberation Sans" w:hAnsi="Liberation Sans"/>
                <w:b w:val="0"/>
                <w:sz w:val="19"/>
              </w:rPr>
              <w:t>Fragmentação</w:t>
            </w:r>
          </w:p>
        </w:tc>
        <w:tc>
          <w:tcPr>
            <w:tcW w:type="dxa" w:w="3043"/>
            <w:vAlign w:val="center"/>
          </w:tcPr>
          <w:p>
            <w:pPr>
              <w:spacing w:after="80" w:before="80" w:line="252" w:lineRule="auto"/>
            </w:pPr>
            <w:r>
              <w:rPr>
                <w:rFonts w:ascii="Liberation Sans" w:hAnsi="Liberation Sans"/>
                <w:b w:val="0"/>
                <w:sz w:val="19"/>
              </w:rPr>
              <w:t>Novos órgãos duplicam estruturas</w:t>
            </w:r>
          </w:p>
        </w:tc>
        <w:tc>
          <w:tcPr>
            <w:tcW w:type="dxa" w:w="3043"/>
            <w:vAlign w:val="center"/>
          </w:tcPr>
          <w:p>
            <w:pPr>
              <w:spacing w:after="80" w:before="80" w:line="252" w:lineRule="auto"/>
            </w:pPr>
            <w:r>
              <w:rPr>
                <w:rFonts w:ascii="Liberation Sans" w:hAnsi="Liberation Sans"/>
                <w:b w:val="0"/>
                <w:sz w:val="19"/>
              </w:rPr>
              <w:t>Mapa de competências antes de criar instituições</w:t>
            </w:r>
          </w:p>
        </w:tc>
      </w:tr>
    </w:tbl>
    <w:p>
      <w:pPr>
        <w:spacing w:after="0"/>
      </w:pPr>
    </w:p>
    <w:p>
      <w:pPr>
        <w:pStyle w:val="Heading2"/>
      </w:pPr>
      <w:r>
        <w:t>Critérios de não expansão</w:t>
      </w:r>
    </w:p>
    <w:p>
      <w:r>
        <w:rPr>
          <w:b w:val="0"/>
        </w:rPr>
        <w:t>Um piloto não deve ser ampliado se não houver grupo de comparação ou outra estratégia de avaliação adequada; se os dados forem insuficientes para distinguir melhoria de ruído; se os custos excederem o limite aprovado; ou se a revisão jurídica identificar restrição não solucionada. A ausência de comprovação não pode ser convertida em prova de sucesso por entusiasmo editorial.</w:t>
      </w:r>
    </w:p>
    <w:p>
      <w:r>
        <w:rPr>
          <w:b w:val="0"/>
        </w:rPr>
        <w:t>Critérios de suspensão imediata devem cobrir uso indevido de dados, retaliação contra participantes, risco à segurança e desvio de finalidade. Outros resultados podem exigir correção antes de interromper: baixa participação, custo de coleta elevado ou indicador pouco discriminativo. As regras precisam ser publicadas antes de conhecer os resultados.</w:t>
      </w:r>
    </w:p>
    <w:p>
      <w:pPr>
        <w:pStyle w:val="Heading2"/>
      </w:pPr>
      <w:r>
        <w:t>O teste fundamental</w:t>
      </w:r>
    </w:p>
    <w:p>
      <w:r>
        <w:rPr>
          <w:b w:val="0"/>
        </w:rPr>
        <w:t>O SMD-4 deve ser avaliado por efeitos sobre dignidade, acesso, qualidade, liberdade, mobilidade, cooperação, sustentabilidade e concentração de poder. Não basta reduzir uma medida de desigualdade se, ao mesmo tempo, houver perda intolerável de liberdade ou serviços. Não basta aumentar produtividade se a participação social e a proteção do trabalhador forem destruídas.</w:t>
      </w:r>
    </w:p>
    <w:p>
      <w:r>
        <w:rPr>
          <w:b w:val="0"/>
        </w:rPr>
        <w:t>O projeto se torna mais consistente ao reconhecer que poderá adotar algumas ideias e abandonar outras. A arquitetura revisada não depende de provar que o autor estava certo em cada detalhe. Depende de tornar perguntas, instrumentos e resultados verificáveis.</w:t>
      </w:r>
    </w:p>
    <w:p>
      <w:r>
        <w:rPr>
          <w:b/>
        </w:rPr>
        <w:t>Síntese final:</w:t>
      </w:r>
      <w:r>
        <w:rPr>
          <w:b w:val="0"/>
        </w:rPr>
        <w:t xml:space="preserve"> ninguém abaixo da dignidade; nenhuma posição acima da fiscalização; nenhuma fórmula acima dos direitos.</w:t>
      </w:r>
    </w:p>
    <w:p>
      <w:bookmarkStart w:id="23" w:name="ch23"/>
      <w:pPr>
        <w:pStyle w:val="Heading1"/>
        <w:pageBreakBefore/>
      </w:pPr>
      <w:r>
        <w:t>Anexo A. Sustentabilidade fiscal e simulações</w:t>
      </w:r>
      <w:bookmarkEnd w:id="23"/>
    </w:p>
    <w:p>
      <w:pPr>
        <w:pStyle w:val="Heading2"/>
      </w:pPr>
      <w:r>
        <w:t>Um orçamento fictício para aprender</w:t>
      </w:r>
    </w:p>
    <w:p>
      <w:r>
        <w:rPr>
          <w:b w:val="0"/>
        </w:rPr>
        <w:t>Os números deste anexo foram inventados exclusivamente para demonstração. Não representam um município real, previsão de arrecadação ou proposta de despesa aprovada. A simulação considera um piloto informacional de doze meses, sem transferir renda a toda a população e sem alterar tributos.</w:t>
      </w:r>
    </w:p>
    <w:tbl>
      <w:tblPr>
        <w:tblStyle w:val="LightShading-Accent1"/>
        <w:tblW w:type="auto" w:w="0"/>
        <w:tblLayout w:type="fixed"/>
        <w:tblLook w:firstColumn="1" w:firstRow="1" w:lastColumn="0" w:lastRow="0" w:noHBand="0" w:noVBand="1" w:val="04A0"/>
      </w:tblPr>
      <w:tblGrid>
        <w:gridCol w:w="4564"/>
        <w:gridCol w:w="4564"/>
      </w:tblGrid>
      <w:tr>
        <w:trPr>
          <w:cantSplit/>
          <w:tblHeader/>
        </w:trPr>
        <w:tc>
          <w:tcPr>
            <w:tcW w:type="dxa" w:w="4564"/>
            <w:vAlign w:val="center"/>
            <w:shd w:fill="142B40"/>
          </w:tcPr>
          <w:p>
            <w:pPr>
              <w:spacing w:after="80" w:before="80" w:line="252" w:lineRule="auto"/>
            </w:pPr>
            <w:r>
              <w:rPr>
                <w:rFonts w:ascii="Liberation Sans" w:hAnsi="Liberation Sans"/>
                <w:b/>
                <w:color w:val="FFFFFF"/>
                <w:sz w:val="19"/>
              </w:rPr>
              <w:t>Componente fictício</w:t>
            </w:r>
          </w:p>
        </w:tc>
        <w:tc>
          <w:tcPr>
            <w:tcW w:type="dxa" w:w="4564"/>
            <w:vAlign w:val="center"/>
            <w:shd w:fill="142B40"/>
          </w:tcPr>
          <w:p>
            <w:pPr>
              <w:spacing w:after="80" w:before="80" w:line="252" w:lineRule="auto"/>
            </w:pPr>
            <w:r>
              <w:rPr>
                <w:rFonts w:ascii="Liberation Sans" w:hAnsi="Liberation Sans"/>
                <w:b/>
                <w:color w:val="FFFFFF"/>
                <w:sz w:val="19"/>
              </w:rPr>
              <w:t>Valor anual</w:t>
            </w:r>
          </w:p>
        </w:tc>
      </w:tr>
      <w:tr>
        <w:trPr>
          <w:cantSplit/>
        </w:trPr>
        <w:tc>
          <w:tcPr>
            <w:tcW w:type="dxa" w:w="4564"/>
            <w:vAlign w:val="center"/>
          </w:tcPr>
          <w:p>
            <w:pPr>
              <w:spacing w:after="80" w:before="80" w:line="252" w:lineRule="auto"/>
            </w:pPr>
            <w:r>
              <w:rPr>
                <w:rFonts w:ascii="Liberation Sans" w:hAnsi="Liberation Sans"/>
                <w:b w:val="0"/>
                <w:sz w:val="19"/>
              </w:rPr>
              <w:t>Coordenação e avaliação independente</w:t>
            </w:r>
          </w:p>
        </w:tc>
        <w:tc>
          <w:tcPr>
            <w:tcW w:type="dxa" w:w="4564"/>
            <w:vAlign w:val="center"/>
          </w:tcPr>
          <w:p>
            <w:pPr>
              <w:spacing w:after="80" w:before="80" w:line="252" w:lineRule="auto"/>
            </w:pPr>
            <w:r>
              <w:rPr>
                <w:rFonts w:ascii="Liberation Sans" w:hAnsi="Liberation Sans"/>
                <w:b w:val="0"/>
                <w:sz w:val="19"/>
              </w:rPr>
              <w:t>R$ 180.000</w:t>
            </w:r>
          </w:p>
        </w:tc>
      </w:tr>
      <w:tr>
        <w:trPr>
          <w:cantSplit/>
        </w:trPr>
        <w:tc>
          <w:tcPr>
            <w:tcW w:type="dxa" w:w="4564"/>
            <w:vAlign w:val="center"/>
          </w:tcPr>
          <w:p>
            <w:pPr>
              <w:spacing w:after="80" w:before="80" w:line="252" w:lineRule="auto"/>
            </w:pPr>
            <w:r>
              <w:rPr>
                <w:rFonts w:ascii="Liberation Sans" w:hAnsi="Liberation Sans"/>
                <w:b w:val="0"/>
                <w:sz w:val="19"/>
              </w:rPr>
              <w:t>Plataforma, segurança e manutenção</w:t>
            </w:r>
          </w:p>
        </w:tc>
        <w:tc>
          <w:tcPr>
            <w:tcW w:type="dxa" w:w="4564"/>
            <w:vAlign w:val="center"/>
          </w:tcPr>
          <w:p>
            <w:pPr>
              <w:spacing w:after="80" w:before="80" w:line="252" w:lineRule="auto"/>
            </w:pPr>
            <w:r>
              <w:rPr>
                <w:rFonts w:ascii="Liberation Sans" w:hAnsi="Liberation Sans"/>
                <w:b w:val="0"/>
                <w:sz w:val="19"/>
              </w:rPr>
              <w:t>R$ 90.000</w:t>
            </w:r>
          </w:p>
        </w:tc>
      </w:tr>
      <w:tr>
        <w:trPr>
          <w:cantSplit/>
        </w:trPr>
        <w:tc>
          <w:tcPr>
            <w:tcW w:type="dxa" w:w="4564"/>
            <w:vAlign w:val="center"/>
          </w:tcPr>
          <w:p>
            <w:pPr>
              <w:spacing w:after="80" w:before="80" w:line="252" w:lineRule="auto"/>
            </w:pPr>
            <w:r>
              <w:rPr>
                <w:rFonts w:ascii="Liberation Sans" w:hAnsi="Liberation Sans"/>
                <w:b w:val="0"/>
                <w:sz w:val="19"/>
              </w:rPr>
              <w:t>Coleta, auditoria e proteção de participantes</w:t>
            </w:r>
          </w:p>
        </w:tc>
        <w:tc>
          <w:tcPr>
            <w:tcW w:type="dxa" w:w="4564"/>
            <w:vAlign w:val="center"/>
          </w:tcPr>
          <w:p>
            <w:pPr>
              <w:spacing w:after="80" w:before="80" w:line="252" w:lineRule="auto"/>
            </w:pPr>
            <w:r>
              <w:rPr>
                <w:rFonts w:ascii="Liberation Sans" w:hAnsi="Liberation Sans"/>
                <w:b w:val="0"/>
                <w:sz w:val="19"/>
              </w:rPr>
              <w:t>R$ 120.000</w:t>
            </w:r>
          </w:p>
        </w:tc>
      </w:tr>
      <w:tr>
        <w:trPr>
          <w:cantSplit/>
        </w:trPr>
        <w:tc>
          <w:tcPr>
            <w:tcW w:type="dxa" w:w="4564"/>
            <w:vAlign w:val="center"/>
          </w:tcPr>
          <w:p>
            <w:pPr>
              <w:spacing w:after="80" w:before="80" w:line="252" w:lineRule="auto"/>
            </w:pPr>
            <w:r>
              <w:rPr>
                <w:rFonts w:ascii="Liberation Sans" w:hAnsi="Liberation Sans"/>
                <w:b w:val="0"/>
                <w:sz w:val="19"/>
              </w:rPr>
              <w:t>Acessibilidade e comunicação pública</w:t>
            </w:r>
          </w:p>
        </w:tc>
        <w:tc>
          <w:tcPr>
            <w:tcW w:type="dxa" w:w="4564"/>
            <w:vAlign w:val="center"/>
          </w:tcPr>
          <w:p>
            <w:pPr>
              <w:spacing w:after="80" w:before="80" w:line="252" w:lineRule="auto"/>
            </w:pPr>
            <w:r>
              <w:rPr>
                <w:rFonts w:ascii="Liberation Sans" w:hAnsi="Liberation Sans"/>
                <w:b w:val="0"/>
                <w:sz w:val="19"/>
              </w:rPr>
              <w:t>R$ 60.000</w:t>
            </w:r>
          </w:p>
        </w:tc>
      </w:tr>
      <w:tr>
        <w:trPr>
          <w:cantSplit/>
        </w:trPr>
        <w:tc>
          <w:tcPr>
            <w:tcW w:type="dxa" w:w="4564"/>
            <w:vAlign w:val="center"/>
          </w:tcPr>
          <w:p>
            <w:pPr>
              <w:spacing w:after="80" w:before="80" w:line="252" w:lineRule="auto"/>
            </w:pPr>
            <w:r>
              <w:rPr>
                <w:rFonts w:ascii="Liberation Sans" w:hAnsi="Liberation Sans"/>
                <w:b w:val="0"/>
                <w:sz w:val="19"/>
              </w:rPr>
              <w:t>Reserva operacional do piloto</w:t>
            </w:r>
          </w:p>
        </w:tc>
        <w:tc>
          <w:tcPr>
            <w:tcW w:type="dxa" w:w="4564"/>
            <w:vAlign w:val="center"/>
          </w:tcPr>
          <w:p>
            <w:pPr>
              <w:spacing w:after="80" w:before="80" w:line="252" w:lineRule="auto"/>
            </w:pPr>
            <w:r>
              <w:rPr>
                <w:rFonts w:ascii="Liberation Sans" w:hAnsi="Liberation Sans"/>
                <w:b w:val="0"/>
                <w:sz w:val="19"/>
              </w:rPr>
              <w:t>R$ 50.000</w:t>
            </w:r>
          </w:p>
        </w:tc>
      </w:tr>
      <w:tr>
        <w:trPr>
          <w:cantSplit/>
        </w:trPr>
        <w:tc>
          <w:tcPr>
            <w:tcW w:type="dxa" w:w="4564"/>
            <w:vAlign w:val="center"/>
          </w:tcPr>
          <w:p>
            <w:pPr>
              <w:spacing w:after="80" w:before="80" w:line="252" w:lineRule="auto"/>
            </w:pPr>
            <w:r>
              <w:rPr>
                <w:rFonts w:ascii="Liberation Sans" w:hAnsi="Liberation Sans"/>
                <w:b w:val="0"/>
                <w:sz w:val="19"/>
              </w:rPr>
              <w:t>Total demonstrativo</w:t>
            </w:r>
          </w:p>
        </w:tc>
        <w:tc>
          <w:tcPr>
            <w:tcW w:type="dxa" w:w="4564"/>
            <w:vAlign w:val="center"/>
          </w:tcPr>
          <w:p>
            <w:pPr>
              <w:spacing w:after="80" w:before="80" w:line="252" w:lineRule="auto"/>
            </w:pPr>
            <w:r>
              <w:rPr>
                <w:rFonts w:ascii="Liberation Sans" w:hAnsi="Liberation Sans"/>
                <w:b w:val="0"/>
                <w:sz w:val="19"/>
              </w:rPr>
              <w:t>R$ 500.000</w:t>
            </w:r>
          </w:p>
        </w:tc>
      </w:tr>
    </w:tbl>
    <w:p>
      <w:pPr>
        <w:spacing w:after="0"/>
      </w:pPr>
    </w:p>
    <w:p>
      <w:r>
        <w:rPr>
          <w:b w:val="0"/>
        </w:rPr>
        <w:t>Com cem organizações acompanhadas, o custo médio aritmético seria R$ 5.000 por organização/ano. Esse cálculo não estima custo-efetividade: seria necessário demonstrar o benefício produzido e comparar alternativas. Se apenas cinquenta organizações participassem com o mesmo gasto, o custo médio dobraria para R$ 10.000.</w:t>
      </w:r>
    </w:p>
    <w:p>
      <w:pPr>
        <w:pStyle w:val="Heading2"/>
      </w:pPr>
      <w:r>
        <w:t>Regra de orçamento antes do benefício</w:t>
      </w:r>
    </w:p>
    <w:p>
      <w:r>
        <w:rPr>
          <w:b w:val="0"/>
        </w:rPr>
        <w:t>Uma política nacional exigiria estimar população elegível, benefício médio, adesão, custo administrativo, comportamento de empresas e famílias, perdas e fontes de financiamento. A fórmula geral seria despesa total = beneficiários × benefício médio × adesão + administração + contingências − economias efetivamente demonstradas. Economias hipotéticas não devem ser tratadas como receitas disponíveis.</w:t>
      </w:r>
    </w:p>
    <w:p>
      <w:r>
        <w:rPr>
          <w:b w:val="0"/>
        </w:rPr>
        <w:t>A Lei de Responsabilidade Fiscal fornece exigências de planejamento e responsabilidade. Não existe autorização para contornar orçamento sob o argumento de que o algoritmo selecionou os melhores. Subsídios, garantias e fundos podem gerar compromissos presentes ou futuros e precisam de avaliação compatível com o instrumento. [15]</w:t>
      </w:r>
    </w:p>
    <w:p>
      <w:pPr>
        <w:pStyle w:val="Heading2"/>
      </w:pPr>
      <w:r>
        <w:t>Sensibilidade e falsa precisão</w:t>
      </w:r>
    </w:p>
    <w:p>
      <w:r>
        <w:rPr>
          <w:b w:val="0"/>
        </w:rPr>
        <w:t>A simulação deve variar pelo menos adesão, custo unitário e resultado esperado. Um cenário pessimista precisa ser suficientemente diferente do central para revelar fragilidade. Não se deve apresentar intervalo arbitrário como intervalo de confiança estatístico. Sem dados e modelo estimado, tratam-se de cenários, não probabilidades.</w:t>
      </w:r>
    </w:p>
    <w:p>
      <w:r>
        <w:rPr>
          <w:b w:val="0"/>
        </w:rPr>
        <w:t>O teto patrimonial também exige análise de sensibilidade. Com PVL mensal fictício de R$ 3.000, R$ 4.000 ou R$ 5.000, o múltiplo 500 do PVL anual gera R$ 18 milhões, R$ 24 milhões ou R$ 30 milhões. A variação mostra dependência de um parâmetro escolhido, não descoberta de um limite natural de riqueza.</w:t>
      </w:r>
    </w:p>
    <w:p>
      <w:bookmarkStart w:id="24" w:name="ch24"/>
      <w:pPr>
        <w:pStyle w:val="Heading1"/>
      </w:pPr>
      <w:r>
        <w:t>Anexo B. Protocolo mínimo de um projeto-piloto</w:t>
      </w:r>
      <w:bookmarkEnd w:id="24"/>
    </w:p>
    <w:p>
      <w:pPr>
        <w:pStyle w:val="Heading2"/>
      </w:pPr>
      <w:r>
        <w:t>Pergunta e unidade de avaliação</w:t>
      </w:r>
    </w:p>
    <w:p>
      <w:r>
        <w:rPr>
          <w:b w:val="0"/>
        </w:rPr>
        <w:t>Pergunta proposta: a disponibilização de informação auditada sobre qualidade, custo total e resolução melhora a escolha e o atendimento sem elevar indevidamente o custo de conformidade? O primeiro piloto pode acompanhar uma categoria de serviço de baixo risco. Não deve iniciar por salários individuais, patrimônio familiar ou concessão automática de crédito.</w:t>
      </w:r>
    </w:p>
    <w:p>
      <w:r>
        <w:rPr>
          <w:b w:val="0"/>
        </w:rPr>
        <w:t>A unidade de avaliação será a organização e o serviço definido, não o cidadão. O protocolo precisa identificar quem participa, como é selecionado, quem fica de fora e quais diferenças podem enviesar a comparação. A participação voluntária facilita um teste inicial, mas limita a generalização: organizações que aceitam participar podem não representar todo o setor.</w:t>
      </w:r>
    </w:p>
    <w:p>
      <w:pPr>
        <w:pStyle w:val="Heading2"/>
      </w:pPr>
      <w:r>
        <w:t>Etapas operacionais</w:t>
      </w:r>
    </w:p>
    <w:p>
      <w:r>
        <w:rPr>
          <w:b w:val="0"/>
        </w:rPr>
        <w:t>Primeiro, registrar objetivos, indicadores, hipóteses de dano, orçamento e responsabilidades. Segundo, coletar linha de base com regras estáveis. Terceiro, apresentar os resultados às organizações para correção de erros factuais, sem permitir veto ao resultado desfavorável. Quarto, publicar informação agregada e acessível. Quinto, avaliar mudanças e consequências não previstas.</w:t>
      </w:r>
    </w:p>
    <w:p>
      <w:r>
        <w:rPr>
          <w:b w:val="0"/>
        </w:rPr>
        <w:t>O protocolo pode usar comparação antes/depois, implementação escalonada ou grupo de comparação, conforme viabilidade e ética. Nenhuma dessas estratégias garante causalidade automaticamente. É necessário examinar mudanças externas, seleção, tamanho da amostra e contaminação entre participantes. Um pesquisador independente deve revisar o desenho antes do início.</w:t>
      </w:r>
    </w:p>
    <w:p>
      <w:pPr>
        <w:pStyle w:val="Heading2"/>
      </w:pPr>
      <w:r>
        <w:t>Painel mínimo</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Indicador</w:t>
            </w:r>
          </w:p>
        </w:tc>
        <w:tc>
          <w:tcPr>
            <w:tcW w:type="dxa" w:w="3043"/>
            <w:vAlign w:val="center"/>
            <w:shd w:fill="142B40"/>
          </w:tcPr>
          <w:p>
            <w:pPr>
              <w:spacing w:after="80" w:before="80" w:line="252" w:lineRule="auto"/>
            </w:pPr>
            <w:r>
              <w:rPr>
                <w:rFonts w:ascii="Liberation Sans" w:hAnsi="Liberation Sans"/>
                <w:b/>
                <w:color w:val="FFFFFF"/>
                <w:sz w:val="19"/>
              </w:rPr>
              <w:t>Exemplo de definição</w:t>
            </w:r>
          </w:p>
        </w:tc>
        <w:tc>
          <w:tcPr>
            <w:tcW w:type="dxa" w:w="3043"/>
            <w:vAlign w:val="center"/>
            <w:shd w:fill="142B40"/>
          </w:tcPr>
          <w:p>
            <w:pPr>
              <w:spacing w:after="80" w:before="80" w:line="252" w:lineRule="auto"/>
            </w:pPr>
            <w:r>
              <w:rPr>
                <w:rFonts w:ascii="Liberation Sans" w:hAnsi="Liberation Sans"/>
                <w:b/>
                <w:color w:val="FFFFFF"/>
                <w:sz w:val="19"/>
              </w:rPr>
              <w:t>Proteção necessária</w:t>
            </w:r>
          </w:p>
        </w:tc>
      </w:tr>
      <w:tr>
        <w:trPr>
          <w:cantSplit/>
        </w:trPr>
        <w:tc>
          <w:tcPr>
            <w:tcW w:type="dxa" w:w="3043"/>
            <w:vAlign w:val="center"/>
          </w:tcPr>
          <w:p>
            <w:pPr>
              <w:spacing w:after="80" w:before="80" w:line="252" w:lineRule="auto"/>
            </w:pPr>
            <w:r>
              <w:rPr>
                <w:rFonts w:ascii="Liberation Sans" w:hAnsi="Liberation Sans"/>
                <w:b w:val="0"/>
                <w:sz w:val="19"/>
              </w:rPr>
              <w:t>Qualidade</w:t>
            </w:r>
          </w:p>
        </w:tc>
        <w:tc>
          <w:tcPr>
            <w:tcW w:type="dxa" w:w="3043"/>
            <w:vAlign w:val="center"/>
          </w:tcPr>
          <w:p>
            <w:pPr>
              <w:spacing w:after="80" w:before="80" w:line="252" w:lineRule="auto"/>
            </w:pPr>
            <w:r>
              <w:rPr>
                <w:rFonts w:ascii="Liberation Sans" w:hAnsi="Liberation Sans"/>
                <w:b w:val="0"/>
                <w:sz w:val="19"/>
              </w:rPr>
              <w:t>Problemas confirmados por unidade de serviço</w:t>
            </w:r>
          </w:p>
        </w:tc>
        <w:tc>
          <w:tcPr>
            <w:tcW w:type="dxa" w:w="3043"/>
            <w:vAlign w:val="center"/>
          </w:tcPr>
          <w:p>
            <w:pPr>
              <w:spacing w:after="80" w:before="80" w:line="252" w:lineRule="auto"/>
            </w:pPr>
            <w:r>
              <w:rPr>
                <w:rFonts w:ascii="Liberation Sans" w:hAnsi="Liberation Sans"/>
                <w:b w:val="0"/>
                <w:sz w:val="19"/>
              </w:rPr>
              <w:t>Mesmo denominador e período</w:t>
            </w:r>
          </w:p>
        </w:tc>
      </w:tr>
      <w:tr>
        <w:trPr>
          <w:cantSplit/>
        </w:trPr>
        <w:tc>
          <w:tcPr>
            <w:tcW w:type="dxa" w:w="3043"/>
            <w:vAlign w:val="center"/>
          </w:tcPr>
          <w:p>
            <w:pPr>
              <w:spacing w:after="80" w:before="80" w:line="252" w:lineRule="auto"/>
            </w:pPr>
            <w:r>
              <w:rPr>
                <w:rFonts w:ascii="Liberation Sans" w:hAnsi="Liberation Sans"/>
                <w:b w:val="0"/>
                <w:sz w:val="19"/>
              </w:rPr>
              <w:t>Resolução</w:t>
            </w:r>
          </w:p>
        </w:tc>
        <w:tc>
          <w:tcPr>
            <w:tcW w:type="dxa" w:w="3043"/>
            <w:vAlign w:val="center"/>
          </w:tcPr>
          <w:p>
            <w:pPr>
              <w:spacing w:after="80" w:before="80" w:line="252" w:lineRule="auto"/>
            </w:pPr>
            <w:r>
              <w:rPr>
                <w:rFonts w:ascii="Liberation Sans" w:hAnsi="Liberation Sans"/>
                <w:b w:val="0"/>
                <w:sz w:val="19"/>
              </w:rPr>
              <w:t>Casos solucionados sem reabertura no prazo definido</w:t>
            </w:r>
          </w:p>
        </w:tc>
        <w:tc>
          <w:tcPr>
            <w:tcW w:type="dxa" w:w="3043"/>
            <w:vAlign w:val="center"/>
          </w:tcPr>
          <w:p>
            <w:pPr>
              <w:spacing w:after="80" w:before="80" w:line="252" w:lineRule="auto"/>
            </w:pPr>
            <w:r>
              <w:rPr>
                <w:rFonts w:ascii="Liberation Sans" w:hAnsi="Liberation Sans"/>
                <w:b w:val="0"/>
                <w:sz w:val="19"/>
              </w:rPr>
              <w:t>Não confundir fechamento com solução</w:t>
            </w:r>
          </w:p>
        </w:tc>
      </w:tr>
      <w:tr>
        <w:trPr>
          <w:cantSplit/>
        </w:trPr>
        <w:tc>
          <w:tcPr>
            <w:tcW w:type="dxa" w:w="3043"/>
            <w:vAlign w:val="center"/>
          </w:tcPr>
          <w:p>
            <w:pPr>
              <w:spacing w:after="80" w:before="80" w:line="252" w:lineRule="auto"/>
            </w:pPr>
            <w:r>
              <w:rPr>
                <w:rFonts w:ascii="Liberation Sans" w:hAnsi="Liberation Sans"/>
                <w:b w:val="0"/>
                <w:sz w:val="19"/>
              </w:rPr>
              <w:t>Acesso</w:t>
            </w:r>
          </w:p>
        </w:tc>
        <w:tc>
          <w:tcPr>
            <w:tcW w:type="dxa" w:w="3043"/>
            <w:vAlign w:val="center"/>
          </w:tcPr>
          <w:p>
            <w:pPr>
              <w:spacing w:after="80" w:before="80" w:line="252" w:lineRule="auto"/>
            </w:pPr>
            <w:r>
              <w:rPr>
                <w:rFonts w:ascii="Liberation Sans" w:hAnsi="Liberation Sans"/>
                <w:b w:val="0"/>
                <w:sz w:val="19"/>
              </w:rPr>
              <w:t>Barreiras relatadas por amostra independente</w:t>
            </w:r>
          </w:p>
        </w:tc>
        <w:tc>
          <w:tcPr>
            <w:tcW w:type="dxa" w:w="3043"/>
            <w:vAlign w:val="center"/>
          </w:tcPr>
          <w:p>
            <w:pPr>
              <w:spacing w:after="80" w:before="80" w:line="252" w:lineRule="auto"/>
            </w:pPr>
            <w:r>
              <w:rPr>
                <w:rFonts w:ascii="Liberation Sans" w:hAnsi="Liberation Sans"/>
                <w:b w:val="0"/>
                <w:sz w:val="19"/>
              </w:rPr>
              <w:t>Inclusão de quem não conseguiu usar o serviço</w:t>
            </w:r>
          </w:p>
        </w:tc>
      </w:tr>
      <w:tr>
        <w:trPr>
          <w:cantSplit/>
        </w:trPr>
        <w:tc>
          <w:tcPr>
            <w:tcW w:type="dxa" w:w="3043"/>
            <w:vAlign w:val="center"/>
          </w:tcPr>
          <w:p>
            <w:pPr>
              <w:spacing w:after="80" w:before="80" w:line="252" w:lineRule="auto"/>
            </w:pPr>
            <w:r>
              <w:rPr>
                <w:rFonts w:ascii="Liberation Sans" w:hAnsi="Liberation Sans"/>
                <w:b w:val="0"/>
                <w:sz w:val="19"/>
              </w:rPr>
              <w:t>Custo total</w:t>
            </w:r>
          </w:p>
        </w:tc>
        <w:tc>
          <w:tcPr>
            <w:tcW w:type="dxa" w:w="3043"/>
            <w:vAlign w:val="center"/>
          </w:tcPr>
          <w:p>
            <w:pPr>
              <w:spacing w:after="80" w:before="80" w:line="252" w:lineRule="auto"/>
            </w:pPr>
            <w:r>
              <w:rPr>
                <w:rFonts w:ascii="Liberation Sans" w:hAnsi="Liberation Sans"/>
                <w:b w:val="0"/>
                <w:sz w:val="19"/>
              </w:rPr>
              <w:t>Gasto para um cenário de uso comparável</w:t>
            </w:r>
          </w:p>
        </w:tc>
        <w:tc>
          <w:tcPr>
            <w:tcW w:type="dxa" w:w="3043"/>
            <w:vAlign w:val="center"/>
          </w:tcPr>
          <w:p>
            <w:pPr>
              <w:spacing w:after="80" w:before="80" w:line="252" w:lineRule="auto"/>
            </w:pPr>
            <w:r>
              <w:rPr>
                <w:rFonts w:ascii="Liberation Sans" w:hAnsi="Liberation Sans"/>
                <w:b w:val="0"/>
                <w:sz w:val="19"/>
              </w:rPr>
              <w:t>Premissas públicas</w:t>
            </w:r>
          </w:p>
        </w:tc>
      </w:tr>
      <w:tr>
        <w:trPr>
          <w:cantSplit/>
        </w:trPr>
        <w:tc>
          <w:tcPr>
            <w:tcW w:type="dxa" w:w="3043"/>
            <w:vAlign w:val="center"/>
          </w:tcPr>
          <w:p>
            <w:pPr>
              <w:spacing w:after="80" w:before="80" w:line="252" w:lineRule="auto"/>
            </w:pPr>
            <w:r>
              <w:rPr>
                <w:rFonts w:ascii="Liberation Sans" w:hAnsi="Liberation Sans"/>
                <w:b w:val="0"/>
                <w:sz w:val="19"/>
              </w:rPr>
              <w:t>Custo regulatório</w:t>
            </w:r>
          </w:p>
        </w:tc>
        <w:tc>
          <w:tcPr>
            <w:tcW w:type="dxa" w:w="3043"/>
            <w:vAlign w:val="center"/>
          </w:tcPr>
          <w:p>
            <w:pPr>
              <w:spacing w:after="80" w:before="80" w:line="252" w:lineRule="auto"/>
            </w:pPr>
            <w:r>
              <w:rPr>
                <w:rFonts w:ascii="Liberation Sans" w:hAnsi="Liberation Sans"/>
                <w:b w:val="0"/>
                <w:sz w:val="19"/>
              </w:rPr>
              <w:t>Horas e recursos exigidos pelo piloto</w:t>
            </w:r>
          </w:p>
        </w:tc>
        <w:tc>
          <w:tcPr>
            <w:tcW w:type="dxa" w:w="3043"/>
            <w:vAlign w:val="center"/>
          </w:tcPr>
          <w:p>
            <w:pPr>
              <w:spacing w:after="80" w:before="80" w:line="252" w:lineRule="auto"/>
            </w:pPr>
            <w:r>
              <w:rPr>
                <w:rFonts w:ascii="Liberation Sans" w:hAnsi="Liberation Sans"/>
                <w:b w:val="0"/>
                <w:sz w:val="19"/>
              </w:rPr>
              <w:t>Não inviabilizar pequenos participantes</w:t>
            </w:r>
          </w:p>
        </w:tc>
      </w:tr>
      <w:tr>
        <w:trPr>
          <w:cantSplit/>
        </w:trPr>
        <w:tc>
          <w:tcPr>
            <w:tcW w:type="dxa" w:w="3043"/>
            <w:vAlign w:val="center"/>
          </w:tcPr>
          <w:p>
            <w:pPr>
              <w:spacing w:after="80" w:before="80" w:line="252" w:lineRule="auto"/>
            </w:pPr>
            <w:r>
              <w:rPr>
                <w:rFonts w:ascii="Liberation Sans" w:hAnsi="Liberation Sans"/>
                <w:b w:val="0"/>
                <w:sz w:val="19"/>
              </w:rPr>
              <w:t>Equidade</w:t>
            </w:r>
          </w:p>
        </w:tc>
        <w:tc>
          <w:tcPr>
            <w:tcW w:type="dxa" w:w="3043"/>
            <w:vAlign w:val="center"/>
          </w:tcPr>
          <w:p>
            <w:pPr>
              <w:spacing w:after="80" w:before="80" w:line="252" w:lineRule="auto"/>
            </w:pPr>
            <w:r>
              <w:rPr>
                <w:rFonts w:ascii="Liberation Sans" w:hAnsi="Liberation Sans"/>
                <w:b w:val="0"/>
                <w:sz w:val="19"/>
              </w:rPr>
              <w:t>Diferenças relevantes entre contextos</w:t>
            </w:r>
          </w:p>
        </w:tc>
        <w:tc>
          <w:tcPr>
            <w:tcW w:type="dxa" w:w="3043"/>
            <w:vAlign w:val="center"/>
          </w:tcPr>
          <w:p>
            <w:pPr>
              <w:spacing w:after="80" w:before="80" w:line="252" w:lineRule="auto"/>
            </w:pPr>
            <w:r>
              <w:rPr>
                <w:rFonts w:ascii="Liberation Sans" w:hAnsi="Liberation Sans"/>
                <w:b w:val="0"/>
                <w:sz w:val="19"/>
              </w:rPr>
              <w:t>Dados agregados e minimizados</w:t>
            </w:r>
          </w:p>
        </w:tc>
      </w:tr>
    </w:tbl>
    <w:p>
      <w:pPr>
        <w:spacing w:after="0"/>
      </w:pPr>
    </w:p>
    <w:p>
      <w:pPr>
        <w:pStyle w:val="Heading2"/>
      </w:pPr>
      <w:r>
        <w:t>Critério de decisão</w:t>
      </w:r>
    </w:p>
    <w:p>
      <w:r>
        <w:rPr>
          <w:b w:val="0"/>
        </w:rPr>
        <w:t>Expandir exige benefício relevante, custo aceitável, ausência de dano importante e base jurídica. Corrigir é apropriado quando há potencial com falhas solucionáveis. Encerrar é apropriado quando o benefício não aparece ou o instrumento prejudica direitos e acesso. Os três resultados devem ser possíveis desde o início; um piloto que só admite sucesso é uma demonstração promocional, não uma avaliação.</w:t>
      </w:r>
    </w:p>
    <w:p>
      <w:bookmarkStart w:id="25" w:name="ch25"/>
      <w:pPr>
        <w:pStyle w:val="Heading1"/>
      </w:pPr>
      <w:r>
        <w:t>Anexo C. Registro de correções das imagens</w:t>
      </w:r>
      <w:bookmarkEnd w:id="25"/>
    </w:p>
    <w:p>
      <w:pPr>
        <w:pStyle w:val="Heading2"/>
      </w:pPr>
      <w:r>
        <w:t>Preservar o acervo sem repetir o erro</w:t>
      </w:r>
    </w:p>
    <w:p>
      <w:r>
        <w:rPr>
          <w:b w:val="0"/>
        </w:rPr>
        <w:t>Foram selecionados 31 painéis distintos: 21 sobre os tópicos conceituais e dez da cronologia original. Variações repetidas do tópico 11 e mosaicos que não atendiam ao pedido de imagens separadas foram excluídos da seleção principal. As imagens foram convertidas para WebP, mantendo suas dimensões, para reduzir o peso do site. Não foram apresentadas como novas fotografias nem como obras sem assistência de IA.</w:t>
      </w:r>
    </w:p>
    <w:tbl>
      <w:tblPr>
        <w:tblStyle w:val="LightShading-Accent1"/>
        <w:tblW w:type="auto" w:w="0"/>
        <w:tblLayout w:type="fixed"/>
        <w:tblLook w:firstColumn="1" w:firstRow="1" w:lastColumn="0" w:lastRow="0" w:noHBand="0" w:noVBand="1" w:val="04A0"/>
      </w:tblPr>
      <w:tblGrid>
        <w:gridCol w:w="3043"/>
        <w:gridCol w:w="3043"/>
        <w:gridCol w:w="3043"/>
      </w:tblGrid>
      <w:tr>
        <w:trPr>
          <w:cantSplit/>
          <w:tblHeader/>
        </w:trPr>
        <w:tc>
          <w:tcPr>
            <w:tcW w:type="dxa" w:w="3043"/>
            <w:vAlign w:val="center"/>
            <w:shd w:fill="142B40"/>
          </w:tcPr>
          <w:p>
            <w:pPr>
              <w:spacing w:after="80" w:before="80" w:line="252" w:lineRule="auto"/>
            </w:pPr>
            <w:r>
              <w:rPr>
                <w:rFonts w:ascii="Liberation Sans" w:hAnsi="Liberation Sans"/>
                <w:b/>
                <w:color w:val="FFFFFF"/>
                <w:sz w:val="19"/>
              </w:rPr>
              <w:t>Painel ou série</w:t>
            </w:r>
          </w:p>
        </w:tc>
        <w:tc>
          <w:tcPr>
            <w:tcW w:type="dxa" w:w="3043"/>
            <w:vAlign w:val="center"/>
            <w:shd w:fill="142B40"/>
          </w:tcPr>
          <w:p>
            <w:pPr>
              <w:spacing w:after="80" w:before="80" w:line="252" w:lineRule="auto"/>
            </w:pPr>
            <w:r>
              <w:rPr>
                <w:rFonts w:ascii="Liberation Sans" w:hAnsi="Liberation Sans"/>
                <w:b/>
                <w:color w:val="FFFFFF"/>
                <w:sz w:val="19"/>
              </w:rPr>
              <w:t>Problema identificado</w:t>
            </w:r>
          </w:p>
        </w:tc>
        <w:tc>
          <w:tcPr>
            <w:tcW w:type="dxa" w:w="3043"/>
            <w:vAlign w:val="center"/>
            <w:shd w:fill="142B40"/>
          </w:tcPr>
          <w:p>
            <w:pPr>
              <w:spacing w:after="80" w:before="80" w:line="252" w:lineRule="auto"/>
            </w:pPr>
            <w:r>
              <w:rPr>
                <w:rFonts w:ascii="Liberation Sans" w:hAnsi="Liberation Sans"/>
                <w:b/>
                <w:color w:val="FFFFFF"/>
                <w:sz w:val="19"/>
              </w:rPr>
              <w:t>Tratamento editorial</w:t>
            </w:r>
          </w:p>
        </w:tc>
      </w:tr>
      <w:tr>
        <w:trPr>
          <w:cantSplit/>
        </w:trPr>
        <w:tc>
          <w:tcPr>
            <w:tcW w:type="dxa" w:w="3043"/>
            <w:vAlign w:val="center"/>
          </w:tcPr>
          <w:p>
            <w:pPr>
              <w:spacing w:after="80" w:before="80" w:line="252" w:lineRule="auto"/>
            </w:pPr>
            <w:r>
              <w:rPr>
                <w:rFonts w:ascii="Liberation Sans" w:hAnsi="Liberation Sans"/>
                <w:b w:val="0"/>
                <w:sz w:val="19"/>
              </w:rPr>
              <w:t>08 — Mérito profissional</w:t>
            </w:r>
          </w:p>
        </w:tc>
        <w:tc>
          <w:tcPr>
            <w:tcW w:type="dxa" w:w="3043"/>
            <w:vAlign w:val="center"/>
          </w:tcPr>
          <w:p>
            <w:pPr>
              <w:spacing w:after="80" w:before="80" w:line="252" w:lineRule="auto"/>
            </w:pPr>
            <w:r>
              <w:rPr>
                <w:rFonts w:ascii="Liberation Sans" w:hAnsi="Liberation Sans"/>
                <w:b w:val="0"/>
                <w:sz w:val="19"/>
              </w:rPr>
              <w:t>Pesos divergem dos exemplos textuais e não são validados</w:t>
            </w:r>
          </w:p>
        </w:tc>
        <w:tc>
          <w:tcPr>
            <w:tcW w:type="dxa" w:w="3043"/>
            <w:vAlign w:val="center"/>
          </w:tcPr>
          <w:p>
            <w:pPr>
              <w:spacing w:after="80" w:before="80" w:line="252" w:lineRule="auto"/>
            </w:pPr>
            <w:r>
              <w:rPr>
                <w:rFonts w:ascii="Liberation Sans" w:hAnsi="Liberation Sans"/>
                <w:b w:val="0"/>
                <w:sz w:val="19"/>
              </w:rPr>
              <w:t>Texto informa a divergência; nenhum peso é regra profissional</w:t>
            </w:r>
          </w:p>
        </w:tc>
      </w:tr>
      <w:tr>
        <w:trPr>
          <w:cantSplit/>
        </w:trPr>
        <w:tc>
          <w:tcPr>
            <w:tcW w:type="dxa" w:w="3043"/>
            <w:vAlign w:val="center"/>
          </w:tcPr>
          <w:p>
            <w:pPr>
              <w:spacing w:after="80" w:before="80" w:line="252" w:lineRule="auto"/>
            </w:pPr>
            <w:r>
              <w:rPr>
                <w:rFonts w:ascii="Liberation Sans" w:hAnsi="Liberation Sans"/>
                <w:b w:val="0"/>
                <w:sz w:val="19"/>
              </w:rPr>
              <w:t>12 a 21</w:t>
            </w:r>
          </w:p>
        </w:tc>
        <w:tc>
          <w:tcPr>
            <w:tcW w:type="dxa" w:w="3043"/>
            <w:vAlign w:val="center"/>
          </w:tcPr>
          <w:p>
            <w:pPr>
              <w:spacing w:after="80" w:before="80" w:line="252" w:lineRule="auto"/>
            </w:pPr>
            <w:r>
              <w:rPr>
                <w:rFonts w:ascii="Liberation Sans" w:hAnsi="Liberation Sans"/>
                <w:b w:val="0"/>
                <w:sz w:val="19"/>
              </w:rPr>
              <w:t>Numeração da série e expansões do nome variam</w:t>
            </w:r>
          </w:p>
        </w:tc>
        <w:tc>
          <w:tcPr>
            <w:tcW w:type="dxa" w:w="3043"/>
            <w:vAlign w:val="center"/>
          </w:tcPr>
          <w:p>
            <w:pPr>
              <w:spacing w:after="80" w:before="80" w:line="252" w:lineRule="auto"/>
            </w:pPr>
            <w:r>
              <w:rPr>
                <w:rFonts w:ascii="Liberation Sans" w:hAnsi="Liberation Sans"/>
                <w:b w:val="0"/>
                <w:sz w:val="19"/>
              </w:rPr>
              <w:t>Identidade canônica definida no livro</w:t>
            </w:r>
          </w:p>
        </w:tc>
      </w:tr>
      <w:tr>
        <w:trPr>
          <w:cantSplit/>
        </w:trPr>
        <w:tc>
          <w:tcPr>
            <w:tcW w:type="dxa" w:w="3043"/>
            <w:vAlign w:val="center"/>
          </w:tcPr>
          <w:p>
            <w:pPr>
              <w:spacing w:after="80" w:before="80" w:line="252" w:lineRule="auto"/>
            </w:pPr>
            <w:r>
              <w:rPr>
                <w:rFonts w:ascii="Liberation Sans" w:hAnsi="Liberation Sans"/>
                <w:b w:val="0"/>
                <w:sz w:val="19"/>
              </w:rPr>
              <w:t>19 — Instituições</w:t>
            </w:r>
          </w:p>
        </w:tc>
        <w:tc>
          <w:tcPr>
            <w:tcW w:type="dxa" w:w="3043"/>
            <w:vAlign w:val="center"/>
          </w:tcPr>
          <w:p>
            <w:pPr>
              <w:spacing w:after="80" w:before="80" w:line="252" w:lineRule="auto"/>
            </w:pPr>
            <w:r>
              <w:rPr>
                <w:rFonts w:ascii="Liberation Sans" w:hAnsi="Liberation Sans"/>
                <w:b w:val="0"/>
                <w:sz w:val="19"/>
              </w:rPr>
              <w:t>Formulações simplificadas podem sugerir órgãos já existentes</w:t>
            </w:r>
          </w:p>
        </w:tc>
        <w:tc>
          <w:tcPr>
            <w:tcW w:type="dxa" w:w="3043"/>
            <w:vAlign w:val="center"/>
          </w:tcPr>
          <w:p>
            <w:pPr>
              <w:spacing w:after="80" w:before="80" w:line="252" w:lineRule="auto"/>
            </w:pPr>
            <w:r>
              <w:rPr>
                <w:rFonts w:ascii="Liberation Sans" w:hAnsi="Liberation Sans"/>
                <w:b w:val="0"/>
                <w:sz w:val="19"/>
              </w:rPr>
              <w:t>Funções são propostas; competências atuais devem ser preservadas</w:t>
            </w:r>
          </w:p>
        </w:tc>
      </w:tr>
      <w:tr>
        <w:trPr>
          <w:cantSplit/>
        </w:trPr>
        <w:tc>
          <w:tcPr>
            <w:tcW w:type="dxa" w:w="3043"/>
            <w:vAlign w:val="center"/>
          </w:tcPr>
          <w:p>
            <w:pPr>
              <w:spacing w:after="80" w:before="80" w:line="252" w:lineRule="auto"/>
            </w:pPr>
            <w:r>
              <w:rPr>
                <w:rFonts w:ascii="Liberation Sans" w:hAnsi="Liberation Sans"/>
                <w:b w:val="0"/>
                <w:sz w:val="19"/>
              </w:rPr>
              <w:t>Cronologia 03 — 2030</w:t>
            </w:r>
          </w:p>
        </w:tc>
        <w:tc>
          <w:tcPr>
            <w:tcW w:type="dxa" w:w="3043"/>
            <w:vAlign w:val="center"/>
          </w:tcPr>
          <w:p>
            <w:pPr>
              <w:spacing w:after="80" w:before="80" w:line="252" w:lineRule="auto"/>
            </w:pPr>
            <w:r>
              <w:rPr>
                <w:rFonts w:ascii="Liberation Sans" w:hAnsi="Liberation Sans"/>
                <w:b w:val="0"/>
                <w:sz w:val="19"/>
              </w:rPr>
              <w:t>Imagem refere disputa municipal</w:t>
            </w:r>
          </w:p>
        </w:tc>
        <w:tc>
          <w:tcPr>
            <w:tcW w:type="dxa" w:w="3043"/>
            <w:vAlign w:val="center"/>
          </w:tcPr>
          <w:p>
            <w:pPr>
              <w:spacing w:after="80" w:before="80" w:line="252" w:lineRule="auto"/>
            </w:pPr>
            <w:r>
              <w:rPr>
                <w:rFonts w:ascii="Liberation Sans" w:hAnsi="Liberation Sans"/>
                <w:b w:val="0"/>
                <w:sz w:val="19"/>
              </w:rPr>
              <w:t>Corrigido para ciclo geral, mantidas as regras atuais</w:t>
            </w:r>
          </w:p>
        </w:tc>
      </w:tr>
      <w:tr>
        <w:trPr>
          <w:cantSplit/>
        </w:trPr>
        <w:tc>
          <w:tcPr>
            <w:tcW w:type="dxa" w:w="3043"/>
            <w:vAlign w:val="center"/>
          </w:tcPr>
          <w:p>
            <w:pPr>
              <w:spacing w:after="80" w:before="80" w:line="252" w:lineRule="auto"/>
            </w:pPr>
            <w:r>
              <w:rPr>
                <w:rFonts w:ascii="Liberation Sans" w:hAnsi="Liberation Sans"/>
                <w:b w:val="0"/>
                <w:sz w:val="19"/>
              </w:rPr>
              <w:t>Cronologia 06 — 2033</w:t>
            </w:r>
          </w:p>
        </w:tc>
        <w:tc>
          <w:tcPr>
            <w:tcW w:type="dxa" w:w="3043"/>
            <w:vAlign w:val="center"/>
          </w:tcPr>
          <w:p>
            <w:pPr>
              <w:spacing w:after="80" w:before="80" w:line="252" w:lineRule="auto"/>
            </w:pPr>
            <w:r>
              <w:rPr>
                <w:rFonts w:ascii="Liberation Sans" w:hAnsi="Liberation Sans"/>
                <w:b w:val="0"/>
                <w:sz w:val="19"/>
              </w:rPr>
              <w:t>Sugere entrada eleitoral nacional regular</w:t>
            </w:r>
          </w:p>
        </w:tc>
        <w:tc>
          <w:tcPr>
            <w:tcW w:type="dxa" w:w="3043"/>
            <w:vAlign w:val="center"/>
          </w:tcPr>
          <w:p>
            <w:pPr>
              <w:spacing w:after="80" w:before="80" w:line="252" w:lineRule="auto"/>
            </w:pPr>
            <w:r>
              <w:rPr>
                <w:rFonts w:ascii="Liberation Sans" w:hAnsi="Liberation Sans"/>
                <w:b w:val="0"/>
                <w:sz w:val="19"/>
              </w:rPr>
              <w:t>Ano tratado como execução e avaliação, não pleito geral regular</w:t>
            </w:r>
          </w:p>
        </w:tc>
      </w:tr>
      <w:tr>
        <w:trPr>
          <w:cantSplit/>
        </w:trPr>
        <w:tc>
          <w:tcPr>
            <w:tcW w:type="dxa" w:w="3043"/>
            <w:vAlign w:val="center"/>
          </w:tcPr>
          <w:p>
            <w:pPr>
              <w:spacing w:after="80" w:before="80" w:line="252" w:lineRule="auto"/>
            </w:pPr>
            <w:r>
              <w:rPr>
                <w:rFonts w:ascii="Liberation Sans" w:hAnsi="Liberation Sans"/>
                <w:b w:val="0"/>
                <w:sz w:val="19"/>
              </w:rPr>
              <w:t>Cronologia 09 — 2036–2037</w:t>
            </w:r>
          </w:p>
        </w:tc>
        <w:tc>
          <w:tcPr>
            <w:tcW w:type="dxa" w:w="3043"/>
            <w:vAlign w:val="center"/>
          </w:tcPr>
          <w:p>
            <w:pPr>
              <w:spacing w:after="80" w:before="80" w:line="252" w:lineRule="auto"/>
            </w:pPr>
            <w:r>
              <w:rPr>
                <w:rFonts w:ascii="Liberation Sans" w:hAnsi="Liberation Sans"/>
                <w:b w:val="0"/>
                <w:sz w:val="19"/>
              </w:rPr>
              <w:t>Pode sugerir vitória presidencial em 2036</w:t>
            </w:r>
          </w:p>
        </w:tc>
        <w:tc>
          <w:tcPr>
            <w:tcW w:type="dxa" w:w="3043"/>
            <w:vAlign w:val="center"/>
          </w:tcPr>
          <w:p>
            <w:pPr>
              <w:spacing w:after="80" w:before="80" w:line="252" w:lineRule="auto"/>
            </w:pPr>
            <w:r>
              <w:rPr>
                <w:rFonts w:ascii="Liberation Sans" w:hAnsi="Liberation Sans"/>
                <w:b w:val="0"/>
                <w:sz w:val="19"/>
              </w:rPr>
              <w:t>2036 é ciclo municipal; resultado nacional não é pressuposto</w:t>
            </w:r>
          </w:p>
        </w:tc>
      </w:tr>
      <w:tr>
        <w:trPr>
          <w:cantSplit/>
        </w:trPr>
        <w:tc>
          <w:tcPr>
            <w:tcW w:type="dxa" w:w="3043"/>
            <w:vAlign w:val="center"/>
          </w:tcPr>
          <w:p>
            <w:pPr>
              <w:spacing w:after="80" w:before="80" w:line="252" w:lineRule="auto"/>
            </w:pPr>
            <w:r>
              <w:rPr>
                <w:rFonts w:ascii="Liberation Sans" w:hAnsi="Liberation Sans"/>
                <w:b w:val="0"/>
                <w:sz w:val="19"/>
              </w:rPr>
              <w:t>Toda a cronologia</w:t>
            </w:r>
          </w:p>
        </w:tc>
        <w:tc>
          <w:tcPr>
            <w:tcW w:type="dxa" w:w="3043"/>
            <w:vAlign w:val="center"/>
          </w:tcPr>
          <w:p>
            <w:pPr>
              <w:spacing w:after="80" w:before="80" w:line="252" w:lineRule="auto"/>
            </w:pPr>
            <w:r>
              <w:rPr>
                <w:rFonts w:ascii="Liberation Sans" w:hAnsi="Liberation Sans"/>
                <w:b w:val="0"/>
                <w:sz w:val="19"/>
              </w:rPr>
              <w:t>Prazos de 8–12 anos aparecem como estimativas firmes</w:t>
            </w:r>
          </w:p>
        </w:tc>
        <w:tc>
          <w:tcPr>
            <w:tcW w:type="dxa" w:w="3043"/>
            <w:vAlign w:val="center"/>
          </w:tcPr>
          <w:p>
            <w:pPr>
              <w:spacing w:after="80" w:before="80" w:line="252" w:lineRule="auto"/>
            </w:pPr>
            <w:r>
              <w:rPr>
                <w:rFonts w:ascii="Liberation Sans" w:hAnsi="Liberation Sans"/>
                <w:b w:val="0"/>
                <w:sz w:val="19"/>
              </w:rPr>
              <w:t>Reclassificados como cenários exploratórios sem validação preditiva</w:t>
            </w:r>
          </w:p>
        </w:tc>
      </w:tr>
      <w:tr>
        <w:trPr>
          <w:cantSplit/>
        </w:trPr>
        <w:tc>
          <w:tcPr>
            <w:tcW w:type="dxa" w:w="3043"/>
            <w:vAlign w:val="center"/>
          </w:tcPr>
          <w:p>
            <w:pPr>
              <w:spacing w:after="80" w:before="80" w:line="252" w:lineRule="auto"/>
            </w:pPr>
            <w:r>
              <w:rPr>
                <w:rFonts w:ascii="Liberation Sans" w:hAnsi="Liberation Sans"/>
                <w:b w:val="0"/>
                <w:sz w:val="19"/>
              </w:rPr>
              <w:t>Toda a coleção</w:t>
            </w:r>
          </w:p>
        </w:tc>
        <w:tc>
          <w:tcPr>
            <w:tcW w:type="dxa" w:w="3043"/>
            <w:vAlign w:val="center"/>
          </w:tcPr>
          <w:p>
            <w:pPr>
              <w:spacing w:after="80" w:before="80" w:line="252" w:lineRule="auto"/>
            </w:pPr>
            <w:r>
              <w:rPr>
                <w:rFonts w:ascii="Liberation Sans" w:hAnsi="Liberation Sans"/>
                <w:b w:val="0"/>
                <w:sz w:val="19"/>
              </w:rPr>
              <w:t>Frases de resultado podem parecer promessas</w:t>
            </w:r>
          </w:p>
        </w:tc>
        <w:tc>
          <w:tcPr>
            <w:tcW w:type="dxa" w:w="3043"/>
            <w:vAlign w:val="center"/>
          </w:tcPr>
          <w:p>
            <w:pPr>
              <w:spacing w:after="80" w:before="80" w:line="252" w:lineRule="auto"/>
            </w:pPr>
            <w:r>
              <w:rPr>
                <w:rFonts w:ascii="Liberation Sans" w:hAnsi="Liberation Sans"/>
                <w:b w:val="0"/>
                <w:sz w:val="19"/>
              </w:rPr>
              <w:t>Interpretadas como objetivos, não efeitos demonstrados</w:t>
            </w:r>
          </w:p>
        </w:tc>
      </w:tr>
    </w:tbl>
    <w:p>
      <w:pPr>
        <w:spacing w:after="0"/>
      </w:pPr>
    </w:p>
    <w:p>
      <w:r>
        <w:rPr>
          <w:b w:val="0"/>
        </w:rPr>
        <w:t>O acervo histórico não deve ser redistribuído isoladamente como orientação jurídica ou calendário eleitoral. Cada imagem na galeria recebe contexto, e o livro oferece uma cronologia textual corrigida. Marcas e nomes eventualmente mencionados em exemplos não endossam o projeto. Os personagens ilustrados são sintéticos e não representam participantes reais.</w:t>
      </w:r>
    </w:p>
    <w:p>
      <w:bookmarkStart w:id="26" w:name="ch26"/>
      <w:pPr>
        <w:pStyle w:val="Heading1"/>
      </w:pPr>
      <w:r>
        <w:t>Anexo D. Arquitetura digital e integração ao 360X</w:t>
      </w:r>
      <w:bookmarkEnd w:id="26"/>
    </w:p>
    <w:p>
      <w:pPr>
        <w:pStyle w:val="Heading2"/>
      </w:pPr>
      <w:r>
        <w:t>Módulo independente</w:t>
      </w:r>
    </w:p>
    <w:p>
      <w:r>
        <w:rPr>
          <w:b w:val="0"/>
        </w:rPr>
        <w:t>A estrutura preparada para o repositório é ecossistema/smd4/. Ela contém página inicial em HTML, estilos, JavaScript local, galeria, dados públicos e os arquivos do livro. O módulo não substitui a página principal do AldenirMed89. A integração proposta acrescenta links ao portfólio e à área de cidadania do ecossistema.</w:t>
      </w:r>
    </w:p>
    <w:p>
      <w:r>
        <w:rPr>
          <w:b w:val="0"/>
        </w:rPr>
        <w:t>O catálogo consultado já contém a iniciativa p048-integridade-politicas, intitulada “Integridade pública e propostas de sociedade”. O SMD-4 é associado a essa iniciativa para não criar uma raiz duplicada. O estado editorial permanece em revisão: disponibilidade de um livro e de uma interface não significa validação econômica, jurídica ou social.</w:t>
      </w:r>
    </w:p>
    <w:p>
      <w:pPr>
        <w:pStyle w:val="Heading2"/>
      </w:pPr>
      <w:r>
        <w:t>Funcionalidades e proteção</w:t>
      </w:r>
    </w:p>
    <w:p>
      <w:r>
        <w:rPr>
          <w:b w:val="0"/>
        </w:rPr>
        <w:t>O HTML inclui sumário navegável, busca local, comparação entre versões, cronologia revisada, galeria com notas, simulador didático de NED, seção de objeções e referências. A página pode ser lida sem autenticação. Não existe coleta de filiação, cadastro, pontuação de pessoas ou envio de dados a servidores externos pelo código do módulo.</w:t>
      </w:r>
    </w:p>
    <w:p>
      <w:r>
        <w:rPr>
          <w:b w:val="0"/>
        </w:rPr>
        <w:t>Os parâmetros do simulador são fictícios. Seu resultado não classifica uma empresa real nem determina repasse público. As imagens usam carregamento progressivo e descrições textuais. O projeto oferece navegação por teclado, controles de leitura e layout responsivo, mas isso não substitui uma auditoria formal de acessibilidade com usuários.</w:t>
      </w:r>
    </w:p>
    <w:p>
      <w:pPr>
        <w:pStyle w:val="Heading2"/>
      </w:pPr>
      <w:r>
        <w:t>Publicação e estado de entrega</w:t>
      </w:r>
    </w:p>
    <w:p>
      <w:r>
        <w:rPr>
          <w:b w:val="0"/>
        </w:rPr>
        <w:t>A consulta ao repositório confirmou o portfólio, o catálogo e a inclusão de ecossistema na lista de diretórios do processo de construção pública. A conexão disponível nesta execução ofereceu leitura, sem ação de escrita. A tentativa adicional por Git não alcançou o servidor por falha de resolução de rede. Portanto, esta edição foi preparada como pacote local: não há commit, alteração remota ou publicação no GitHub Pages confirmados.</w:t>
      </w:r>
    </w:p>
    <w:p>
      <w:r>
        <w:rPr>
          <w:b w:val="0"/>
        </w:rPr>
        <w:t>O pacote inclui um integrador que deve ser executado em uma cópia autorizada do repositório. Ele preserva arquivos existentes, adiciona o módulo, atualiza os pontos de navegação e recusa substituir um módulo anterior sem autorização explícita. O primeiro modo é simulação; o modo de aplicação grava apenas a cópia local. Commit, revisão, envio e confirmação do deploy continuam necessários.</w:t>
      </w:r>
    </w:p>
    <w:p>
      <w:bookmarkStart w:id="27" w:name="ch27"/>
      <w:pPr>
        <w:pStyle w:val="Heading1"/>
        <w:pageBreakBefore/>
      </w:pPr>
      <w:r>
        <w:t>Glossário essencial</w:t>
      </w:r>
      <w:bookmarkEnd w:id="27"/>
    </w:p>
    <w:p>
      <w:r>
        <w:rPr>
          <w:b/>
        </w:rPr>
        <w:t>Adicionalidade:</w:t>
      </w:r>
      <w:r>
        <w:rPr>
          <w:b w:val="0"/>
        </w:rPr>
        <w:t xml:space="preserve"> benefício que não ocorreria nas mesmas condições sem a intervenção.</w:t>
      </w:r>
    </w:p>
    <w:p>
      <w:r>
        <w:rPr>
          <w:b/>
        </w:rPr>
        <w:t>Beneficiário real:</w:t>
      </w:r>
      <w:r>
        <w:rPr>
          <w:b w:val="0"/>
        </w:rPr>
        <w:t xml:space="preserve"> pessoa que, em última instância, controla ou se beneficia economicamente de um ativo ou organização, conforme as regras aplicáveis.</w:t>
      </w:r>
    </w:p>
    <w:p>
      <w:r>
        <w:rPr>
          <w:b/>
        </w:rPr>
        <w:t>Custo total de propriedade:</w:t>
      </w:r>
      <w:r>
        <w:rPr>
          <w:b w:val="0"/>
        </w:rPr>
        <w:t xml:space="preserve"> aquisição mais custos relevantes de uso, manutenção, financiamento e descarte durante o período definido.</w:t>
      </w:r>
    </w:p>
    <w:p>
      <w:r>
        <w:rPr>
          <w:b/>
        </w:rPr>
        <w:t>NED:</w:t>
      </w:r>
      <w:r>
        <w:rPr>
          <w:b w:val="0"/>
        </w:rPr>
        <w:t xml:space="preserve"> Nota Empresarial Delimitada; fórmula ilustrativa do SMD-4, não índice validado.</w:t>
      </w:r>
    </w:p>
    <w:p>
      <w:r>
        <w:rPr>
          <w:b/>
        </w:rPr>
        <w:t>PVL:</w:t>
      </w:r>
      <w:r>
        <w:rPr>
          <w:b w:val="0"/>
        </w:rPr>
        <w:t xml:space="preserve"> Piso de Vida Local; referência de custo de vida proposta nesta obra, não valor oficial.</w:t>
      </w:r>
    </w:p>
    <w:p>
      <w:r>
        <w:rPr>
          <w:b/>
        </w:rPr>
        <w:t>Revisão humana:</w:t>
      </w:r>
      <w:r>
        <w:rPr>
          <w:b w:val="0"/>
        </w:rPr>
        <w:t xml:space="preserve"> participação de pessoa competente na reavaliação de uma decisão, com autoridade e informação suficientes para alterá-la.</w:t>
      </w:r>
    </w:p>
    <w:p>
      <w:r>
        <w:rPr>
          <w:b/>
        </w:rPr>
        <w:t>Piloto reversível:</w:t>
      </w:r>
      <w:r>
        <w:rPr>
          <w:b w:val="0"/>
        </w:rPr>
        <w:t xml:space="preserve"> teste de escopo limitado, com condições prévias de suspensão e meios de desfazer efeitos quando necessário.</w:t>
      </w:r>
    </w:p>
    <w:p>
      <w:r>
        <w:rPr>
          <w:b/>
        </w:rPr>
        <w:t>Captura regulatória:</w:t>
      </w:r>
      <w:r>
        <w:rPr>
          <w:b w:val="0"/>
        </w:rPr>
        <w:t xml:space="preserve"> situação em que decisões de fiscalização passam a servir predominantemente aos interesses que deveriam ser regulados.</w:t>
      </w:r>
    </w:p>
    <w:p>
      <w:r>
        <w:rPr>
          <w:b/>
        </w:rPr>
        <w:t>SMD-4:</w:t>
      </w:r>
      <w:r>
        <w:rPr>
          <w:b w:val="0"/>
        </w:rPr>
        <w:t xml:space="preserve"> Sociedade Meritocrática Delimitada de Mobilidade Aberta, denominação editorial da proposta.</w:t>
      </w:r>
    </w:p>
    <w:p>
      <w:r>
        <w:rPr>
          <w:b/>
        </w:rPr>
        <w:t>PROJETO 360X:</w:t>
      </w:r>
      <w:r>
        <w:rPr>
          <w:b w:val="0"/>
        </w:rPr>
        <w:t xml:space="preserve"> ecossistema autoral de Aldenir Rocha de Oliveira Filho ao qual este módulo cívico se vincula, preservada a separação de finalidades.</w:t>
      </w:r>
    </w:p>
    <w:p>
      <w:bookmarkStart w:id="28" w:name="ch28"/>
      <w:pPr>
        <w:pStyle w:val="Heading1"/>
        <w:pageBreakBefore/>
      </w:pPr>
      <w:r>
        <w:t>Referências e fontes consultadas</w:t>
      </w:r>
      <w:bookmarkEnd w:id="28"/>
    </w:p>
    <w:p>
      <w:pPr>
        <w:spacing w:after="200"/>
      </w:pPr>
      <w:r>
        <w:rPr>
          <w:b w:val="0"/>
          <w:sz w:val="20"/>
        </w:rPr>
        <w:t>As referências sustentam fatos e critérios mencionados; não constituem endosso institucional ao SMD-4. Consulta realizada em 22 de outubro de 2026. As normas devem ser reavaliadas antes de qualquer implementação. URLs completas também estão disponíveis na seção Fontes do HTML.</w:t>
      </w:r>
    </w:p>
    <w:p>
      <w:pPr>
        <w:spacing w:after="200"/>
      </w:pPr>
      <w:r>
        <w:rPr>
          <w:b w:val="0"/>
          <w:sz w:val="20"/>
        </w:rPr>
        <w:t xml:space="preserve">[1] BRASIL. Constituição da República Federativa do Brasil de 1988. Texto consolidado. Especialmente arts. 1º, 5º, 7º, 17, 29, 60, 150 e 170. </w:t>
      </w:r>
      <w:hyperlink r:id="rId12">
        <w:r>
          <w:rPr>
            <w:color w:val="176B72"/>
            <w:sz w:val="18"/>
          </w:rPr>
          <w:t>https://www.planalto.gov.br/ccivil_03/constituicao/constituicao.htm</w:t>
        </w:r>
      </w:hyperlink>
    </w:p>
    <w:p>
      <w:pPr>
        <w:spacing w:after="200"/>
      </w:pPr>
      <w:r>
        <w:rPr>
          <w:b w:val="0"/>
          <w:sz w:val="20"/>
        </w:rPr>
        <w:t xml:space="preserve">[2] BRASIL. Lei nº 12.529, de 30 de novembro de 2011. Sistema Brasileiro de Defesa da Concorrência, especialmente art. 36. </w:t>
      </w:r>
      <w:hyperlink r:id="rId13">
        <w:r>
          <w:rPr>
            <w:color w:val="176B72"/>
            <w:sz w:val="18"/>
          </w:rPr>
          <w:t>https://www.planalto.gov.br/ccivil_03/_ato2011-2014/2011/lei/l12529.htm</w:t>
        </w:r>
      </w:hyperlink>
    </w:p>
    <w:p>
      <w:pPr>
        <w:spacing w:after="200"/>
      </w:pPr>
      <w:r>
        <w:rPr>
          <w:b w:val="0"/>
          <w:sz w:val="20"/>
        </w:rPr>
        <w:t xml:space="preserve">[3] OCDE. Competition assessment. Página institucional e apresentação do Competition Assessment Toolkit. </w:t>
      </w:r>
      <w:hyperlink r:id="rId14">
        <w:r>
          <w:rPr>
            <w:color w:val="176B72"/>
            <w:sz w:val="18"/>
          </w:rPr>
          <w:t>https://www.oecd.org/en/topics/sub-issues/competitive-and-fair-markets/competition-assessment.html</w:t>
        </w:r>
      </w:hyperlink>
    </w:p>
    <w:p>
      <w:pPr>
        <w:spacing w:after="200"/>
      </w:pPr>
      <w:r>
        <w:rPr>
          <w:b w:val="0"/>
          <w:sz w:val="20"/>
        </w:rPr>
        <w:t xml:space="preserve">[4] ORGANIZAÇÃO INTERNACIONAL DO TRABALHO. ILO reaches agreement on the issue of living wages. 15 mar. 2024. </w:t>
      </w:r>
      <w:hyperlink r:id="rId15">
        <w:r>
          <w:rPr>
            <w:color w:val="176B72"/>
            <w:sz w:val="18"/>
          </w:rPr>
          <w:t>https://www.ilo.org/resource/news/ilo-reaches-agreement-issue-living-wages</w:t>
        </w:r>
      </w:hyperlink>
    </w:p>
    <w:p>
      <w:pPr>
        <w:spacing w:after="200"/>
      </w:pPr>
      <w:r>
        <w:rPr>
          <w:b w:val="0"/>
          <w:sz w:val="20"/>
        </w:rPr>
        <w:t xml:space="preserve">[5] BANCO MUNDIAL. Fair Progress? Economic Mobility across Generations Around the World. 9 maio 2018. </w:t>
      </w:r>
      <w:hyperlink r:id="rId16">
        <w:r>
          <w:rPr>
            <w:color w:val="176B72"/>
            <w:sz w:val="18"/>
          </w:rPr>
          <w:t>https://www.worldbank.org/en/topic/poverty/publication/fair-progress-economic-mobility-across-generations-around-the-world</w:t>
        </w:r>
      </w:hyperlink>
    </w:p>
    <w:p>
      <w:pPr>
        <w:spacing w:after="200"/>
      </w:pPr>
      <w:r>
        <w:rPr>
          <w:b w:val="0"/>
          <w:sz w:val="20"/>
        </w:rPr>
        <w:t xml:space="preserve">[6] BRASIL. Lei nº 13.709, de 14 de agosto de 2018. Lei Geral de Proteção de Dados Pessoais. Texto compilado, especialmente arts. 6º, 14 e 20. </w:t>
      </w:r>
      <w:hyperlink r:id="rId17">
        <w:r>
          <w:rPr>
            <w:color w:val="176B72"/>
            <w:sz w:val="18"/>
          </w:rPr>
          <w:t>https://www.planalto.gov.br/ccivil_03/_ato2015-2018/2018/lei/l13709compilado.htm</w:t>
        </w:r>
      </w:hyperlink>
    </w:p>
    <w:p>
      <w:pPr>
        <w:spacing w:after="200"/>
      </w:pPr>
      <w:r>
        <w:rPr>
          <w:b w:val="0"/>
          <w:sz w:val="20"/>
        </w:rPr>
        <w:t xml:space="preserve">[7] BRASIL. Lei nº 13.146, de 6 de julho de 2015. Lei Brasileira de Inclusão da Pessoa com Deficiência. </w:t>
      </w:r>
      <w:hyperlink r:id="rId18">
        <w:r>
          <w:rPr>
            <w:color w:val="176B72"/>
            <w:sz w:val="18"/>
          </w:rPr>
          <w:t>https://www.planalto.gov.br/ccivil_03/_ato2015-2018/2015/lei/l13146.htm</w:t>
        </w:r>
      </w:hyperlink>
    </w:p>
    <w:p>
      <w:pPr>
        <w:spacing w:after="200"/>
      </w:pPr>
      <w:r>
        <w:rPr>
          <w:b w:val="0"/>
          <w:sz w:val="20"/>
        </w:rPr>
        <w:t xml:space="preserve">[8] BANCO CENTRAL DO BRASIL. Sobre o Pix. Descrição institucional do sistema de pagamento instantâneo. </w:t>
      </w:r>
      <w:hyperlink r:id="rId19">
        <w:r>
          <w:rPr>
            <w:color w:val="176B72"/>
            <w:sz w:val="18"/>
          </w:rPr>
          <w:t>https://www.bcb.gov.br/estabilidadefinanceira/pix-sobre</w:t>
        </w:r>
      </w:hyperlink>
    </w:p>
    <w:p>
      <w:pPr>
        <w:spacing w:after="200"/>
      </w:pPr>
      <w:r>
        <w:rPr>
          <w:b w:val="0"/>
          <w:sz w:val="20"/>
        </w:rPr>
        <w:t xml:space="preserve">[9] BRASIL. Lei nº 8.078, de 11 de setembro de 1990. Código de Defesa do Consumidor. Texto compilado, incluindo disposições de crédito e superendividamento. </w:t>
      </w:r>
      <w:hyperlink r:id="rId20">
        <w:r>
          <w:rPr>
            <w:color w:val="176B72"/>
            <w:sz w:val="18"/>
          </w:rPr>
          <w:t>https://www.planalto.gov.br/ccivil_03/leis/l8078compilado.htm</w:t>
        </w:r>
      </w:hyperlink>
    </w:p>
    <w:p>
      <w:pPr>
        <w:spacing w:after="200"/>
      </w:pPr>
      <w:r>
        <w:rPr>
          <w:b w:val="0"/>
          <w:sz w:val="20"/>
        </w:rPr>
        <w:t xml:space="preserve">[10] BANCO CENTRAL DO BRASIL. Financeiras poderão emitir CDB. Descrição do certificado de depósito bancário e referência à Resolução nº 4.812/2020. </w:t>
      </w:r>
      <w:hyperlink r:id="rId21">
        <w:r>
          <w:rPr>
            <w:color w:val="176B72"/>
            <w:sz w:val="18"/>
          </w:rPr>
          <w:t>https://www.bcb.gov.br/detalhenoticia/447/noticia</w:t>
        </w:r>
      </w:hyperlink>
    </w:p>
    <w:p>
      <w:pPr>
        <w:spacing w:after="200"/>
      </w:pPr>
      <w:r>
        <w:rPr>
          <w:b w:val="0"/>
          <w:sz w:val="20"/>
        </w:rPr>
        <w:t xml:space="preserve">[11] TESOURO DIRETO. Regras e Regulamento. Condições de investimento, preços e resgate. </w:t>
      </w:r>
      <w:hyperlink r:id="rId22">
        <w:r>
          <w:rPr>
            <w:color w:val="176B72"/>
            <w:sz w:val="18"/>
          </w:rPr>
          <w:t>https://tesourodireto.com.br/sobre-o-tesouro/regras-e-regulamento</w:t>
        </w:r>
      </w:hyperlink>
    </w:p>
    <w:p>
      <w:pPr>
        <w:spacing w:after="200"/>
      </w:pPr>
      <w:r>
        <w:rPr>
          <w:b w:val="0"/>
          <w:sz w:val="20"/>
        </w:rPr>
        <w:t xml:space="preserve">[12] TRIBUNAL SUPERIOR ELEITORAL. Lei dos Partidos Políticos: Lei nº 9.096, de 19 de setembro de 1995. Texto e anotações. </w:t>
      </w:r>
      <w:hyperlink r:id="rId23">
        <w:r>
          <w:rPr>
            <w:color w:val="176B72"/>
            <w:sz w:val="18"/>
          </w:rPr>
          <w:t>https://www.tse.jus.br/legislacao/codigo-eleitoral/lei-dos-partidos-politicos/lei-dos-partidos-politicos-lei-nb0-9.096-de-19-de-setembro-de-1995</w:t>
        </w:r>
      </w:hyperlink>
    </w:p>
    <w:p>
      <w:pPr>
        <w:spacing w:after="200"/>
      </w:pPr>
      <w:r>
        <w:rPr>
          <w:b w:val="0"/>
          <w:sz w:val="20"/>
        </w:rPr>
        <w:t xml:space="preserve">[13] TRIBUNAL SUPERIOR ELEITORAL. Lei das Eleições: Lei nº 9.504, de 30 de setembro de 1997. Texto e anotações. </w:t>
      </w:r>
      <w:hyperlink r:id="rId24">
        <w:r>
          <w:rPr>
            <w:color w:val="176B72"/>
            <w:sz w:val="18"/>
          </w:rPr>
          <w:t>https://www.tse.jus.br/legislacao/codigo-eleitoral/lei-das-eleicoes/lei-das-eleicoes-lei-nb0-9.504-de-30-de-setembro-de-1997</w:t>
        </w:r>
      </w:hyperlink>
    </w:p>
    <w:p>
      <w:pPr>
        <w:spacing w:after="200"/>
      </w:pPr>
      <w:r>
        <w:rPr>
          <w:b w:val="0"/>
          <w:sz w:val="20"/>
        </w:rPr>
        <w:t xml:space="preserve">[14] TRIBUNAL SUPERIOR ELEITORAL. Glossário explica o que são as eleições gerais. 15 jan. 2025; atualização indicada em 8 jul. 2026. </w:t>
      </w:r>
      <w:hyperlink r:id="rId25">
        <w:r>
          <w:rPr>
            <w:color w:val="176B72"/>
            <w:sz w:val="18"/>
          </w:rPr>
          <w:t>https://www.tse.jus.br/comunicacao/noticias/2025/Janeiro/glossario-explica-o-que-sao-as-eleicoes-gerais</w:t>
        </w:r>
      </w:hyperlink>
    </w:p>
    <w:p>
      <w:pPr>
        <w:spacing w:after="200"/>
      </w:pPr>
      <w:r>
        <w:rPr>
          <w:b w:val="0"/>
          <w:sz w:val="20"/>
        </w:rPr>
        <w:t xml:space="preserve">[15] BRASIL. Lei Complementar nº 101, de 4 de maio de 2000. Lei de Responsabilidade Fiscal, especialmente arts. 16 e 17. </w:t>
      </w:r>
      <w:hyperlink r:id="rId26">
        <w:r>
          <w:rPr>
            <w:color w:val="176B72"/>
            <w:sz w:val="18"/>
          </w:rPr>
          <w:t>https://www.planalto.gov.br/ccivil_03/leis/lcp/lcp101.htm</w:t>
        </w:r>
      </w:hyperlink>
    </w:p>
    <w:p>
      <w:pPr>
        <w:spacing w:after="200"/>
      </w:pPr>
      <w:r>
        <w:rPr>
          <w:b w:val="0"/>
          <w:sz w:val="20"/>
        </w:rPr>
        <w:t xml:space="preserve">[16] ORGANIZAÇÃO INTERNACIONAL DO TRABALHO. The ILO signs first public-private partnership agreements to advance inclusive wage-setting processes. 24 set. 2026. </w:t>
      </w:r>
      <w:hyperlink r:id="rId27">
        <w:r>
          <w:rPr>
            <w:color w:val="176B72"/>
            <w:sz w:val="18"/>
          </w:rPr>
          <w:t>https://www.ilo.org/resource/news/ilo-signs-first-public-private-partnership-agreements-advance-inclusive</w:t>
        </w:r>
      </w:hyperlink>
    </w:p>
    <w:p>
      <w:pPr>
        <w:spacing w:after="200"/>
      </w:pPr>
      <w:r>
        <w:rPr>
          <w:b w:val="0"/>
          <w:sz w:val="20"/>
        </w:rPr>
        <w:t xml:space="preserve">[17] OLIVEIRA FILHO, Aldenir Rocha de. Projeto 360X: portfólio e catálogo público do repositório AldenirMed89. Consulta técnica para integração, sem declaração de publicação deste módulo. </w:t>
      </w:r>
      <w:hyperlink r:id="rId28">
        <w:r>
          <w:rPr>
            <w:color w:val="176B72"/>
            <w:sz w:val="18"/>
          </w:rPr>
          <w:t>https://github.com/aldenirfilho/aldenirmed89/blob/main/docs_usuario/PORTFOLIO_GITHUB/README.md</w:t>
        </w:r>
      </w:hyperlink>
    </w:p>
    <w:p>
      <w:bookmarkStart w:id="29" w:name="ch29"/>
      <w:pPr>
        <w:pStyle w:val="Heading1"/>
      </w:pPr>
      <w:r>
        <w:t>Encerramento</w:t>
      </w:r>
      <w:bookmarkEnd w:id="29"/>
    </w:p>
    <w:p>
      <w:r>
        <w:rPr>
          <w:b w:val="0"/>
        </w:rPr>
        <w:t>O valor desta proposta não está em apresentar uma sociedade concluída, mas em organizar um conjunto de perguntas difíceis de forma que possam ser examinadas. Quais limites reduzem abuso sem impedir criação? Quais incentivos reconhecem contribuição sem culpar a origem? Quais dados melhoram serviços sem converter cidadãos em pontuações? Quais garantias impedem que o próprio regulador se torne uma concentração de poder?</w:t>
      </w:r>
    </w:p>
    <w:p>
      <w:r>
        <w:rPr>
          <w:b w:val="0"/>
        </w:rPr>
        <w:t>O SMD-4 permanece um modelo em desenvolvimento. A versão aqui publicada como arquivo local preserva a intenção autoral e explicita suas tensões. Seu próximo marco substantivo não é uma promessa de implantação nacional: é uma revisão independente do desenho e um teste de baixo risco com resultados publicamente verificáveis.</w:t>
      </w:r>
    </w:p>
    <w:p>
      <w:pPr>
        <w:sectPr>
          <w:headerReference w:type="default" r:id="rId9"/>
          <w:footerReference w:type="default" r:id="rId10"/>
          <w:pgSz w:w="11906" w:h="16838"/>
          <w:pgMar w:top="1276" w:right="1247" w:bottom="1191" w:left="1531" w:header="454" w:footer="510" w:gutter="0"/>
          <w:cols w:space="720"/>
          <w:titlePg/>
          <w:docGrid w:linePitch="360"/>
        </w:sectPr>
      </w:pPr>
    </w:p>
    <w:p>
      <w:pPr>
        <w:spacing w:after="100"/>
      </w:pPr>
      <w:r>
        <w:rPr>
          <w:rFonts w:ascii="Liberation Sans" w:hAnsi="Liberation Sans"/>
          <w:b/>
          <w:color w:val="142B40"/>
          <w:sz w:val="28"/>
        </w:rPr>
        <w:t>Atlas visual · 01  /  Divisões empresariais</w:t>
      </w:r>
    </w:p>
    <w:p>
      <w:r>
        <w:drawing>
          <wp:inline xmlns:a="http://schemas.openxmlformats.org/drawingml/2006/main" xmlns:pic="http://schemas.openxmlformats.org/drawingml/2006/picture">
            <wp:extent cx="9432000" cy="5308321"/>
            <wp:docPr id="2" name="Picture 2" descr="Painel original do tópico 3. As vagas de referência não limitam o número total de empresas no mercado."/>
            <wp:cNvGraphicFramePr>
              <a:graphicFrameLocks noChangeAspect="1"/>
            </wp:cNvGraphicFramePr>
            <a:graphic>
              <a:graphicData uri="http://schemas.openxmlformats.org/drawingml/2006/picture">
                <pic:pic>
                  <pic:nvPicPr>
                    <pic:cNvPr id="0" name="plate-1.jpg"/>
                    <pic:cNvPicPr/>
                  </pic:nvPicPr>
                  <pic:blipFill>
                    <a:blip r:embed="rId29"/>
                    <a:stretch>
                      <a:fillRect/>
                    </a:stretch>
                  </pic:blipFill>
                  <pic:spPr>
                    <a:xfrm>
                      <a:off x="0" y="0"/>
                      <a:ext cx="9432000" cy="5308321"/>
                    </a:xfrm>
                    <a:prstGeom prst="rect"/>
                  </pic:spPr>
                </pic:pic>
              </a:graphicData>
            </a:graphic>
          </wp:inline>
        </w:drawing>
      </w:r>
    </w:p>
    <w:p>
      <w:pPr>
        <w:pStyle w:val="Caption"/>
        <w:spacing w:before="60"/>
      </w:pPr>
      <w:r>
        <w:t>Painel original do tópico 3. As vagas de referência não limitam o número total de empresas no mercado.</w:t>
      </w:r>
    </w:p>
    <w:p>
      <w:r>
        <w:br w:type="page"/>
      </w:r>
    </w:p>
    <w:p>
      <w:pPr>
        <w:spacing w:after="100"/>
      </w:pPr>
      <w:r>
        <w:rPr>
          <w:rFonts w:ascii="Liberation Sans" w:hAnsi="Liberation Sans"/>
          <w:b/>
          <w:color w:val="142B40"/>
          <w:sz w:val="28"/>
        </w:rPr>
        <w:t>Atlas visual · 02  /  Pontuação empresarial</w:t>
      </w:r>
    </w:p>
    <w:p>
      <w:r>
        <w:drawing>
          <wp:inline xmlns:a="http://schemas.openxmlformats.org/drawingml/2006/main" xmlns:pic="http://schemas.openxmlformats.org/drawingml/2006/picture">
            <wp:extent cx="9432000" cy="5308321"/>
            <wp:docPr id="3" name="Picture 3" descr="Painel original do tópico 4. Pesos ilustrativos, sem validação; segurança e direitos não podem ser compensados por média alta."/>
            <wp:cNvGraphicFramePr>
              <a:graphicFrameLocks noChangeAspect="1"/>
            </wp:cNvGraphicFramePr>
            <a:graphic>
              <a:graphicData uri="http://schemas.openxmlformats.org/drawingml/2006/picture">
                <pic:pic>
                  <pic:nvPicPr>
                    <pic:cNvPr id="0" name="plate-2.jpg"/>
                    <pic:cNvPicPr/>
                  </pic:nvPicPr>
                  <pic:blipFill>
                    <a:blip r:embed="rId30"/>
                    <a:stretch>
                      <a:fillRect/>
                    </a:stretch>
                  </pic:blipFill>
                  <pic:spPr>
                    <a:xfrm>
                      <a:off x="0" y="0"/>
                      <a:ext cx="9432000" cy="5308321"/>
                    </a:xfrm>
                    <a:prstGeom prst="rect"/>
                  </pic:spPr>
                </pic:pic>
              </a:graphicData>
            </a:graphic>
          </wp:inline>
        </w:drawing>
      </w:r>
    </w:p>
    <w:p>
      <w:pPr>
        <w:pStyle w:val="Caption"/>
        <w:spacing w:before="60"/>
      </w:pPr>
      <w:r>
        <w:t>Painel original do tópico 4. Pesos ilustrativos, sem validação; segurança e direitos não podem ser compensados por média alta.</w:t>
      </w:r>
    </w:p>
    <w:p>
      <w:r>
        <w:br w:type="page"/>
      </w:r>
    </w:p>
    <w:p>
      <w:pPr>
        <w:spacing w:after="100"/>
      </w:pPr>
      <w:r>
        <w:rPr>
          <w:rFonts w:ascii="Liberation Sans" w:hAnsi="Liberation Sans"/>
          <w:b/>
          <w:color w:val="142B40"/>
          <w:sz w:val="28"/>
        </w:rPr>
        <w:t>Atlas visual · 03  /  Matriz de mérito</w:t>
      </w:r>
    </w:p>
    <w:p>
      <w:r>
        <w:drawing>
          <wp:inline xmlns:a="http://schemas.openxmlformats.org/drawingml/2006/main" xmlns:pic="http://schemas.openxmlformats.org/drawingml/2006/picture">
            <wp:extent cx="9432000" cy="5308321"/>
            <wp:docPr id="4" name="Picture 4" descr="Painel original do tópico 8. Atenção: os pesos divergem do exemplo textual. Nenhuma matriz está validada para remuneração."/>
            <wp:cNvGraphicFramePr>
              <a:graphicFrameLocks noChangeAspect="1"/>
            </wp:cNvGraphicFramePr>
            <a:graphic>
              <a:graphicData uri="http://schemas.openxmlformats.org/drawingml/2006/picture">
                <pic:pic>
                  <pic:nvPicPr>
                    <pic:cNvPr id="0" name="plate-3.jpg"/>
                    <pic:cNvPicPr/>
                  </pic:nvPicPr>
                  <pic:blipFill>
                    <a:blip r:embed="rId31"/>
                    <a:stretch>
                      <a:fillRect/>
                    </a:stretch>
                  </pic:blipFill>
                  <pic:spPr>
                    <a:xfrm>
                      <a:off x="0" y="0"/>
                      <a:ext cx="9432000" cy="5308321"/>
                    </a:xfrm>
                    <a:prstGeom prst="rect"/>
                  </pic:spPr>
                </pic:pic>
              </a:graphicData>
            </a:graphic>
          </wp:inline>
        </w:drawing>
      </w:r>
    </w:p>
    <w:p>
      <w:pPr>
        <w:pStyle w:val="Caption"/>
        <w:spacing w:before="60"/>
      </w:pPr>
      <w:r>
        <w:t>Painel original do tópico 8. Atenção: os pesos divergem do exemplo textual. Nenhuma matriz está validada para remuneração.</w:t>
      </w:r>
    </w:p>
    <w:p>
      <w:r>
        <w:br w:type="page"/>
      </w:r>
    </w:p>
    <w:p>
      <w:pPr>
        <w:spacing w:after="100"/>
      </w:pPr>
      <w:r>
        <w:rPr>
          <w:rFonts w:ascii="Liberation Sans" w:hAnsi="Liberation Sans"/>
          <w:b/>
          <w:color w:val="142B40"/>
          <w:sz w:val="28"/>
        </w:rPr>
        <w:t>Atlas visual · 04  /  Patrimônio e limites</w:t>
      </w:r>
    </w:p>
    <w:p>
      <w:r>
        <w:drawing>
          <wp:inline xmlns:a="http://schemas.openxmlformats.org/drawingml/2006/main" xmlns:pic="http://schemas.openxmlformats.org/drawingml/2006/picture">
            <wp:extent cx="9432000" cy="5308321"/>
            <wp:docPr id="5" name="Picture 5" descr="Painel original do tópico 12. Números são hipóteses; compatibilidade constitucional e efeitos econômicos precisam de revisão especializada."/>
            <wp:cNvGraphicFramePr>
              <a:graphicFrameLocks noChangeAspect="1"/>
            </wp:cNvGraphicFramePr>
            <a:graphic>
              <a:graphicData uri="http://schemas.openxmlformats.org/drawingml/2006/picture">
                <pic:pic>
                  <pic:nvPicPr>
                    <pic:cNvPr id="0" name="plate-4.jpg"/>
                    <pic:cNvPicPr/>
                  </pic:nvPicPr>
                  <pic:blipFill>
                    <a:blip r:embed="rId32"/>
                    <a:stretch>
                      <a:fillRect/>
                    </a:stretch>
                  </pic:blipFill>
                  <pic:spPr>
                    <a:xfrm>
                      <a:off x="0" y="0"/>
                      <a:ext cx="9432000" cy="5308321"/>
                    </a:xfrm>
                    <a:prstGeom prst="rect"/>
                  </pic:spPr>
                </pic:pic>
              </a:graphicData>
            </a:graphic>
          </wp:inline>
        </w:drawing>
      </w:r>
    </w:p>
    <w:p>
      <w:pPr>
        <w:pStyle w:val="Caption"/>
        <w:spacing w:before="60"/>
      </w:pPr>
      <w:r>
        <w:t>Painel original do tópico 12. Números são hipóteses; compatibilidade constitucional e efeitos econômicos precisam de revisão especializada.</w:t>
      </w:r>
    </w:p>
    <w:p>
      <w:r>
        <w:br w:type="page"/>
      </w:r>
    </w:p>
    <w:p>
      <w:pPr>
        <w:spacing w:after="100"/>
      </w:pPr>
      <w:r>
        <w:rPr>
          <w:rFonts w:ascii="Liberation Sans" w:hAnsi="Liberation Sans"/>
          <w:b/>
          <w:color w:val="142B40"/>
          <w:sz w:val="28"/>
        </w:rPr>
        <w:t>Atlas visual · 05  /  Pessoas acima da pontuação</w:t>
      </w:r>
    </w:p>
    <w:p>
      <w:r>
        <w:drawing>
          <wp:inline xmlns:a="http://schemas.openxmlformats.org/drawingml/2006/main" xmlns:pic="http://schemas.openxmlformats.org/drawingml/2006/picture">
            <wp:extent cx="9432000" cy="5308321"/>
            <wp:docPr id="6" name="Picture 6" descr="Painel original do tópico 18. Avaliações limitadas à finalidade; nenhuma nota social total do cidadão."/>
            <wp:cNvGraphicFramePr>
              <a:graphicFrameLocks noChangeAspect="1"/>
            </wp:cNvGraphicFramePr>
            <a:graphic>
              <a:graphicData uri="http://schemas.openxmlformats.org/drawingml/2006/picture">
                <pic:pic>
                  <pic:nvPicPr>
                    <pic:cNvPr id="0" name="plate-5.jpg"/>
                    <pic:cNvPicPr/>
                  </pic:nvPicPr>
                  <pic:blipFill>
                    <a:blip r:embed="rId33"/>
                    <a:stretch>
                      <a:fillRect/>
                    </a:stretch>
                  </pic:blipFill>
                  <pic:spPr>
                    <a:xfrm>
                      <a:off x="0" y="0"/>
                      <a:ext cx="9432000" cy="5308321"/>
                    </a:xfrm>
                    <a:prstGeom prst="rect"/>
                  </pic:spPr>
                </pic:pic>
              </a:graphicData>
            </a:graphic>
          </wp:inline>
        </w:drawing>
      </w:r>
    </w:p>
    <w:p>
      <w:pPr>
        <w:pStyle w:val="Caption"/>
        <w:spacing w:before="60"/>
      </w:pPr>
      <w:r>
        <w:t>Painel original do tópico 18. Avaliações limitadas à finalidade; nenhuma nota social total do cidadão.</w:t>
      </w:r>
    </w:p>
    <w:p>
      <w:r>
        <w:br w:type="page"/>
      </w:r>
    </w:p>
    <w:p>
      <w:pPr>
        <w:spacing w:after="100"/>
      </w:pPr>
      <w:r>
        <w:rPr>
          <w:rFonts w:ascii="Liberation Sans" w:hAnsi="Liberation Sans"/>
          <w:b/>
          <w:color w:val="142B40"/>
          <w:sz w:val="28"/>
        </w:rPr>
        <w:t>Atlas visual · 06  /  Carta de princípios</w:t>
      </w:r>
    </w:p>
    <w:p>
      <w:r>
        <w:drawing>
          <wp:inline xmlns:a="http://schemas.openxmlformats.org/drawingml/2006/main" xmlns:pic="http://schemas.openxmlformats.org/drawingml/2006/picture">
            <wp:extent cx="9432000" cy="5308321"/>
            <wp:docPr id="7" name="Picture 7" descr="Painel original do tópico 21. Carta conceitual sem força legal. A galeria HTML inclui os 31 painéis e a cronologia histórica corrigida por notas."/>
            <wp:cNvGraphicFramePr>
              <a:graphicFrameLocks noChangeAspect="1"/>
            </wp:cNvGraphicFramePr>
            <a:graphic>
              <a:graphicData uri="http://schemas.openxmlformats.org/drawingml/2006/picture">
                <pic:pic>
                  <pic:nvPicPr>
                    <pic:cNvPr id="0" name="plate-6.jpg"/>
                    <pic:cNvPicPr/>
                  </pic:nvPicPr>
                  <pic:blipFill>
                    <a:blip r:embed="rId34"/>
                    <a:stretch>
                      <a:fillRect/>
                    </a:stretch>
                  </pic:blipFill>
                  <pic:spPr>
                    <a:xfrm>
                      <a:off x="0" y="0"/>
                      <a:ext cx="9432000" cy="5308321"/>
                    </a:xfrm>
                    <a:prstGeom prst="rect"/>
                  </pic:spPr>
                </pic:pic>
              </a:graphicData>
            </a:graphic>
          </wp:inline>
        </w:drawing>
      </w:r>
    </w:p>
    <w:p>
      <w:pPr>
        <w:pStyle w:val="Caption"/>
        <w:spacing w:before="60"/>
      </w:pPr>
      <w:r>
        <w:t>Painel original do tópico 21. Carta conceitual sem força legal. A galeria HTML inclui os 31 painéis e a cronologia histórica corrigida por notas.</w:t>
      </w:r>
    </w:p>
    <w:sectPr w:rsidR="00FC693F" w:rsidRPr="0006063C" w:rsidSect="00034616">
      <w:pgSz w:w="16838" w:h="11906" w:orient="landscape"/>
      <w:pgMar w:top="709" w:right="850" w:bottom="794" w:left="850"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86574"/>
        <w:sz w:val="16"/>
      </w:rPr>
      <w:t xml:space="preserve">Edição de desenvolvimento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PROJETO 360X   /   SMD-4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Liberation Serif" w:hAnsi="Liberation Seri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0" w:after="140"/>
      <w:outlineLvl w:val="0"/>
    </w:pPr>
    <w:rPr>
      <w:rFonts w:asciiTheme="majorHAnsi" w:eastAsiaTheme="majorEastAsia" w:hAnsiTheme="majorHAnsi" w:cstheme="majorBidi" w:ascii="Liberation Sans" w:hAnsi="Liberation Sans"/>
      <w:b/>
      <w:bCs/>
      <w:color w:val="142B40"/>
      <w:sz w:val="4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Liberation Sans" w:hAnsi="Liberation Sans"/>
      <w:b/>
      <w:bCs/>
      <w:color w:val="176B72"/>
      <w:sz w:val="25"/>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Liberation Sans" w:hAnsi="Liberation Sans"/>
      <w:b/>
      <w:bCs/>
      <w:color w:val="142B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20"/>
      <w:contextualSpacing/>
    </w:pPr>
    <w:rPr>
      <w:rFonts w:asciiTheme="majorHAnsi" w:eastAsiaTheme="majorEastAsia" w:hAnsiTheme="majorHAnsi" w:cstheme="majorBidi" w:ascii="Liberation Sans" w:hAnsi="Liberation Sans"/>
      <w:color w:val="142B4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Theme="majorHAnsi" w:eastAsiaTheme="majorEastAsia" w:hAnsiTheme="majorHAnsi" w:cstheme="majorBidi" w:ascii="Liberation Sans" w:hAnsi="Liberation Sans"/>
      <w:i/>
      <w:iCs/>
      <w:color w:val="176B72"/>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71" w:lineRule="auto"/>
    </w:pPr>
    <w:rPr>
      <w:rFonts w:ascii="Liberation Serif" w:hAnsi="Liberation Serif"/>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iberation Sans" w:hAnsi="Liberation Sans"/>
      <w:b/>
      <w:bCs/>
      <w:color w:val="58657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www.planalto.gov.br/ccivil_03/constituicao/constituicao.htm" TargetMode="External"/><Relationship Id="rId13" Type="http://schemas.openxmlformats.org/officeDocument/2006/relationships/hyperlink" Target="https://www.planalto.gov.br/ccivil_03/_ato2011-2014/2011/lei/l12529.htm" TargetMode="External"/><Relationship Id="rId14" Type="http://schemas.openxmlformats.org/officeDocument/2006/relationships/hyperlink" Target="https://www.oecd.org/en/topics/sub-issues/competitive-and-fair-markets/competition-assessment.html" TargetMode="External"/><Relationship Id="rId15" Type="http://schemas.openxmlformats.org/officeDocument/2006/relationships/hyperlink" Target="https://www.ilo.org/resource/news/ilo-reaches-agreement-issue-living-wages" TargetMode="External"/><Relationship Id="rId16" Type="http://schemas.openxmlformats.org/officeDocument/2006/relationships/hyperlink" Target="https://www.worldbank.org/en/topic/poverty/publication/fair-progress-economic-mobility-across-generations-around-the-world" TargetMode="External"/><Relationship Id="rId17" Type="http://schemas.openxmlformats.org/officeDocument/2006/relationships/hyperlink" Target="https://www.planalto.gov.br/ccivil_03/_ato2015-2018/2018/lei/l13709compilado.htm" TargetMode="External"/><Relationship Id="rId18" Type="http://schemas.openxmlformats.org/officeDocument/2006/relationships/hyperlink" Target="https://www.planalto.gov.br/ccivil_03/_ato2015-2018/2015/lei/l13146.htm" TargetMode="External"/><Relationship Id="rId19" Type="http://schemas.openxmlformats.org/officeDocument/2006/relationships/hyperlink" Target="https://www.bcb.gov.br/estabilidadefinanceira/pix-sobre" TargetMode="External"/><Relationship Id="rId20" Type="http://schemas.openxmlformats.org/officeDocument/2006/relationships/hyperlink" Target="https://www.planalto.gov.br/ccivil_03/leis/l8078compilado.htm" TargetMode="External"/><Relationship Id="rId21" Type="http://schemas.openxmlformats.org/officeDocument/2006/relationships/hyperlink" Target="https://www.bcb.gov.br/detalhenoticia/447/noticia" TargetMode="External"/><Relationship Id="rId22" Type="http://schemas.openxmlformats.org/officeDocument/2006/relationships/hyperlink" Target="https://tesourodireto.com.br/sobre-o-tesouro/regras-e-regulamento" TargetMode="External"/><Relationship Id="rId23" Type="http://schemas.openxmlformats.org/officeDocument/2006/relationships/hyperlink" Target="https://www.tse.jus.br/legislacao/codigo-eleitoral/lei-dos-partidos-politicos/lei-dos-partidos-politicos-lei-nb0-9.096-de-19-de-setembro-de-1995" TargetMode="External"/><Relationship Id="rId24" Type="http://schemas.openxmlformats.org/officeDocument/2006/relationships/hyperlink" Target="https://www.tse.jus.br/legislacao/codigo-eleitoral/lei-das-eleicoes/lei-das-eleicoes-lei-nb0-9.504-de-30-de-setembro-de-1997" TargetMode="External"/><Relationship Id="rId25" Type="http://schemas.openxmlformats.org/officeDocument/2006/relationships/hyperlink" Target="https://www.tse.jus.br/comunicacao/noticias/2025/Janeiro/glossario-explica-o-que-sao-as-eleicoes-gerais" TargetMode="External"/><Relationship Id="rId26" Type="http://schemas.openxmlformats.org/officeDocument/2006/relationships/hyperlink" Target="https://www.planalto.gov.br/ccivil_03/leis/lcp/lcp101.htm" TargetMode="External"/><Relationship Id="rId27" Type="http://schemas.openxmlformats.org/officeDocument/2006/relationships/hyperlink" Target="https://www.ilo.org/resource/news/ilo-signs-first-public-private-partnership-agreements-advance-inclusive" TargetMode="External"/><Relationship Id="rId28" Type="http://schemas.openxmlformats.org/officeDocument/2006/relationships/hyperlink" Target="https://github.com/aldenirfilho/aldenirmed89/blob/main/docs_usuario/PORTFOLIO_GITHUB/README.md" TargetMode="External"/><Relationship Id="rId29" Type="http://schemas.openxmlformats.org/officeDocument/2006/relationships/image" Target="media/image2.jpg"/><Relationship Id="rId30" Type="http://schemas.openxmlformats.org/officeDocument/2006/relationships/image" Target="media/image3.jpg"/><Relationship Id="rId31" Type="http://schemas.openxmlformats.org/officeDocument/2006/relationships/image" Target="media/image4.jpg"/><Relationship Id="rId32" Type="http://schemas.openxmlformats.org/officeDocument/2006/relationships/image" Target="media/image5.jpg"/><Relationship Id="rId33" Type="http://schemas.openxmlformats.org/officeDocument/2006/relationships/image" Target="media/image6.jpg"/><Relationship Id="rId3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Sociedade Meritocrática Delimitada — SMD-4</dc:title>
  <dc:subject>PROJETO 360X: desenho institucional, direitos, economia, avaliação e cenários</dc:subject>
  <dc:creator>Aldenir Rocha de Oliveira Filho</dc:creator>
  <cp:keywords>SMD-4; PROJETO 360X; mobilidade; políticas públicas; proposta conceitual</cp:keywords>
  <dc:description>Edição de desenvolvimento 1.0; assistência de IA; revisão especializada independente pendente.</dc:description>
  <cp:lastModifiedBy/>
  <cp:revision>1</cp:revision>
  <dcterms:created xsi:type="dcterms:W3CDTF">2013-12-23T23:15:00Z</dcterms:created>
  <dcterms:modified xsi:type="dcterms:W3CDTF">2013-12-23T23:15:00Z</dcterms:modified>
  <cp:category/>
</cp:coreProperties>
</file>