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40"/>
        </w:rPr>
        <w:t>Patient Blood Management e alternativas à transfusão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Autor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Módulo 1 do conjunto didático sobre conservação sanguínea e medicina sem sangue.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Revisão de 18/10/2026 | Uso educacional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Material elaborado e revisado com apoio de ferramentas de inteligência artificial. A aplicação clínica exige avaliação médica individual, conferência das apresentações e doses e protocolos locais. Esta identificação não representa aprovação institucional ou revisão por pares.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Este módulo e o módulo complementar de PBM constituem um único conjunto didático para organização curricular.</w:t>
      </w:r>
    </w:p>
    <w:p>
      <w:pPr>
        <w:keepNext/>
        <w:pageBreakBefore w:val="0"/>
        <w:widowControl/>
        <w:spacing w:line="259" w:lineRule="auto"/>
        <w:jc w:val="center"/>
      </w:pPr>
      <w:r>
        <w:rPr>
          <w:rFonts w:ascii="Arial" w:hAnsi="Arial"/>
          <w:b/>
          <w:color w:val="000000"/>
          <w:sz w:val="21"/>
        </w:rPr>
        <w:t>Alternativas e Abordagem Não Transfusional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>PBM e estratégias de conservação sanguínea — módulo didático</w:t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 xml:space="preserve">Anemia </w:t>
        <w:br/>
        <w:t xml:space="preserve">• Trombocitopenia </w:t>
        <w:br/>
        <w:t xml:space="preserve">• Coagulopatia </w:t>
        <w:br/>
        <w:t xml:space="preserve">• Conservação sanguínea </w:t>
        <w:br/>
        <w:t>• Recusa informada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USO PRETENDIDO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Documento de apoio para pronto uso em enfermaria, UTI, centro cirúrgico, emergência e contexto de recusa transfusional. Não substitui julgamento clínico, protocolos institucionais, hematologia, anestesia/cirurgia ou avaliação ético-legal.</w:t>
        <w:br/>
      </w:r>
    </w:p>
    <w:p>
      <w:pPr>
        <w:pageBreakBefore w:val="0"/>
        <w:widowControl/>
        <w:spacing w:line="259" w:lineRule="auto"/>
        <w:jc w:val="center"/>
      </w:pPr>
      <w:r>
        <w:rPr>
          <w:rFonts w:ascii="Arial" w:hAnsi="Arial"/>
          <w:color w:val="000000"/>
        </w:rPr>
        <w:t xml:space="preserve">Elaborado em 07/06/2026 </w:t>
        <w:br/>
        <w:t>• Aldenir Rocha de Oliveira Filho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ALERTA DE SEGURANÇA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1) Este protocolo é uma ferramenta de suporte, não uma ordem médica automática.</w:t>
        <w:br/>
      </w:r>
      <w:r>
        <w:rPr>
          <w:rFonts w:ascii="Arial" w:hAnsi="Arial"/>
          <w:color w:val="000000"/>
          <w:sz w:val="18"/>
        </w:rPr>
        <w:t>2) Em hemorragia grave, choque, trauma, obstetrícia e neurocrítico, priorize controle do foco hemorrágico e equipe multidisciplinar precoce.</w:t>
        <w:br/>
      </w:r>
      <w:r>
        <w:rPr>
          <w:rFonts w:ascii="Arial" w:hAnsi="Arial"/>
          <w:color w:val="000000"/>
          <w:sz w:val="18"/>
        </w:rPr>
        <w:t>3) Em pacientes que recusam sangue, documente capacidade decisória, consentimento/recusa, frações aceitas, limites terapêuticos e plano de contingência.</w:t>
        <w:br/>
      </w:r>
      <w:r>
        <w:rPr>
          <w:rFonts w:ascii="Arial" w:hAnsi="Arial"/>
          <w:color w:val="000000"/>
          <w:sz w:val="18"/>
        </w:rPr>
        <w:t>4) Medicações, doses e alvos devem seguir bula, protocolo local e disponibilidade regional.</w:t>
        <w:br/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1. Sumário executivo TDAH-friendly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PBM é uma estratégia centrada no paciente para tratar anemia/coagulopatia, reduzir perdas e utilizar transfusão quando indicada e consentida. Inclui medidas sem hemocomponentes e produtos derivados do plasma; não exige ausência absoluta de transfusão.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A alternativa não transfusional não é “não fazer nada”: é tratar causa, controlar sangramento, otimizar hemostasia, poupar sangue e melhorar oferta/consumo de oxigênio.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Para hemácias: investigar e tratar anemia; ferro IV, B12/folato, ESA em cenários selecionados, conservação sanguínea e suporte de oxigenação/perfusão.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Para plaquetas: tratar causa da trombocitopenia/disfunção, suspender agressores, DDAVP em uremia/antiagregante selecionado, TXA/hemostáticos locais, IVIG/corticoide/TPO agonista quando cabível.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Para plasma: não tratar INR isolado; usar vitamina K/reversores específicos/PCC quando indicados; corrigir ambiente hemostático e guiar por exames.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Na hipofibrinogenemia: confirmar necessidade de reposição; concentrado de fibrinogênio pode ser opção se disponível e aceito. É derivado plasmático, não uma opção isenta de origem sanguínea. Tratar contexto e reavaliar.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Para PCC: nem toda reversão exige PCC; considerar reversores específicos, vitamina K, suspensão do anticoagulante, hemostasia local/cirúrgica e risco trombótico.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Em cirurgia/trauma/obstetrícia: estratégia antecipatória salva tempo — preparar, reduzir perdas, recuperar sangue quando aceito, corrigir cálcio/pH/temperatura e escalonar controle de danos cedo.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2. Mapa rápido: hemocomponente x alternativa não transfusional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  <w:cantSplit/>
          <w:tblHeader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Hemocomponente que se deseja evitar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Problema clínico predominante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Alternativas principais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Ponto de segurança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Concentrado de hemácias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Anemia / hipóxia tecidual / sangramento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Controle da causa e das perdas, conservação sanguínea e suporte fisiológico. Ferro/B12/folato apenas se indicados; ESA em situações selecionadas. Não substituem imediatamente a capacidade de transporte de oxigênio das hemácias.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decidir por Hb isolada; avaliar sintomas, perfusão, lactato, doença cardiovascular e sangramento ativo.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concentrado de plaquetas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Trombocitopenia ou disfunção plaquetária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Tratar causa, suspender antiagregantes quando possível, DDAVP selecionado, diálise se uremia, TXA/hemostáticos tópicos, IVIG/corticoide/TPO agonistas conforme etiologia.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Contagem isolada não define tudo; contexto e sangramento mandam.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Plasma fresco congelado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Coagulopatia global / INR elevado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Vitamina K, PCC/reversores específicos quando indicados, correção dirigida por TP/INR/fibrinogênio/viscoelástico, tratar sepse/acidose/hipotermia.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tratar INR isolado em hepatopatia sem sangramento/procedimento relevante.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Crioprecipitado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Fibrinogênio baixo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Concentrado de fibrinogênio quando disponível, TXA se indicado, controle do foco, correção de cálcio/pH/temperatura.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Confirmar alvo e reavaliar; evitar reposição cega.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Complexo protrombínico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Reversão anticoagulante / fatores vitamina K dependentes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Varfarina: vitamina K e, em hemorragia maior, PCC 4F se aceito. Dabigatrana: idarucizumabe. Anti-Xa: reversão conforme fármaco, gravidade e protocolo vigente; andexanet exige revisão do alerta FDA de 2025. Controlar foco hemorrágico.</w:t>
            </w:r>
          </w:p>
        </w:tc>
        <w:tc>
          <w:tcPr>
            <w:tcW w:type="dxa" w:w="2466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Pesar risco trombótico vs hemorrágico; reintroduzir anticoagulação no momento correto.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3. Fluxo operacional: como escolher a alternativa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1. Reconhecer o defeito dominante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Hb baixa/anemia?</w:t>
              <w:br/>
              <w:t>• plaqueta baixa ou disfunção?</w:t>
              <w:br/>
              <w:t>• INR/coagulopatia?</w:t>
              <w:br/>
              <w:t>• fibrinogênio baixo?</w:t>
              <w:br/>
              <w:t>• sangramento ativo?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2. Controlar o foco hemorrágico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compressão/endoscopia/cirurgia/radiologia intervencionista</w:t>
              <w:br/>
              <w:t>• não esperar “corrigir laboratório” se há foco ativo e choque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3. Corrigir o ambiente hemostático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temperatura &gt; 35-36 °C</w:t>
              <w:br/>
              <w:t>• pH adequado</w:t>
              <w:br/>
              <w:t>• cálcio ionizado adequado</w:t>
              <w:br/>
              <w:t>• evitar hemodiluição desnecessária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4. Repor ou modular de forma dirigida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ferro/B12/folato/ESA para eritropoiese</w:t>
              <w:br/>
              <w:t>• vitamina K/reversores específicos para anticoagulantes</w:t>
              <w:br/>
              <w:t>• concentrado de fibrinogênio quando fibrinogênio baixo</w:t>
              <w:br/>
              <w:t>• DDAVP/TXA/hemostáticos locais conforme cenário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5. Monitorar resposta e documentar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sinais vitais, sangramento, perfusão, lactato, Hb/coagulograma conforme necessidade</w:t>
              <w:br/>
              <w:t>• consentimento/recusa e frações aceitas</w:t>
              <w:br/>
              <w:t>• reavaliação para evitar terapias em cascata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4. Card 1 — Princípios gerais de abordagem não transfusional</w:t>
      </w:r>
    </w:p>
    <w:p>
      <w:pPr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Medicina sem sangue / PBM: base universal antes de escolher terapias específicas.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Tratar a causa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identificar anemia, sangramento, coagulopatia ou trombocitopenia</w:t>
              <w:br/>
              <w:t>• controlar foco hemorrágico precocemente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Otimizar hemostasia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corrigir hipotermia, acidose e hipocalcemia</w:t>
              <w:br/>
              <w:t>• considerar ácido tranexâmico quando indicado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Poupar sangue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minimizar flebotomias</w:t>
              <w:br/>
              <w:t>• usar tubos pediátricos</w:t>
              <w:br/>
              <w:t>• revisar exames realmente necessários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Otimizar oxigenação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ofertar O2 conforme necessidade</w:t>
              <w:br/>
              <w:t>• tratar choque, dor, febre e agitação</w:t>
              <w:br/>
              <w:t>• reduzir consumo de oxigênio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Planejar e documentar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definir limites terapêuticos</w:t>
              <w:br/>
              <w:t>• registrar recusas e aceites do paciente</w:t>
              <w:br/>
              <w:t>• envolver equipe multidisciplinar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Achar que “sem transfusão” significa conduta passiva.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Pedir exames seriados sem impacto na decisão.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Atrasar controle do foco hemorrágico aguardando laboratório perfeito.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5. Card 2 — Anemia crônica e perioperatória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O objetivo é aumentar massa eritrocitária e reduzir necessidade transfusional antes/depois de cirurgia.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Investigar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ferritina, saturação de transferrina, reticulócitos, B12 e folato</w:t>
              <w:br/>
              <w:t>• procurar sangramento oculto e inflamação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Repor ferro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confirmar deficiência de ferro e escolher via pela situação clínica</w:t>
              <w:br/>
              <w:t>• via IV em indicações selecionadas; a resposta ocorre em dias/semanas</w:t>
              <w:br/>
              <w:t>• monitorar resposta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Corrigir deficiências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B12 e ácido fólico quando indicados</w:t>
              <w:br/>
              <w:t>• tratar doença inflamatória, renal ou endocrinológica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Estimular eritropoese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considerar ESA/eritropoetina em contextos selecionados</w:t>
              <w:br/>
              <w:t>• usar junto com ferro adequado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Poupar sangue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minimizar coleta</w:t>
              <w:br/>
              <w:t>• planejar cirurgia e tempo para otimização da Hb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Transfundir anemia crônica assintomática sem investigar causa.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Usar ESA sem ferro adequado.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planejar tempo de resposta antes de procedimento eletivo.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6. Card 3 — Anemia aguda e sangramento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Na anemia crítica, o alvo imediato é preservar oferta de oxigênio e estancar sangramento.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Controlar o foco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cirurgia, endoscopia, compressão ou radiologia intervencionista</w:t>
              <w:br/>
              <w:t>• hemostasia precoce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Hemostasia adjuvante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considerar ácido tranexâmico quando indicado</w:t>
              <w:br/>
              <w:t>• corrigir hipotermia, acidose e hipocalcemia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Otimizar entrega de O2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O2 suplementar conforme necessidade</w:t>
              <w:br/>
              <w:t>• tratar choque, ajustar volemia e perfusão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Reduzir consumo de O2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controlar dor, febre, agitação e trabalho respiratório</w:t>
              <w:br/>
              <w:t>• sedação/ventilação quando necessário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Medidas especiais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ferro quando indicado e ESA excepcionalmente, para recuperação posterior</w:t>
              <w:br/>
              <w:t>• cell salvage se indicado e aceito</w:t>
              <w:br/>
              <w:t>• não realizar hemodiluição normovolêmica em choque ou anemia grave; planejar apenas em cenário estável selecionado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Focar apenas na Hb e esquecer perfusão/lactato/sangramento.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Fazer hemodiluição excessiva em choque.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Subestimar consumo de O2 por dor, febre, agitação ou trabalho respiratório.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7. Card 4 — Trombocitopenia e disfunção plaquetária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Mais importante que a contagem isolada é causa, tipo de sangramento e função plaquetária.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Tratar a causa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sepse, CIVD, drogas, ITP, quimioterapia ou hiperesplenismo</w:t>
              <w:br/>
              <w:t>• confirmar pseudotrombocitopenia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Suspender agressores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rever antiagregantes, anticoagulantes e fármacos mielotóxicos</w:t>
              <w:br/>
              <w:t>• corrigir uremia quando possível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Melhorar função plaquetária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DDAVP em disfunção urêmica ou indicação hematológica selecionada</w:t>
              <w:br/>
              <w:t>• efeito para reversão de antiagregantes é incerto; não usar rotineiramente</w:t>
              <w:br/>
              <w:t>• diálise conforme indicação renal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Reduzir sangramento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ácido tranexâmico em sangramento mucoso/odontológico quando apropriado</w:t>
              <w:br/>
              <w:t>• hemostáticos tópicos e compressão local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Subir plaquetas sem transfusão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corticoide, IVIG ou agonistas TPO em cenários selecionados</w:t>
              <w:br/>
              <w:t>• planejar com hematologia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confirmar pseudotrombocitopenia por EDTA.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Esquecer uremia como causa de disfunção plaquetária.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Usar TXA indiscriminadamente em hematúria alta ou risco obstrutivo sem ponderar risco.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8. Card 5 — Plaquetas: procedimentos e sangramento plaquetário sem transfusão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Técnica, imagem, compressão e hemostasia local podem evitar plaquetas em muitos procedimentos.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Planejar o procedimento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adiar se possível até otimizar hemostasia</w:t>
              <w:br/>
              <w:t>• escolher técnica menos invasiva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Guiar com imagem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ultrassom reduz punções e complicações</w:t>
              <w:br/>
              <w:t>• preferir operador experiente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Hemostasia local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compressão prolongada</w:t>
              <w:br/>
              <w:t>• cola de fibrina, gelatina, celulose oxidada ou outros tópicos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Estratégias farmacológicas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tranexâmico para mucosas</w:t>
              <w:br/>
              <w:t>• considerar agonistas TPO antes de procedimentos eletivos em contextos selecionados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Pós-procedimento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reavaliar sangramento</w:t>
              <w:br/>
              <w:t>• manter vigilância clínica e orientação de retorno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Punção às cegas quando há opção por ultrassom.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Subestimar compressão local prolongada.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deixar plano de retorno/observação pós-procedimento.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9. Card 6 — Coagulopatia e INR elevado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O melhor substituto do plasma é tratar a coagulopatia correta, no paciente certo, com a ferramenta certa.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Não tratar INR isolado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avaliar sangramento real e procedimento</w:t>
              <w:br/>
              <w:t>• contextualizar hepatopatia e anticoagulação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Vitamina K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útil na deficiência de vitamina K e reversão da varfarina</w:t>
              <w:br/>
              <w:t>• via IV/oral conforme urgência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Concentrados e reversores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PCC ou agentes específicos quando indicados e disponíveis</w:t>
              <w:br/>
              <w:t>• menor volume que plasma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Guiar por alvo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TP/INR, fibrinogênio e viscoelástico quando disponível</w:t>
              <w:br/>
              <w:t>• tratar defeito específico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Corrigir o ambiente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controlar sangramento, tratar sepse/hipotermia/acidose</w:t>
              <w:br/>
              <w:t>• evitar expansão volêmica desnecessária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Corrigir INR de hepatopatia sem sangramento/procedimento apenas por número.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Usar plasma como expansor volêmico.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Esquecer fibrinogênio baixo como defeito predominante.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10. Card 7 — Hipofibrinogenemia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Quando o defeito é fibrinogênio, reposição dirigida costuma ser melhor que terapias inespecíficas.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Confirmar o alvo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dosar fibrinogênio ou usar teste viscoelástico</w:t>
              <w:br/>
              <w:t>• correlacionar com sangramento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Concentrado de fibrinogênio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opção de reposição dirigida, derivada do plasma</w:t>
              <w:br/>
              <w:t>• requer indicação e aceitação individual</w:t>
              <w:br/>
              <w:t>• não é produto isento de origem sanguínea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Adjuvantes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ácido tranexâmico quando indicado</w:t>
              <w:br/>
              <w:t>• controlar foco hemorrágico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Tratar o contexto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trauma, obstetrícia, CIVD ou cirurgia</w:t>
              <w:br/>
              <w:t>• corrigir hipotermia, acidose e hipocalcemia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Reavaliar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repetir fibrinogênio conforme resposta</w:t>
              <w:br/>
              <w:t>• evitar reposição cega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Reposição “cega” sem alvo ou sangramento relevante.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Ignorar obstetrícia/trauma como cenários de queda rápida do fibrinogênio.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corrigir acidose/hipocalcemia/hipotermia.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11. Card 8 — Reversão de anticoagulantes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Nem toda reversão exige PCC; quando possível, use reversor específico e controle do sangramento.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Varfarina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em hemorragia maior por varfarina: vitamina K IV + PCC 4F, se aceito</w:t>
              <w:br/>
              <w:t>• vitamina K isolada não reverte imediatamente</w:t>
              <w:br/>
              <w:t>• controle do foco em paralelo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Dabigatrana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idarucizumabe quando disponível</w:t>
              <w:br/>
              <w:t>• hemodiálise em casos selecionados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Inibidores do fator Xa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não adotar andexanet como escolha automática: revisar alerta FDA de 2025, registro e protocolo local</w:t>
              <w:br/>
              <w:t>• PCC 4F pode ser alternativa selecionada, se aceito</w:t>
              <w:br/>
              <w:t>• carvão ativado apenas em ingestão recente e via aérea protegida conforme avaliação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Medidas gerais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suspender anticoagulante</w:t>
              <w:br/>
              <w:t>• compressão, cirurgia, endoscopia ou radiologia intervencionista conforme foco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Individualizar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pesar risco trombótico vs hemorrágico</w:t>
              <w:br/>
              <w:t>• reintrodução do anticoagulante no momento adequado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Reverter sem sangramento relevante/procedimento urgente.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perguntar horário da última dose e função renal.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Esquecer reintrodução planejada quando risco trombótico é alto.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12. Card 9 — Pacote não transfusional em cirurgia, trauma e obstetrícia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A melhor medicina sem sangue é antecipatória: preparar, evitar perdas e controlar sangramento cedo.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Preparar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equipe alinhada, sangue poupado e consentimento documentado</w:t>
              <w:br/>
              <w:t>• corrigir anemia antes do procedimento quando houver tempo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Reduzir perdas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técnica cirúrgica meticulosa</w:t>
              <w:br/>
              <w:t>• bisturi de energia, torniquete, hemostáticos tópicos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Recuperar sangue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cell salvage se indicado e aceito</w:t>
              <w:br/>
              <w:t>• hemodiluição normovolêmica apenas em pacientes estáveis, com reserva eritrocitária adequada e planejamento anestésico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Suporte sistêmico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aquecer paciente</w:t>
              <w:br/>
              <w:t>• corrigir cálcio, pH e coagulopatia</w:t>
              <w:br/>
              <w:t>• usar tranexâmico quando indicado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Escalonar cedo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endoscopia, cirurgia de controle de danos ou radiologia intervencionista</w:t>
              <w:br/>
              <w:t>• monitorar choque e perfusão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Entrar em cirurgia sem briefing e limites documentados.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Atrasar radiologia intervencionista/endoscopia/cirurgia de controle de danos.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confirmar previamente se cell saver/ANH/frações são aceitos pelo paciente.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13. Card 10 — Fluxo prático integrado: escolha da alternativa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0"/>
        </w:rPr>
        <w:t>FOCO DO CAPÍTULO</w:t>
      </w:r>
      <w:r>
        <w:rPr>
          <w:rFonts w:ascii="Arial" w:hAnsi="Arial"/>
          <w:color w:val="000000"/>
        </w:rPr>
        <w:br/>
      </w:r>
      <w:r>
        <w:rPr>
          <w:rFonts w:ascii="Arial" w:hAnsi="Arial"/>
          <w:color w:val="000000"/>
          <w:sz w:val="18"/>
        </w:rPr>
        <w:t>A alternativa depende do defeito predominante, urgência, disponibilidade e preferência/consentimento do paciente.</w:t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Hb baixa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investigar/tratar a causa; ferro/B12/folato apenas se indicados, ESA selecionada</w:t>
              <w:br/>
              <w:t>• avaliar necessidade de transfusão conforme clínica e consentimento</w:t>
              <w:br/>
              <w:t>• otimizar oferta e consumo de O2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Plaqueta baixa/disfunção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tratar etiologia</w:t>
              <w:br/>
              <w:t>• DDAVP, TXA, hemostáticos locais, TPO agonistas em casos selecionados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INR/coagulopatia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vitamina K, reversores específicos, correção guiada por exames</w:t>
              <w:br/>
              <w:t>• não tratar só o número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Fibrinogênio baixo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concentrado de fibrinogênio quando disponível</w:t>
              <w:br/>
              <w:t>• reavaliar resposta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Sangramento ativo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  <w:t>• foco hemorrágico: cirurgia/endoscopia/IR</w:t>
              <w:br/>
              <w:t>• corrigir hipotermia, acidose e hipocalcemia</w:t>
            </w:r>
          </w:p>
        </w:tc>
      </w:tr>
    </w:tbl>
    <w:p>
      <w:pPr>
        <w:pStyle w:val="Heading3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4"/>
        </w:rPr>
        <w:t>Armadilhas práticas a evitar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Escolher terapia pelo hemocomponente recusado em vez do defeito fisiológico.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considerar disponibilidade local real.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Não documentar discussão de riscos/benefícios e aceites/recusas.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14. Tabela operacional de fármacos e recursos não transfusionais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COMO USAR ESTA TABELA Exemplos educacionais, não intercambiáveis entre produtos nem substitutos automáticos dos hemocomponentes. Confirmar indicação, aceitação, bula, estoque, peso, função renal/hepática e risco trombótico. PCC, fibrinogênio e alguns hemostáticos são derivados plasmáticos.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  <w:tblHeader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Recurso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Quando considerar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Exemplo prático de uso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Cuidados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Alternativa a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Ferro IV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Anemia ferropriva, perioperatório, intolerância oral, má absorção, necessidade de resposta mais rápida.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Escolher formulação disponível: sacarato férrico, carboximaltose férrica, derisomaltose etc.; dose conforme déficit e bula.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Vigiar reação infusional, ferritina/TSAT, infecção ativa conforme julgamento.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CH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Vitamina B12 / folato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Deficiência documentada ou suspeita forte.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B12 IM/VO conforme gravidade; ácido fólico VO se deficiência ou alto turnover.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Evitar folato isolado se suspeita de deficiência de B12 sem reposição concomitante.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CH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ESA/eritropoetina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Anemia perioperatória selecionada, DRC, recusa transfusional, tempo para resposta.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Usar com ferro adequado; esquemas variam por protocolo.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Risco trombótico, HAS, malignidade, alvo de Hb não excessivo.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CH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Ácido tranexâmico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Sangramento mucoso, trauma precoce, cirurgia com risco de sangramento, obstetrícia conforme protocolo.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Trauma com sangramento significativo: 1 g IV em 10 min, seguido de 1 g em 8 h, iniciar até 3 h após trauma. Perioperatório e pós-parto seguem esquemas próprios; não usar rotineiramente em hemorragia digestiva.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Ajustar à função renal; ponderar contraindicações, hematúria alta/obstrução e convulsões. Nunca administrar por via intratecal ou epidural.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CH/Plaquetas/PFC/Crio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Desmopressina (DDAVP)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Disfunção plaquetária urêmica, antiagregantes em cenário selecionado, doença de von Willebrand leve selecionada.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Exemplo em indicação selecionada: 0,3 mcg/kg IV em 20–30 minutos, dose única; conferir contraindicações e controlar sódio e balanço hídrico.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Hiponatremia, retenção hídrica, taquifilaxia, risco trombótico.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Plaquetas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Hemostáticos tópicos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Sangramento local/procedimento/cirurgia.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Compressão, cola de fibrina se aceita, gelatina, celulose oxidada, trombina tópica conforme disponibilidade.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Alguns produtos têm derivados humanos/animais; confirmar aceitação em recusa religiosa.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Plaquetas/PFC/Crio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Vitamina K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Varfarina, deficiência de vitamina K, INR elevado com sangramento/procedimento conforme contexto.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Na hemorragia maior por varfarina, vitamina K 5–10 mg IV lenta associada a PCC 4F, se aceito; dose e velocidade conforme bula. VO em situações menos urgentes.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Não corrige imediatamente sozinha; risco de anafilactoide se IV rápida; reverter em excesso pode dificultar anticoagulação.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PFC/PCC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Idarucizumabe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Dabigatrana com sangramento grave ou cirurgia/procedimento urgente.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5 g IV total, conforme bula/protocolo.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Checar última dose e função renal; monitorar rebote quando aplicável.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PCC/PFC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Andexanet alfa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Histórico: reversor de apixabana/rivaroxabana. O alerta FDA de 2025 modifica a avaliação de benefício/risco; verificar situação local antes de considerar.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Retirado deste guia como prescrição de rotina. Em eventual uso, exigir revisão do alerta FDA de 18/12/2025, situação regulatória local e discussão especializada.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  <w:t>FDA concluiu que riscos superam benefícios e vendas nos EUA terminaram em 22/12/2025. Isso não comprova cancelamento de registro no Brasil; confirmar Anvisa e protocolo local.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PCC/PFC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Concentrado de fibrinogênio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Hipofibrinogenemia com sangramento/procedimento quando disponível.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Dose conforme fibrinogênio atual, alvo e bula; reavaliar fibrinogênio/viscoelástico.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Risco trombótico, disponibilidade/custo, evitar uso cego.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Crioprecipitado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Cell saver / recuperação intraoperatória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Cirurgias com grande perda prevista, se aceito pelo paciente.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Usar com circuito/processo aceito; combinar com TXA quando indicado.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Contraindicações relativas dependem do cenário; documentar aceitação.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CH</w:t>
            </w:r>
          </w:p>
        </w:tc>
      </w:tr>
      <w:tr>
        <w:trPr>
          <w:cantSplit/>
        </w:trPr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/>
                <w:color w:val="000000"/>
                <w:sz w:val="19"/>
              </w:rPr>
              <w:t>Minimização de flebotomia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Todos os pacientes críticos/anêmicos/recusa transfusional.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Tubo pediátrico, bundle de exames, evitar repetição sem pergunta clínica.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Revisar prescrição de exames diariamente.</w:t>
            </w:r>
          </w:p>
        </w:tc>
        <w:tc>
          <w:tcPr>
            <w:tcW w:type="dxa" w:w="197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19"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Todos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15. Checklist ético-legal para recusa transfusional / medicina sem sangue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Confirmar capacidade decisória do paciente no momento da decisão.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Registrar vontade atual, preferencialmente com termo específico de recusa/aceite de hemocomponentes e frações.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Diferenciar: hemácias, plaquetas, plasma, crioprecipitado, albumina, imunoglobulina, fatores, fibrinogênio, PCC, hemostáticos tópicos, cell saver, hemodiluição normovolêmica.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Documentar discussão de riscos: morte, hipóxia, lesão orgânica, reoperação, necessidade de UTI, limites terapêuticos.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Acionar precocemente: cirurgia, anestesia, UTI, hematologia/hemoterapia, direção técnica, jurídico/bioética quando houver conflito.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  <w:sz w:val="20"/>
        </w:rPr>
        <w:t>Evitar atraso indevido de cirurgia/procedimento essencial se há plano hemostático alternativo e decisão documentada.</w:t>
      </w:r>
    </w:p>
    <w:p>
      <w:pPr>
        <w:pStyle w:val="ListBullet"/>
        <w:pageBreakBefore w:val="0"/>
        <w:widowControl/>
        <w:spacing w:after="40" w:line="259" w:lineRule="auto"/>
      </w:pPr>
      <w:r>
        <w:rPr>
          <w:rFonts w:ascii="Arial" w:hAnsi="Arial"/>
          <w:color w:val="000000"/>
        </w:rPr>
        <w:t>Em incapacidade atual, verificar diretiva antecipada válida e preferências previamente registradas, sem presumir recusa pela religião. Em menores, ausência de manifestação válida ou conflito, acionar direção/jurídico e adotar medidas emergenciais fundamentadas, sem atrasar controle de dano.</w:t>
      </w:r>
    </w:p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16. Bundle de monitorização de hipóxia/anemia/coagulopatia sem transfusão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89"/>
        <w:gridCol w:w="2663"/>
        <w:gridCol w:w="6412"/>
      </w:tblGrid>
      <w:tr>
        <w:trPr>
          <w:tblHeader/>
          <w:cantSplit/>
          <w:tblHeader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#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Eixo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E8EEF2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Condutas práticas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Perfusão e oxigenação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• SpO2, FR, FC, PA, ECG, diurese, estado mental, extremidades, lactato, gasometria conforme gravidade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Isquemia de órgão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• angina, alteração de ST, troponina conforme contexto, confusão/rebaixamento, oligúria, piora renal/hepática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Sangramento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• dreno, curativo, melena/hematêmese, hematúria, sangramento mucoso, queda de Hb, necessidade de reabordagem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Hemostasia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7F9FA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• TP/INR, TTPa, fibrinogênio, plaquetas, cálcio ionizado, pH, temperatura, viscoelástico quando disponível</w:t>
            </w:r>
          </w:p>
        </w:tc>
      </w:tr>
      <w:tr>
        <w:trPr>
          <w:cantSplit/>
        </w:trPr>
        <w:tc>
          <w:tcPr>
            <w:tcW w:type="dxa" w:w="789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2663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/>
                <w:color w:val="000000"/>
                <w:sz w:val="20"/>
              </w:rPr>
              <w:t>Conservação sanguínea</w:t>
            </w:r>
          </w:p>
        </w:tc>
        <w:tc>
          <w:tcPr>
            <w:tcW w:type="dxa" w:w="6412"/>
            <w:vAlign w:val="center"/>
            <w:tcMar>
              <w:top w:w="65" w:type="dxa"/>
              <w:left w:w="65" w:type="dxa"/>
              <w:bottom w:w="65" w:type="dxa"/>
              <w:right w:w="65" w:type="dxa"/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keepNext w:val="0"/>
              <w:pageBreakBefore w:val="0"/>
              <w:widowControl/>
              <w:spacing w:line="245" w:lineRule="auto" w:after="60" w:before="40"/>
              <w:jc w:val="left"/>
            </w:pPr>
            <w:r>
              <w:rPr>
                <w:rFonts w:ascii="Arial" w:hAnsi="Arial"/>
                <w:color w:val="000000"/>
                <w:sz w:val="20"/>
              </w:rPr>
            </w:r>
            <w:r>
              <w:rPr>
                <w:rFonts w:ascii="Arial" w:hAnsi="Arial"/>
                <w:b w:val="0"/>
                <w:color w:val="000000"/>
                <w:sz w:val="20"/>
              </w:rPr>
              <w:t>• microcoletas, evitar exames duplicados, revisar necessidade diária, agrupar coletas</w:t>
            </w:r>
          </w:p>
        </w:tc>
      </w:tr>
    </w:tbl>
    <w:p>
      <w:pPr>
        <w:pStyle w:val="Heading1"/>
        <w:keepNext/>
        <w:pageBreakBefore w:val="0"/>
        <w:widowControl/>
        <w:spacing w:line="259" w:lineRule="auto"/>
      </w:pPr>
      <w:r>
        <w:rPr>
          <w:rFonts w:ascii="Arial" w:hAnsi="Arial"/>
          <w:b/>
          <w:color w:val="000000"/>
          <w:sz w:val="28"/>
        </w:rPr>
        <w:t>17. Referências selecionadas e fontes de apoio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World Health Organization. Guidance on implementing patient blood management to improve global blood health status. 2025. </w:t>
      </w:r>
      <w:hyperlink r:id="rId2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NICE. Blood transfusion. NG24. Seção de redução da necessidade transfusional. Atualização 26/02/2026.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CPOC. Guideline for the Management of Anaemia in the Perioperative Pathway. Atualização 2025.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Rossaint R et al. The European guideline on management of major bleeding and coagulopathy following trauma: sixth edition. Crit Care.2023;27:80. doi:10.1186/s13054-023-04327-7. </w:t>
      </w:r>
      <w:hyperlink r:id="rId24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FDA. Update on the Safety of Andexxa. Safety Communication 18/12/2025.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HALT-IT Trial Collaborators. Effects of a high-dose 24-h infusion of tranexamic acid on death and thromboembolic events in patients with acute gastrointestinal bleeding. Lancet.2020;395:1927–1936. doi:10.1016/S0140-6736(20)30848-5.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World Health Organization. Recommendation on tranexamic acid for the treatment of postpartum haemorrhage.2017. </w:t>
      </w:r>
      <w:hyperlink r:id="rId27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World Health Organization; FIGO; ICM. Consolidated guidelines for the prevention, diagnosis and treatment of postpartum haemorrhage.2025. </w:t>
      </w:r>
      <w:hyperlink r:id="rId28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Supremo Tribunal Federal. Tema 952 — RE 979742: recusa de transfusão por pessoas maiores e capazes e acesso a alternativas disponíveis no SUS. Julgamento 25/09/2024.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Supremo Tribunal Federal. Tema 1069 — RE 1212272: autodeterminação e tratamento sem transfusão; viabilidade técnico-científica, anuência da equipe e decisão livre/informada.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JW.ORG. Medical Information for Clinicians: atualização sobre decisão individual relativa a componentes primários,18/09/2026. Fonte primária da posição religiosa; não constitui diretriz clínica. </w:t>
      </w:r>
      <w:hyperlink r:id="rId31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Corwin HL et al. Efficacy and Safety of Epoetin Alfa in Critically Ill Patients. N Engl J Med.2007;357:965–976. doi:10.1056/NEJMoa071533. </w:t>
      </w:r>
      <w:hyperlink r:id="rId32">
        <w:r>
          <w:rPr>
            <w:color w:val="1A4D75"/>
          </w:rPr>
          <w:t>Acesso à fonte</w:t>
        </w:r>
      </w:hyperlink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>NICE. Vitamin B12 deficiency in over 16s: diagnosis and management. NG239. 2024. Acesso à fonte</w:t>
      </w:r>
    </w:p>
    <w:p>
      <w:pPr>
        <w:pageBreakBefore w:val="0"/>
        <w:widowControl/>
        <w:spacing w:line="259" w:lineRule="auto"/>
      </w:pPr>
      <w:r>
        <w:rPr>
          <w:rFonts w:ascii="Arial" w:hAnsi="Arial"/>
          <w:color w:val="000000"/>
        </w:rPr>
        <w:t xml:space="preserve">Anvisa. Bulário Eletrônico. Consultar bula profissional vigente de cada produto disponível no serviço. </w:t>
      </w:r>
      <w:hyperlink r:id="rId34">
        <w:r>
          <w:rPr>
            <w:color w:val="1A4D75"/>
          </w:rPr>
          <w:t>Acesso à fonte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Aldenir Rocha de Oliveira Filho | Revisão 18/10/2026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Patient Blood Management e alternativas à transfusão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https://www.who.int/publications/b/76782" TargetMode="External"/><Relationship Id="rId24" Type="http://schemas.openxmlformats.org/officeDocument/2006/relationships/hyperlink" Target="https://link.springer.com/article/10.1186/s13054-023-04327-7" TargetMode="External"/><Relationship Id="rId27" Type="http://schemas.openxmlformats.org/officeDocument/2006/relationships/hyperlink" Target="https://www.ncbi.nlm.nih.gov/books/NBK493076/" TargetMode="External"/><Relationship Id="rId28" Type="http://schemas.openxmlformats.org/officeDocument/2006/relationships/hyperlink" Target="https://www.who.int/publications/i/item/9789240115637" TargetMode="External"/><Relationship Id="rId31" Type="http://schemas.openxmlformats.org/officeDocument/2006/relationships/hyperlink" Target="https://www.jw.org/en/medical-library/" TargetMode="External"/><Relationship Id="rId32" Type="http://schemas.openxmlformats.org/officeDocument/2006/relationships/hyperlink" Target="https://www.nejm.org/doi/full/10.1056/NEJMoa071533" TargetMode="External"/><Relationship Id="rId34" Type="http://schemas.openxmlformats.org/officeDocument/2006/relationships/hyperlink" Target="https://www.gov.br/anvisa/pt-br/sistemas/bulario-eletron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Blood Management e alternativas à transfusão</dc:title>
  <dc:subject>Material didático ou instrucional para Clínica Médica</dc:subject>
  <dc:creator>Aldenir Rocha de Oliveira Filho</dc:creator>
  <cp:keywords/>
  <dc:description>Revisão documental assistida por IA. Autoria informada pelo titular.</dc:description>
  <cp:lastModifiedBy>Revisão assistida por IA</cp:lastModifiedBy>
  <cp:revision>2</cp:revision>
  <dcterms:created xsi:type="dcterms:W3CDTF">2026-10-18T15:00:00Z</dcterms:created>
  <dcterms:modified xsi:type="dcterms:W3CDTF">2026-10-18T15:00:00Z</dcterms:modified>
  <cp:category/>
</cp:coreProperties>
</file>