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1"/>
        </w:rPr>
        <w:t>ABORDAGEM DO CRAB NA UTI</w:t>
      </w:r>
    </w:p>
    <w:p>
      <w:pPr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1"/>
        </w:rPr>
        <w:t>Carbapenem-Resistant Acinetobacter baumannii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  <w:sz w:val="22"/>
        </w:rPr>
        <w:t>Diagnóstico | infecção x colonização | antibióticos | doses | preparo | bundle de controle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  <w:sz w:val="20"/>
        </w:rPr>
        <w:t>Foco: UTI, PAV/HAP, paciente crítico, cenário brasileiro com recursos variáveis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didático sobre infecção por Acinetobacter baumannii resistente a carbapenêmicos.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ALERTA DE SEGURANÇA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Este material é apoio educacional e operacional. Em CRAB grave, decisões devem ser individualizadas por quadro clínico, função renal, microbiologia, disponibilidade local, CCIH/Infectologia e Farmácia Clínica. Não usar como protocolo institucional sem validação.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Sumário executivo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Resumo em 60 segundos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CRAB é Acinetobacter baumannii resistente a carbapenêmicos. Em UTI, é causa importante de PAV, bacteremia e infecção de feridas/dispositivos, mas também coloniza vias aéreas. Cultura positiva isolada não estabelece infecção. Em suspeita de pneumonia, integrar trajetória clínica e ventilatória, imagem e microbiologia; biomarcadores isolados não confirmam nem excluem o diagnóstico. Se CRAB confirmado e grave, evitar manter antibiótico sem atividade. A IDSA 2026 prioriza sulbactam-durlobactam associado a carbapenêmico. Quando indisponível, discutir combinação alternativa como ponte, com CCIH/Infectologia, considerando microbiologia e acesso local.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Passo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Mensagem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1. Confirmar que é infecção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Piora ventilatória/radiológica, secreção purulenta, febre/leuco/PCT, PaO2/FiO2, choque, bacteremia ou foco claro.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2. Ler antibiograma sem viés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Carbapenêmico R = meropenem/imipenem não são ativos para esse isolado; vancomicina não cobre Gram-negativo.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3. Chamar CCIH/Infecto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CRAB grave = decisão de alto risco: toxicidade renal/neuro, poucas opções e necessidade de controle de transmissão.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4. Esquema dirigido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Priorizar sulbactam-durlobactam + carbapenêmico; alternativas combinadas exigem decisão especializada e planejamento de acesso.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5. Não esquecer bundle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Isolamento/contato, higiene das mãos, limpeza ambiental, bundle de PAV, aspiração, desmame e controle de foco.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Sumário interno do documento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Definição e relevância do CRAB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Diagnóstico na UTI: infecção x colonização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Interpretação do aspirado traqueal e do antibiograma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Algoritmo terapêutico prático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Antibióticos: doses, preparo e pontos críticos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Bundle de PAV e controle de transmissão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Monitorização, falha terapêutica e duração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Prescrições-modelo e checklists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Referências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Definição e por que o CRAB importa na UTI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CRAB = Acinetobacter baumannii resistente a carbapenêmicos. Em geral, isso reflete bactéria multirresistente, com poucas opções terapêuticas e alta chance de surto/colonização no ambiente hospitalar.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Cenários típicos: pneumonia associada à ventilação mecânica (PAV), HAP, bacteremia, infecção relacionada a cateter, feridas cirúrgicas/traumáticas, pele/partes moles e colonização respiratória.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Acinetobacter sobrevive em superfícies e equipamentos, o que torna higiene de mãos, limpeza ambiental e precaução de contato tão importantes quanto o antibiótico.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Em paciente crítico, o erro clássico é tratar colonização como infecção ou, no extremo oposto, atrasar terapia ativa em PAV/sepse por CRAB verdadeiro.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Pérola de UTI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CRAB não é apenas um antibiograma difícil: é um problema simultâneo de diagnóstico, farmacocinética, toxicidade, prevenção de transmissão e stewardship antimicrobiano.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Diagnóstico: infecção verdadeira x colonização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usar à beira-leito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 favor de PAV/infecção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Piora de PaO2/FiO2, aumento de PEEP/FiO2, secreção purulenta, febre ou hipotermia, leucocitose/leucopenia, infiltrado novo/progressivo, choque, bacteremia concordante.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 favor de colonização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Cultura positiva isolada, ausência de piora clínica, radiografia estável, ausência de resposta inflamatória, secreção sem mudança, paciente colonizado previamente.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Exames que ajudam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Hemoculturas, nova amostra respiratória de qualidade, gasometria, PCR/PCT como tendência, radiografia/TC/POCUS, avaliação de secreções e mecânica ventilatória.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Diferenciais frequentes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Edema pulmonar, atelectasia, rolha de muco, aspiração química, TEP, SDRA não infecciosa, pneumotórax, derrame pleural/empiema, sobrecarga volêmica.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Mensagem-chave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Aspirado traqueal positivo em paciente intubado pode representar colonização. Para chamar de PAV, integre microbiologia + clínica + imagem + trajetória ventilatória. Em paciente com deterioração ventilatória/radiológica, secreção purulenta e cultura quantitativa elevada, a probabilidade de PAV sobe muito.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Como interpretar aspirado traqueal e antibiograma de CRAB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Carga bacteriana elevada no aspirado traqueal apoia infecção quando existe quadro clínico compatível, mas não substitui julgamento clínico.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Sempre verificar: tipo de amostra, data da coleta, antibióticos em uso no momento, presença de outras culturas positivas, qualidade da amostra, tempo de VM e padrão radiológico.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Em CRAB, MIC e método importam. Para colistina/polimixinas, a interpretação laboratorial pode exigir método específico e confirmação.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Resultado 'R*' deve ser lido como resistente conforme o critério do laboratório. O asterisco geralmente remete a nota metodológica, não significa sensível.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mental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Meropenem/imipenem 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são drogas ativas para o CRAB isolado. Evitar manter apenas por inércia, exceto se houver outro patógeno/foco que justifique ou se usados como parte de sulbactam-durlobactam.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Ampicilina/sulbactam R*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usar como monoterapia. Em CRAB grave, pode ser considerado componente adjuvante em dose alta quando sulbactam-durlobactam não existe e a CCIH concorda.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Polimixina: MIC, método e critério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Confirmar MIC e critério adotado: o CLSI não define categoria sensível para polimixinas contra A. baumannii. CMS exige manutenção por função renal. CBA, CMS e milhões de UI não são intercambiáveis.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Vancomicina em uso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cobre Acinetobacter. Manter apenas se houver suspeita/isolamento de MRSA ou outro Gram-positivo relevante.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Algoritmo terapêutico prático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Algoritmo em texto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1) Confirmar infecção provável/definida. 2) Coletar culturas antes de trocar antibiótico, se não atrasar terapia. 3) Notificar CCIH/Infecto/Farmácia. 4) Escolher esquema ativo conforme antibiograma e disponibilidade. 5) Remover antibióticos sem atividade. 6) Reavaliar resposta em 48-72 h e fazer time-out diário.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Cenário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Estratégia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CRAB grave e sulbactam-durlobactam disponível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Sulbactam-durlobactam + meropenem ou imipenem-cilastatina. Ajustar por ClCr e protocolo local.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Sulbactam-durlobactam indisponível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Ampicilina/sulbactam em dose alta + outro agente como ponte até acesso a sulbactam-durlobactam; resistência ou MBL exige avaliação específica.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Poucas opções ativas / acesso limitado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Discutir combinação ativa com CCIH. Para infecção sistêmica, polimixina B tem farmacocinética mais previsível que CMS; ambas apresentam limitações de eficácia e alta toxicidade.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Falha terapêutica ou bacteremia persistente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Reavaliar foco, drenagem, empiema, rolha/atelectasia, dose/PK, função renal, coinfecção, nova cultura, opções de resgate e transferência/discussão especializada.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O que eu evitaria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Evitar manter meropenem/imipenem como componente rotineiro de tratamento quando o CRAB é resistente, salvo indicação específica. Evitar rifampicina/rifamicinas como tentativa de sinergia sem base clínica clara. Evitar colistina nebulizada de rotina; reservar discussão para resgate individualizado se protocolo local permitir.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Antibióticos: doses, preparo e pontos críticos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5.1 Esquemas principais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/>
          <w:tblHeader/>
        </w:trPr>
        <w:tc>
          <w:tcPr>
            <w:tcW w:type="dxa" w:w="2466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Fármaco</w:t>
            </w:r>
          </w:p>
        </w:tc>
        <w:tc>
          <w:tcPr>
            <w:tcW w:type="dxa" w:w="2466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Papel</w:t>
            </w:r>
          </w:p>
        </w:tc>
        <w:tc>
          <w:tcPr>
            <w:tcW w:type="dxa" w:w="2466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adulta prática</w:t>
            </w:r>
          </w:p>
        </w:tc>
        <w:tc>
          <w:tcPr>
            <w:tcW w:type="dxa" w:w="2466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Pontos críticos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Sulbactam-durlobactam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Se disponível e isolado suscetível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 g/1 g EV a cada 6 h, infusão de 3 h, se ClCr 45-129 mL/min; ajustar se ClCr &lt;45 ou &gt;=130.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Administrar com meropenem ou imipenem-cilastatina conforme IDSA/FDA. No Brasil, confirmar disponibilidade e autorização institucional.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Ampicilina/sulbactam dose alta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Alternativa/adjuvante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9 g EV de 8/8 h, em 4 h = 27 g/dia de ampi/sulbactam = 9 g/dia de sulbactam.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Se antibiograma vier R*, não é monoterapia. Usar apenas como componente de combinação/resgate com CCIH.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Polimixina B EV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Agente ativo sistêmico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Ataque 20.000-25.000 UI/kg EV uma vez; manutenção 12.500-15.000 UI/kg EV 12/12 h, em 1 h.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Consenso de 2019: usar peso corporal total, inclusive na obesidade; não reduzir automaticamente por disfunção renal. Obesidade extrema requer avaliação farmacocinética/TDM quando disponível. Monitorar nefro/neurotoxicidade.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Colistina/CMS EV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Alternativa excepcional em combinação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Ataque: 300 mg CBA (aproximadamente 9 milhões UI) EV. Calcular manutenção pela tabela de ClCr do consenso e modalidade de diálise; não usar dose única para toda função renal preservada.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Ajustar manutenção por ClCr/HD/CRRT. Confirmar unidade da prescrição com farmácia.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Tigeciclina/minociclina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Opções de combinação/resgate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Minociclina 200 mg EV/VO a cada 12 h, conforme MIC e sítio, é opção de combinação. Tigeciclina em alta dose (ataque 200 mg; depois 100 mg 12/12 h) requer avaliação especializada.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Evitar monoterapia em pneumonia grave/bacteremia. Confirmar susceptibilidade, sítio e protocolo local.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Cefiderocol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Resgate selecionado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 g EV 8/8 h, em 3 h, para ClCr de 60–119 mL/min; ajustar se ClCr &lt;60 ou ≥120 mL/min e em HD/CRRT, conforme bula/farmácia.</w:t>
            </w:r>
          </w:p>
        </w:tc>
        <w:tc>
          <w:tcPr>
            <w:tcW w:type="dxa" w:w="2466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Preferir em combinação e com CCIH; dados para CRAB são complexos.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5.2 Ampicilina/sulbactam 9 g de 8/8 h: quantas ampolas, diluição e tempo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Dose alvo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Se frasco-ampola de 3 g = ampicilina 2 g + sulbactam 1 g: usar 3 frascos por dose. Em 24 h: 9 frascos de 3 g. Isso entrega 9 g por dose de ampi/sulbactam e 3 g por dose de sulbactam.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fazer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1. Reconstituir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Cada frasco de 3 g com 6,4 mL de água para injetáveis ou SF 0,9%; volume final aproximado de 8 mL por frasco.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2. Juntar dose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Aspirar o conteúdo dos 3 frascos reconstituídos: volume total aproximado de 24 mL.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3. Diluir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Completar com SF 0,9% para volume FINAL de 250 mL: 9 g/250 mL = 36 mg/mL. Não usar 9 g em 100 mL. A farmácia deve validar concentração, estabilidade, dispositivo e apresentação local antes da infusão prolongada.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4. Infundir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Infundir em 4 h somente com estabilidade validada pela farmácia. O esquema de 9 g 8/8 h é dose alta fora da posologia usual de bula e requer avaliação do ajuste renal e autorização assistencial.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5. Compatibilidade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Preferir SF 0,9% quando validado para a apresentação. O tempo de estabilidade inclui preparo e infusão. Não misturar fisicamente com aminoglicosídeos; conferir compatibilidade das linhas com farmácia.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Cuidado com antibiograma R*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Se ampicilina/sulbactam veio R*, a dose alta não transforma automaticamente em monoterapia adequada. O racional de usar sulbactam alto é de combinação/resgate, buscando exposição farmacodinâmica, sempre com outro agente ativo e validação da CCIH.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5.3 Polimixina B x colistina: escolha prática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8"/>
        <w:gridCol w:w="3288"/>
        <w:gridCol w:w="3288"/>
      </w:tblGrid>
      <w:tr>
        <w:trPr>
          <w:cantSplit/>
          <w:tblHeader/>
          <w:tblHeader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Droga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Quando pensar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Atenção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Polimixina B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Melhor opção prática para infecção sistêmica não urinária quando disponível; PK mais previsível.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Dose por peso; sem ajuste renal usual; monitorar nefro/neurotoxicidade.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Colistina/CMS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Considerar excepcionalmente conforme MIC, critério do laboratório, sítio e disponibilidade; CMS apresenta maior exposição urinária que polimixina B.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É pró-fármaco; exige ajuste renal; alto risco de erro por unidade.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Colistina nebulizada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Não recomendada de rotina pela IDSA 2026.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discutida como resgate em casos excepcionais, considerando broncoespasmo e distribuição pulmonar irregular.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5.4 Exemplo para paciente de 70 kg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Prescrição aproximada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Polimixina B ataque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25.000 UI/kg x 70 kg = 1.750.000 UI EV uma vez, em 1-2 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Polimixina B manutenção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15.000 UI/kg x 70 kg = 1.050.000 UI EV 12/12 h, em 1 h. Arredondar conforme apresentação/farmácia.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Colistina/CMS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Ataque de 9 milhões UI (aproximadamente 300 mg CBA); manutenção definida por ClCr, modalidade de diálise e tabela do consenso. Conferir unidades com farmácia.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Ampicilina/sulbactam alta dose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9 g EV 8/8 h em 4 h = 3 frascos de 3 g por dose.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O que fazer com meropenem e vancomicina em uso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Meropenem: se o CRAB está R a carbapenêmicos e não há outro patógeno/foco que exija meropenem, a tendência é suspender. Manter carbapenêmico sem atividade aumenta pressão seletiva e não trata o isolado.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</w:rPr>
        <w:t>Exceção: com sulbactam-durlobactam, associar meropenem ou imipenem-cilastatina conforme CCIH; a combinação é a estratégia preferida da IDSA 2026.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  <w:sz w:val="19"/>
        </w:rPr>
        <w:t>Vancomicina: não cobre CRAB. Manter apenas se houver suspeita forte ou evidência de MRSA/Enterococcus/Gram-positivo invasivo, cateter infectado, pele/partes moles ou hemocultura compatível.</w:t>
      </w:r>
    </w:p>
    <w:p>
      <w:pPr>
        <w:pStyle w:val="ListBullet"/>
        <w:pageBreakBefore w:val="0"/>
        <w:widowControl/>
        <w:spacing w:after="20" w:line="259" w:lineRule="auto"/>
        <w:ind w:left="259"/>
      </w:pPr>
      <w:r>
        <w:rPr>
          <w:rFonts w:ascii="Arial" w:hAnsi="Arial"/>
          <w:color w:val="000000"/>
        </w:rPr>
        <w:t>No choque séptico, garantir cobertura empírica oportuna conforme risco, foco provável e epidemiologia. Reavaliar diariamente a atividade e a necessidade de cada agente; choque persistente não justifica manter automaticamente fármacos inativos.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Bundle de PAV, controle de foco e prevenção de transmissão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Domínio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Ações práticas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PAV bundle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Cabeceira 30–45° quando tolerada; higiene oral com escovação, sem clorexidina de rotina; cuidado do cuff e aspiração; reduzir sedação quando possível; avaliar desmame/extubação e mobilização.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Controle de foco pulmonar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Aspirar secreções, avaliar rolha/atelectasia, broncoscopia se obstrução importante, drenar derrame/empiema, revisar tubo/cuff, descartar pneumotórax.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Precaução de contato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Avental/luvas conforme CCIH, quarto privativo/coorte quando possível, equipamento dedicado, sinalização do leito, equipe informada.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Limpeza ambiental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Desinfecção de superfícies de alto toque, bombas, monitores, ventilador, leito, mesas e USG/POCUS. Atenção ao compartilhamento de equipamentos.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Stewardship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Time-out antibiótico diário: indicação, culturas, dose, função renal, eventos adversos, duração e oportunidade de descalonar.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Monitorização, falha terapêutica e duração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 que acompanhar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clínica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Febre, secreção, necessidade de vasopressor, estado geral, leucócitos, PCR/PCT como tendência.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respiratória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PaO2/FiO2, FiO2/PEEP, driving pressure, complacência, secreção, radiologia. Cuidado: RX pode demorar a melhorar.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Toxicidade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Creatinina, diurese, K/Mg, parestesias, fraqueza, bloqueio neuromuscular, confusão, broncoespasmo se inalatório.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Falha em 48-72 h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Rever diagnóstico, dose e infusão, foco não controlado, empiema, atelectasia, TEP, coinfecção, nova resistência, imunossupressão, coleta inadequada.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Duração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PAV/HAP com boa resposta: em geral 7 dias de terapia ativa. Individualizar por foco, controle da infecção e evolução. Se o esquema inicial era inativo, reavaliar contagem desde o início da terapia ativa.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Quando pedir ajuda imediatamente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Choque séptico, bacteremia por CRAB, PaO2/FiO2 caindo apesar de esquema ativo, IRA progressiva em polimixina/colistina, poucas opções no antibiograma, suspeita de surto, necessidade de dose em HD/CRRT ou dúvida sobre unidade de colistina.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9. Prescrições-modelo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Modelo A — alternativa/ponte com polimixina B, sob decisão da CCIH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Definir com CCIH uma combinação ativa, evitando polimixina isolada. Se polimixina B for escolhida: ataque de 20.000–25.000 UI/kg pelo peso corporal total e manutenção de 12.500–15.000 UI/kg 12/12 h, infusão em 1 h, conforme consenso e avaliação individual. O papel do sulbactam em dose alta está descrito acima. Monitorar toxicidade e reavaliar em 48–72 h.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Modelo B — discussão especializada de CMS quando opções preferidas forem inviáveis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CMS em combinação somente em decisão especializada: ataque de 9 milhões UI (aproximadamente 300 mg CBA); manutenção calculada pela ClCr/HD/CRRT e tabela do consenso, com conferência farmacêutica das unidades. Evitar manutenção única para toda função renal preservada.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2"/>
        </w:rPr>
        <w:t>Modelo C — Se sulbactam-durlobactam disponível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9"/>
        </w:rPr>
        <w:t>Sulbactam-durlobactam 1 g/1 g EV de 6/6 h em 3 h se ClCr 45-129 mL/min, associado a meropenem ou imipenem-cilastatina conforme orientação CCIH/protocolo. Ajustar se ClCr &lt;45 ou &gt;=130, HD ou função renal flutuante.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10. Checklist de beira-leito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Momento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Checklist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Antes de prescrever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Peso corporal total para polimixina B; peso definido para cada outro fármaco; creatinina e ClCr; HD/CRRT; alergias; culturas/MIC/método; sítio; gravidade; disponibilidade; CCIH.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No momento da troca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Coletar hemoculturas se indicado; revisar foco; iniciar dose de ataque se polimixina/colistina; retirar meropenem/vanco se sem indicação.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Nas próximas 24 h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Gasometria/PaO2-FiO2; RX/POCUS; secreções; balanço; diurese; K/Mg; creatinina; hemodinâmica; eventos adversos.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Em 48-72 h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Melhorou? Se não, rever diagnóstico, foco, doses, novo germe, resistência, empiema/atelectasia/TEP, necessidade de broncoscopia ou nova imagem.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Final do tratamento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Definir duração; documentar cultura, droga ativa, motivo de suspensão, isolamento e colonização para futuras internações.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11. Mnemônicos úteis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2"/>
        <w:gridCol w:w="4932"/>
      </w:tblGrid>
      <w:tr>
        <w:trPr>
          <w:cantSplit/>
          <w:tblHeader/>
          <w:tblHeader/>
        </w:trPr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Mnemônico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lembrar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CRAB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Cultura + Radiologia + Ar/ventilação + Bacteremia/biomarcadores: só trate se o conjunto apontar infecção.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POLI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Peso certo, Oxigenação/órgão, Laboratório renal, Isolamento/toxicidade.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SULBA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Só com combinação, Usar dose alta, Lembrar R* ≠ sensível, Bomba 4 horas, Ajustar com CCIH.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VAP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Ventilação piorou, Achado radiológico novo, Pus/secreção e resposta inflamatória.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Referências e fontes consultadas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Tamma PD, et al. IDSA 2026 Guidance on the Treatment of Antimicrobial Resistant Gram-Negative Infections. Publicado em 30/07/2026; evidência até 01/03/2026. Acesso em 18/10/2026. </w:t>
      </w:r>
      <w:hyperlink r:id="rId1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Tsuji BT, et al. International Consensus Guidelines for the Optimal Use of the Polymyxins. Pharmacotherapy. 2019;39(1):10–39. doi:10.1002/phar.2209. </w:t>
      </w:r>
      <w:hyperlink r:id="rId19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Pfizer. UNASYN (ampicillin sodium/sulbactam sodium): prescribing information. Preparo e estabilidade. Acesso em 18/10/2026. </w:t>
      </w:r>
      <w:hyperlink r:id="rId2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FDA. XACDURO (sulbactam/durlobactam): prescribing information. 2023. Dose, ajuste renal e preparo. </w:t>
      </w:r>
      <w:hyperlink r:id="rId2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Kalil AC, et al. ATS/IDSA 2016 Clinical Practice Guidelines for HAP/VAP. Clin Infect Dis. 2016;63(5):e61–e111. </w:t>
      </w:r>
      <w:hyperlink r:id="rId1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Klompas M, et al. Strategies to prevent ventilator-associated pneumonia, ventilator-associated events, and nonventilator hospital-acquired pneumonia in acute-care hospitals: 2022 Update. Infect Control Hosp Epidemiol. 2022;43:687–713. </w:t>
      </w:r>
      <w:hyperlink r:id="rId2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FDA. FETROJA (cefiderocol): prescribing information. 2026. Ajustes por ClCr e terapia renal substitutiva. </w:t>
      </w:r>
      <w:hyperlink r:id="rId27">
        <w:r>
          <w:rPr>
            <w:color w:val="1A4D75"/>
          </w:rPr>
          <w:t>Acesso à fonte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Abordagem do CRAB na 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abstractNum w:abstractNumId="10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6" Type="http://schemas.openxmlformats.org/officeDocument/2006/relationships/hyperlink" Target="https://www.idsociety.org/practice-guideline/amr-guidance/" TargetMode="External"/><Relationship Id="rId17" Type="http://schemas.openxmlformats.org/officeDocument/2006/relationships/hyperlink" Target="https://www.idsociety.org/practice-guideline/hap_vap/" TargetMode="External"/><Relationship Id="rId19" Type="http://schemas.openxmlformats.org/officeDocument/2006/relationships/hyperlink" Target="https://pmc.ncbi.nlm.nih.gov/articles/PMC7437259/" TargetMode="External"/><Relationship Id="rId22" Type="http://schemas.openxmlformats.org/officeDocument/2006/relationships/hyperlink" Target="https://www.accessdata.fda.gov/drugsatfda_docs/label/2023/216974Orig1s000Correctedlbl.pdf" TargetMode="External"/><Relationship Id="rId25" Type="http://schemas.openxmlformats.org/officeDocument/2006/relationships/hyperlink" Target="https://labeling.pfizer.com/ShowLabeling.aspx?id=653" TargetMode="External"/><Relationship Id="rId26" Type="http://schemas.openxmlformats.org/officeDocument/2006/relationships/hyperlink" Target="https://pmc.ncbi.nlm.nih.gov/articles/PMC10903147/" TargetMode="External"/><Relationship Id="rId27" Type="http://schemas.openxmlformats.org/officeDocument/2006/relationships/hyperlink" Target="https://www.accessdata.fda.gov/drugsatfda_docs/label/2026/209445s012lb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do CRAB na UTI</dc:title>
  <dc:subject>Material didático ou instrucional para Clínica Médica</dc:subject>
  <dc:creator>Aldenir Rocha de Oliveira Filho</dc:creator>
  <cp:keywords>CRAB; Acinetobacter; UTI; PAV; polimixina; colistina; sulbactam</cp:keywords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