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Cetoacidose Diabética na UTI</w:t>
      </w:r>
    </w:p>
    <w:p>
      <w:pPr>
        <w:jc w:val="center"/>
      </w:pPr>
      <w:r>
        <w:rPr>
          <w:i/>
          <w:color w:val="5A5A5A"/>
          <w:sz w:val="24"/>
        </w:rPr>
        <w:t>Abordagem completa, prática e atualizada para plantão, enfermaria crítica e preparação TEMI</w:t>
      </w:r>
    </w:p>
    <w:p>
      <w:pPr>
        <w:pBdr>
          <w:bottom w:val="single" w:sz="6" w:space="1" w:color="4F81BD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2F8"/>
          </w:tcPr>
          <w:p>
            <w:r/>
            <w:r>
              <w:rPr>
                <w:b/>
                <w:color w:val="1F4E79"/>
                <w:sz w:val="20"/>
              </w:rPr>
              <w:t>Objetivo do documento</w:t>
            </w:r>
          </w:p>
          <w:p>
            <w:pPr>
              <w:spacing w:after="0"/>
            </w:pPr>
            <w:r>
              <w:rPr>
                <w:sz w:val="17"/>
              </w:rPr>
              <w:t>Fornecer um protocolo completo para reconhecer, estabilizar, monitorar, tratar e transicionar o paciente adulto com CAD na UTI. O conteúdo serve como apoio ao raciocínio clínico e deve ser adaptado aos recursos, diluições e protocolos institucionais locais.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226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37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Resumo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Foco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Adultos com CAD no PS, sala vermelha, enfermaria crítica ou UTI.</w:t>
            </w:r>
          </w:p>
        </w:tc>
      </w:tr>
      <w:tr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Base principal</w:t>
            </w:r>
          </w:p>
        </w:tc>
        <w:tc>
          <w:tcPr>
            <w:tcW w:type="dxa" w:w="7370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Consenso ADA/EASD/JBDS/AACE/DTS 2024; ADA Standards of Care 2026; JBDS 2023; Endotext.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Uso pretendido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Checklist de plantão, prescrição inicial, monitorização, transição EV-&gt;SC e prevenção de recorrência.</w:t>
            </w:r>
          </w:p>
        </w:tc>
      </w:tr>
      <w:tr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Aviso</w:t>
            </w:r>
          </w:p>
        </w:tc>
        <w:tc>
          <w:tcPr>
            <w:tcW w:type="dxa" w:w="7370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Não substitui julgamento médico, avaliação à beira-leito, protocolo da instituição, farmácia clínica e equipe de endocrinologia/UTI.</w:t>
            </w:r>
          </w:p>
        </w:tc>
      </w:tr>
    </w:tbl>
    <w:p/>
    <w:p>
      <w:pPr>
        <w:jc w:val="right"/>
      </w:pPr>
      <w:r>
        <w:rPr>
          <w:color w:val="5A5A5A"/>
          <w:sz w:val="18"/>
        </w:rPr>
        <w:t>Material de apoio clínico - Dr. Aldenir Rocha</w:t>
        <w:br/>
        <w:t>Revisão: maio/2026</w:t>
      </w:r>
    </w:p>
    <w:p>
      <w:r>
        <w:br w:type="page"/>
      </w:r>
    </w:p>
    <w:p>
      <w:pPr>
        <w:pStyle w:val="Heading1"/>
        <w:keepNext/>
      </w:pPr>
      <w:r>
        <w:t>Sumário executivo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2CC"/>
          </w:tcPr>
          <w:p>
            <w:r/>
            <w:r>
              <w:rPr>
                <w:b/>
                <w:color w:val="7F6000"/>
                <w:sz w:val="20"/>
              </w:rPr>
              <w:t>CAD em uma frase</w:t>
            </w:r>
          </w:p>
          <w:p>
            <w:pPr>
              <w:spacing w:after="0"/>
            </w:pPr>
            <w:r>
              <w:rPr>
                <w:sz w:val="17"/>
              </w:rPr>
              <w:t>CAD = deficiência absoluta/relativa de insulina + excesso de hormônios contrarreguladores -&gt; lipólise -&gt; cetogênese -&gt; acidose metabólica com desidratação e perda de eletrólitos.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294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Pergunta de plantão</w:t>
            </w:r>
          </w:p>
        </w:tc>
        <w:tc>
          <w:tcPr>
            <w:tcW w:type="dxa" w:w="669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Resposta prática</w:t>
            </w:r>
          </w:p>
        </w:tc>
      </w:tr>
      <w:tr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Qual é a tríade diagnóstica atual?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Diabetes/hiperglicemia + cetose significativa + acidose metabólica.</w:t>
            </w:r>
          </w:p>
        </w:tc>
      </w:tr>
      <w:tr>
        <w:tc>
          <w:tcPr>
            <w:tcW w:type="dxa" w:w="2948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 que mata rápido?</w:t>
            </w:r>
          </w:p>
        </w:tc>
        <w:tc>
          <w:tcPr>
            <w:tcW w:type="dxa" w:w="6690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Hipovolemia/choque, hipocalemia, hipoglicemia, edema cerebral, causa precipitante não tratada.</w:t>
            </w:r>
          </w:p>
        </w:tc>
      </w:tr>
      <w:tr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Primeira hora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ABCDE, 2 acessos, monitor, gasometria/eletrolitos/cetonas, iniciar cristalóide isotônico, avaliar K antes/ao iniciar insulina.</w:t>
            </w:r>
          </w:p>
        </w:tc>
      </w:tr>
      <w:tr>
        <w:tc>
          <w:tcPr>
            <w:tcW w:type="dxa" w:w="2948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Insulina padrão</w:t>
            </w:r>
          </w:p>
        </w:tc>
        <w:tc>
          <w:tcPr>
            <w:tcW w:type="dxa" w:w="6690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Regular EV 0,1 UI/kg/h; reduzir para 0,05 UI/kg/h quando glicose &lt;250 mg/dL e acrescentar dextrose.</w:t>
            </w:r>
          </w:p>
        </w:tc>
      </w:tr>
      <w:tr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Potássio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 K &lt;3,5 mEq/L: repor K e segurar insulina até &gt;3,5. Alvo durante tratamento: 4-5 mEq/L.</w:t>
            </w:r>
          </w:p>
        </w:tc>
      </w:tr>
      <w:tr>
        <w:tc>
          <w:tcPr>
            <w:tcW w:type="dxa" w:w="2948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Resolução</w:t>
            </w:r>
          </w:p>
        </w:tc>
        <w:tc>
          <w:tcPr>
            <w:tcW w:type="dxa" w:w="6690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Beta-hidroxibutirato &lt;0,6 mmol/L + pH venoso &gt;=7,3 ou HCO3 &gt;=18; idealmente glicose &lt;200 mg/dL.</w:t>
            </w:r>
          </w:p>
        </w:tc>
      </w:tr>
      <w:tr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Transição SC</w:t>
            </w:r>
          </w:p>
        </w:tc>
        <w:tc>
          <w:tcPr>
            <w:tcW w:type="dxa" w:w="669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Basal-bolus com basal 1-2 h antes de desligar EV; não deixar DM1 sem basal.</w:t>
            </w:r>
          </w:p>
        </w:tc>
      </w:tr>
    </w:tbl>
    <w:p/>
    <w:p>
      <w:pPr>
        <w:pStyle w:val="Heading1"/>
        <w:keepNext/>
      </w:pPr>
      <w:r>
        <w:t>Mapa mental rápido da CAD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2F0D9"/>
          </w:tcPr>
          <w:p>
            <w:r/>
            <w:r>
              <w:rPr>
                <w:b/>
                <w:color w:val="375623"/>
                <w:sz w:val="20"/>
              </w:rPr>
              <w:t>Fluxo fisiopatológico</w:t>
            </w:r>
          </w:p>
          <w:p>
            <w:pPr>
              <w:spacing w:after="0"/>
            </w:pPr>
            <w:r>
              <w:rPr>
                <w:sz w:val="17"/>
              </w:rPr>
              <w:t>Gatilho -&gt; falta de insulina / estresse</w:t>
            </w:r>
          </w:p>
          <w:p>
            <w:pPr>
              <w:spacing w:after="0"/>
            </w:pPr>
            <w:r>
              <w:rPr>
                <w:sz w:val="17"/>
              </w:rPr>
              <w:t xml:space="preserve">   -&gt; hiperglicemia -&gt; diurese osmótica -&gt; desidratação + perda de Na/K/P/Mg</w:t>
            </w:r>
          </w:p>
          <w:p>
            <w:pPr>
              <w:spacing w:after="0"/>
            </w:pPr>
            <w:r>
              <w:rPr>
                <w:sz w:val="17"/>
              </w:rPr>
              <w:t xml:space="preserve">   -&gt; lipólise -&gt; ácidos graxos livres -&gt; beta-hidroxibutirato/acetoacetato</w:t>
            </w:r>
          </w:p>
          <w:p>
            <w:pPr>
              <w:spacing w:after="0"/>
            </w:pPr>
            <w:r>
              <w:rPr>
                <w:sz w:val="17"/>
              </w:rPr>
              <w:t xml:space="preserve">   -&gt; acidose metabólica -&gt; Kussmaul, vômitos, dor abdominal, RNC</w:t>
            </w:r>
          </w:p>
          <w:p>
            <w:pPr>
              <w:spacing w:after="0"/>
            </w:pPr>
            <w:r>
              <w:rPr>
                <w:sz w:val="17"/>
              </w:rPr>
              <w:t>Tratamento = volume + insulina + K + dextrose no momento certo + tratar gatilho</w:t>
            </w:r>
          </w:p>
        </w:tc>
      </w:tr>
    </w:tbl>
    <w:p/>
    <w:p>
      <w:pPr>
        <w:pStyle w:val="Heading1"/>
        <w:keepNext/>
      </w:pPr>
      <w:r>
        <w:t>1. Definição, fisiopatologia e armadilhas diagnósticas</w:t>
      </w:r>
    </w:p>
    <w:p>
      <w:pPr>
        <w:spacing w:after="120"/>
      </w:pPr>
      <w:r>
        <w:rPr>
          <w:b w:val="0"/>
          <w:i w:val="0"/>
        </w:rPr>
        <w:t>A cetoacidose diabética é uma emergência metabólica potencialmente fatal, clássica no diabetes tipo 1, mas também possível no diabetes tipo 2, diabetes pancreatogênico, diabetes induzido por medicações e cenários de SGLT2. Na UTI, o erro mais perigoso é tratar apenas a glicose e esquecer que o alvo real é fechar a cetose/acidemia com insulina contínua e reposição eletrolítica segura.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2835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Mecanismo</w:t>
            </w:r>
          </w:p>
        </w:tc>
        <w:tc>
          <w:tcPr>
            <w:tcW w:type="dxa" w:w="6803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Consequência clínica/laboratorial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Deficiência de insulina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Aumenta glicogenólise, gliconeogênese e reduz uso periférico da glicose.</w:t>
            </w:r>
          </w:p>
        </w:tc>
      </w:tr>
      <w:tr>
        <w:tc>
          <w:tcPr>
            <w:tcW w:type="dxa" w:w="2835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Glucagon/cortisol/catecolaminas/GH</w:t>
            </w:r>
          </w:p>
        </w:tc>
        <w:tc>
          <w:tcPr>
            <w:tcW w:type="dxa" w:w="6803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Amplificam hiperglicemia, resistência insulínica e cetogênese.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Lipólise intensa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Aumenta ácidos graxos livres -&gt; beta-hidroxibutirato e acetoacetato.</w:t>
            </w:r>
          </w:p>
        </w:tc>
      </w:tr>
      <w:tr>
        <w:tc>
          <w:tcPr>
            <w:tcW w:type="dxa" w:w="2835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Diurese osmótica</w:t>
            </w:r>
          </w:p>
        </w:tc>
        <w:tc>
          <w:tcPr>
            <w:tcW w:type="dxa" w:w="6803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Déficit de água, sódio, potássio, magnésio, fosfato; IRA pré-renal.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Acidose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Kussmaul, náuseas/vômitos, dor abdominal, alteração de sensório.</w:t>
            </w:r>
          </w:p>
        </w:tc>
      </w:tr>
    </w:tbl>
    <w:p/>
    <w:p>
      <w:pPr>
        <w:pStyle w:val="Heading1"/>
        <w:keepNext/>
      </w:pPr>
      <w:r>
        <w:t>2. Critérios diagnósticos</w:t>
      </w:r>
    </w:p>
    <w:p>
      <w:pPr>
        <w:spacing w:after="120"/>
      </w:pPr>
      <w:r>
        <w:rPr>
          <w:b w:val="0"/>
          <w:i w:val="0"/>
        </w:rPr>
        <w:t>Pelo consenso internacional de 2024, o diagnóstico de CAD exige os três componentes abaixo. A glicose pode estar apenas moderadamente elevada ou até &lt;200 mg/dL na CAD euglicêmica, especialmente com SGLT2, gestação, jejum, vômitos ou uso prévio de insulina.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26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685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Critério prático atual</w:t>
            </w:r>
          </w:p>
        </w:tc>
        <w:tc>
          <w:tcPr>
            <w:tcW w:type="dxa" w:w="3685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Comentário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Diabetes/hiperglicemia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Glicose &gt;=200 mg/dL OU diabetes conhecido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Não excluir CAD se glicose menor, principalmente em uso de SGLT2.</w:t>
            </w:r>
          </w:p>
        </w:tc>
      </w:tr>
      <w:tr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Cetose</w:t>
            </w:r>
          </w:p>
        </w:tc>
        <w:tc>
          <w:tcPr>
            <w:tcW w:type="dxa" w:w="3685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Beta-hidroxibutirato &gt;=3,0 mmol/L OU cetonúria &gt;=2+</w:t>
            </w:r>
          </w:p>
        </w:tc>
        <w:tc>
          <w:tcPr>
            <w:tcW w:type="dxa" w:w="3685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Beta-hidroxibutirato é melhor para diagnóstico e seguimento.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Acidose metabólica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pH &lt;7,30 e/ou HCO3 &lt;18 mEq/L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Ânion gap ajuda, mas não deve ser critério único de resolução.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CE4D6"/>
          </w:tcPr>
          <w:p>
            <w:r/>
            <w:r>
              <w:rPr>
                <w:b/>
                <w:color w:val="C65911"/>
                <w:sz w:val="20"/>
              </w:rPr>
              <w:t>Armadilha da cetonúria</w:t>
            </w:r>
          </w:p>
          <w:p>
            <w:pPr>
              <w:spacing w:after="0"/>
            </w:pPr>
            <w:r>
              <w:rPr>
                <w:sz w:val="17"/>
              </w:rPr>
              <w:t>Na fase inicial, a fita urinária pode subestimar a gravidade porque não mede beta-hidroxibutirato. Na recuperação, pode parecer que piorou porque beta-hidroxibutirato vira acetoacetato. Para monitorar resposta, prefira beta-hidroxibutirato capilar/sérico quando disponível.</w:t>
            </w:r>
          </w:p>
        </w:tc>
      </w:tr>
    </w:tbl>
    <w:p/>
    <w:p>
      <w:pPr>
        <w:pStyle w:val="Heading1"/>
        <w:keepNext/>
      </w:pPr>
      <w:r>
        <w:t>3. Classificação de gravidade e local de cuidado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c>
          <w:tcPr>
            <w:tcW w:type="dxa" w:w="1417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Gravidade</w:t>
            </w:r>
          </w:p>
        </w:tc>
        <w:tc>
          <w:tcPr>
            <w:tcW w:type="dxa" w:w="1814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Beta-hidroxibutirato</w:t>
            </w:r>
          </w:p>
        </w:tc>
        <w:tc>
          <w:tcPr>
            <w:tcW w:type="dxa" w:w="2381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pH/HCO3</w:t>
            </w:r>
          </w:p>
        </w:tc>
        <w:tc>
          <w:tcPr>
            <w:tcW w:type="dxa" w:w="1814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Estado mental</w:t>
            </w:r>
          </w:p>
        </w:tc>
        <w:tc>
          <w:tcPr>
            <w:tcW w:type="dxa" w:w="226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Local sugerido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Leve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3,0-6,0 mmol/L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pH &gt;7,25 a &lt;7,30 ou HCO3 15-18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Alerta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Observação/enfermaria monitorizada se suporte adequado</w:t>
            </w:r>
          </w:p>
        </w:tc>
      </w:tr>
      <w:tr>
        <w:tc>
          <w:tcPr>
            <w:tcW w:type="dxa" w:w="1417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Moderada</w:t>
            </w:r>
          </w:p>
        </w:tc>
        <w:tc>
          <w:tcPr>
            <w:tcW w:type="dxa" w:w="1814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3,0-6,0 mmol/L</w:t>
            </w:r>
          </w:p>
        </w:tc>
        <w:tc>
          <w:tcPr>
            <w:tcW w:type="dxa" w:w="2381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pH 7,00-7,25 ou HCO3 10-&lt;15</w:t>
            </w:r>
          </w:p>
        </w:tc>
        <w:tc>
          <w:tcPr>
            <w:tcW w:type="dxa" w:w="1814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Alerta ou sonolento</w:t>
            </w:r>
          </w:p>
        </w:tc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Unidade intermediária/sala vermelha/UTI conforme recursos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Grave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&gt;6,0 mmol/L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pH &lt;7,00 ou HCO3 &lt;10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Estupor/coma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UTI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2F8"/>
          </w:tcPr>
          <w:p>
            <w:r/>
            <w:r>
              <w:rPr>
                <w:b/>
                <w:color w:val="1F4E79"/>
                <w:sz w:val="20"/>
              </w:rPr>
              <w:t>Indicações fortes de UTI</w:t>
            </w:r>
          </w:p>
          <w:p>
            <w:pPr>
              <w:spacing w:after="0"/>
            </w:pPr>
            <w:r>
              <w:rPr>
                <w:sz w:val="17"/>
              </w:rPr>
              <w:t>Choque ou necessidade de vasopressor; pH &lt;7,0; HCO3 muito baixo; K &lt;3,5 na admissão; alteração de consciência; insuficiência respiratória; edema pulmonar/IC/DRC dialítica; gestação; CAD euglicêmica grave; IAM/AVC/sepse; falha de melhora após 6-12 h; necessidade de monitorização intensiva.</w:t>
            </w:r>
          </w:p>
        </w:tc>
      </w:tr>
    </w:tbl>
    <w:p/>
    <w:p>
      <w:pPr>
        <w:pStyle w:val="Heading1"/>
        <w:keepNext/>
      </w:pPr>
      <w:r>
        <w:t>4. Primeiros 10 minutos: abordagem ABCDE</w:t>
      </w:r>
    </w:p>
    <w:p>
      <w:pPr>
        <w:pStyle w:val="ListNumber"/>
        <w:spacing w:after="40"/>
      </w:pPr>
      <w:r>
        <w:t>A/B: avaliar via aérea, padrão de Kussmaul, aspiração por vômitos, necessidade de O2, VNI/IOT se rebaixamento/choque/insuficiência respiratória.</w:t>
      </w:r>
    </w:p>
    <w:p>
      <w:pPr>
        <w:pStyle w:val="ListNumber"/>
        <w:spacing w:after="40"/>
      </w:pPr>
      <w:r>
        <w:t>C: monitor cardíaco, PA seriada/invasiva se choque, 2 acessos venosos calibrosos, avaliar perfusão, diurese e necessidade de sonda vesical.</w:t>
      </w:r>
    </w:p>
    <w:p>
      <w:pPr>
        <w:pStyle w:val="ListNumber"/>
        <w:spacing w:after="40"/>
      </w:pPr>
      <w:r>
        <w:t>D: Glasgow, glicemia capilar imediata, sinais de edema cerebral ou causa neurológica alternativa.</w:t>
      </w:r>
    </w:p>
    <w:p>
      <w:pPr>
        <w:pStyle w:val="ListNumber"/>
        <w:spacing w:after="40"/>
      </w:pPr>
      <w:r>
        <w:t>E: temperatura, foco infeccioso, abdome, pele/partes moles, pés, cateteres, gestação em idade fértil.</w:t>
      </w:r>
    </w:p>
    <w:p>
      <w:pPr>
        <w:pStyle w:val="ListNumber"/>
        <w:spacing w:after="40"/>
      </w:pPr>
      <w:r>
        <w:t>Coletar antes de atrasar tratamento: gasometria venosa, eletrólitos, ureia/creatinina, Mg/P, cetonas, hemograma, lactato se choque, culturas se infecção, ECG, urina, RX/TC conforme clínica.</w:t>
      </w:r>
    </w:p>
    <w:p>
      <w:pPr>
        <w:pStyle w:val="Heading1"/>
        <w:keepNext/>
      </w:pPr>
      <w:r>
        <w:t>5. Investigação etiológica: por que fez CAD?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2381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Gatilho</w:t>
            </w:r>
          </w:p>
        </w:tc>
        <w:tc>
          <w:tcPr>
            <w:tcW w:type="dxa" w:w="7257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Como procurar no plantão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Insulina omitida/erro de dose</w:t>
            </w:r>
          </w:p>
        </w:tc>
        <w:tc>
          <w:tcPr>
            <w:tcW w:type="dxa" w:w="725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História direta, acesso à insulina, técnica, caneta/vencimento, bomba, contexto psicossocial.</w:t>
            </w:r>
          </w:p>
        </w:tc>
      </w:tr>
      <w:tr>
        <w:tc>
          <w:tcPr>
            <w:tcW w:type="dxa" w:w="2381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Infecção</w:t>
            </w:r>
          </w:p>
        </w:tc>
        <w:tc>
          <w:tcPr>
            <w:tcW w:type="dxa" w:w="7257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ITU, pneumonia, pele/partes moles, pé diabético, cateter, sepse oculta.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IAM/AVC/TEP/pancreatite</w:t>
            </w:r>
          </w:p>
        </w:tc>
        <w:tc>
          <w:tcPr>
            <w:tcW w:type="dxa" w:w="725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ECG/troponina se dor/idoso/risco, neuro, lipase, imagem conforme clínica.</w:t>
            </w:r>
          </w:p>
        </w:tc>
      </w:tr>
      <w:tr>
        <w:tc>
          <w:tcPr>
            <w:tcW w:type="dxa" w:w="2381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Medicações</w:t>
            </w:r>
          </w:p>
        </w:tc>
        <w:tc>
          <w:tcPr>
            <w:tcW w:type="dxa" w:w="7257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SGLT2, corticoide, antipsicóticos, tiazídicos, simpaticomiméticos, imunoterapia.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Gestação</w:t>
            </w:r>
          </w:p>
        </w:tc>
        <w:tc>
          <w:tcPr>
            <w:tcW w:type="dxa" w:w="725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Beta-hCG em mulher em idade fértil; CAD pode ocorrer com glicose menor.</w:t>
            </w:r>
          </w:p>
        </w:tc>
      </w:tr>
      <w:tr>
        <w:tc>
          <w:tcPr>
            <w:tcW w:type="dxa" w:w="2381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Álcool/jejum/vômitos</w:t>
            </w:r>
          </w:p>
        </w:tc>
        <w:tc>
          <w:tcPr>
            <w:tcW w:type="dxa" w:w="7257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Diferenciar de cetoacidose alcoólica/jejum; podem coexistir.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Bomba de insulina</w:t>
            </w:r>
          </w:p>
        </w:tc>
        <w:tc>
          <w:tcPr>
            <w:tcW w:type="dxa" w:w="725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Falha de cateter, oclusão, reservatório vazio, desconexão; suspender bomba em UTI e usar EV.</w:t>
            </w:r>
          </w:p>
        </w:tc>
      </w:tr>
    </w:tbl>
    <w:p/>
    <w:p>
      <w:pPr>
        <w:pStyle w:val="Heading1"/>
        <w:keepNext/>
      </w:pPr>
      <w:r>
        <w:t>6. Monitorização na UTI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26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Parâmetro</w:t>
            </w:r>
          </w:p>
        </w:tc>
        <w:tc>
          <w:tcPr>
            <w:tcW w:type="dxa" w:w="226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Frequência sugerida</w:t>
            </w:r>
          </w:p>
        </w:tc>
        <w:tc>
          <w:tcPr>
            <w:tcW w:type="dxa" w:w="5102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Objetivo/alerta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Glicemia capilar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1/1 h na fase EV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Queda desejada ~50-75 mg/dL/h; evitar &lt;150 até resolver CAD.</w:t>
            </w:r>
          </w:p>
        </w:tc>
      </w:tr>
      <w:tr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Beta-hidroxibutirato</w:t>
            </w:r>
          </w:p>
        </w:tc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1/1-2/2 h se disponível</w:t>
            </w:r>
          </w:p>
        </w:tc>
        <w:tc>
          <w:tcPr>
            <w:tcW w:type="dxa" w:w="5102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Queda &gt;=0,5 mmol/L/h sugere resposta adequada.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Gasometria venosa/HCO3/pH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Na admissão, 1-2 h, depois 2/2-4/4 h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HCO3 subir ~3 mEq/L/h ou pH melhorar.</w:t>
            </w:r>
          </w:p>
        </w:tc>
      </w:tr>
      <w:tr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Na/K/Cl/Mg/P/Cr</w:t>
            </w:r>
          </w:p>
        </w:tc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2/2-4/4 h; K mais frequente se anormal</w:t>
            </w:r>
          </w:p>
        </w:tc>
        <w:tc>
          <w:tcPr>
            <w:tcW w:type="dxa" w:w="5102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 alvo 4-5; acompanhar hipercloremia e IRA.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Diurese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Horária se grave/choque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&gt;=0,5 mL/kg/h; cuidado com DRC/dialítico.</w:t>
            </w:r>
          </w:p>
        </w:tc>
      </w:tr>
      <w:tr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ECG/telemetria</w:t>
            </w:r>
          </w:p>
        </w:tc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Contínua se K alterado/idoso/IAM</w:t>
            </w:r>
          </w:p>
        </w:tc>
        <w:tc>
          <w:tcPr>
            <w:tcW w:type="dxa" w:w="5102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Arritmias por K, isquemia, QT.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Neurológico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Horário se grave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Cefaleia, queda GCS, pupilas, convulsão = pensar edema cerebral/AVC.</w:t>
            </w:r>
          </w:p>
        </w:tc>
      </w:tr>
    </w:tbl>
    <w:p/>
    <w:p>
      <w:pPr>
        <w:pStyle w:val="Heading1"/>
        <w:keepNext/>
      </w:pPr>
      <w:r>
        <w:t>7. Fluidoterapia: o tratamento começa com volume</w:t>
      </w:r>
    </w:p>
    <w:p>
      <w:pPr>
        <w:spacing w:after="120"/>
      </w:pPr>
      <w:r>
        <w:rPr>
          <w:b w:val="0"/>
          <w:i w:val="0"/>
        </w:rPr>
        <w:t>A hidratação corrige hipovolemia, melhora perfusão renal, reduz hormônios contrarreguladores e pode baixar glicose antes mesmo da insulina. A escolha entre SF 0,9% e cristalóide balanceado deve considerar protocolo institucional, cloro, acidose hiperclorêmica, disponibilidade e custo.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226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737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Conduta prática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Choque/hipotensão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Cristalóide isotônico 500-1000 mL rápido, reavaliar perfusão/crepitações/POCUS; repetir conforme resposta; vasopressor se choque persistente.</w:t>
            </w:r>
          </w:p>
        </w:tc>
      </w:tr>
      <w:tr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Sem choque e sem IC/DRC</w:t>
            </w:r>
          </w:p>
        </w:tc>
        <w:tc>
          <w:tcPr>
            <w:tcW w:type="dxa" w:w="7370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500-1000 mL/h nas primeiras 2-4 h, depois 250-500 mL/h conforme Na corrigido, osmolaridade, diurese e estado volêmico.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Idoso/IC/DRC/dialítico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Bolus menores, por exemplo 250 mL, reavaliações frequentes, POCUS, balanço rigoroso; baixo limiar para UTI/nefr.o</w:t>
            </w:r>
          </w:p>
        </w:tc>
      </w:tr>
      <w:tr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Glicose &lt;250 mg/dL</w:t>
            </w:r>
          </w:p>
        </w:tc>
        <w:tc>
          <w:tcPr>
            <w:tcW w:type="dxa" w:w="7370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Adicionar SG 5-10% ou solução com dextrose; manter insulina para fechar cetose. Não desligar insulina por glicose 'boa'.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Na corrigido subindo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Pode ser esperado com queda da glicose. Não trocar automaticamente para hipotônico se osmolaridade está caindo adequadamente.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2F2F2"/>
          </w:tcPr>
          <w:p>
            <w:r/>
            <w:r>
              <w:rPr>
                <w:b/>
                <w:color w:val="404040"/>
                <w:sz w:val="20"/>
              </w:rPr>
              <w:t>Fórmulas úteis</w:t>
            </w:r>
          </w:p>
          <w:p>
            <w:pPr>
              <w:spacing w:after="0"/>
            </w:pPr>
            <w:r>
              <w:rPr>
                <w:sz w:val="17"/>
              </w:rPr>
              <w:t>Na corrigido ≈ Na medido + 1,6 x [(glicose - 100)/100]. Alguns cenários de hiperglicemia importante usam fator 2,4.</w:t>
            </w:r>
          </w:p>
          <w:p>
            <w:pPr>
              <w:spacing w:after="0"/>
            </w:pPr>
            <w:r>
              <w:rPr>
                <w:sz w:val="17"/>
              </w:rPr>
              <w:t>Ânion gap = Na - (Cl + HCO3). Se incluir K: (Na + K) - (Cl + HCO3).</w:t>
            </w:r>
          </w:p>
          <w:p>
            <w:pPr>
              <w:spacing w:after="0"/>
            </w:pPr>
            <w:r>
              <w:rPr>
                <w:sz w:val="17"/>
              </w:rPr>
              <w:t>Osmolaridade efetiva ≈ 2 x Na + glicose/18. Osmolaridade total ≈ 2 x Na + glicose/18 + ureia/6.</w:t>
            </w:r>
          </w:p>
        </w:tc>
      </w:tr>
    </w:tbl>
    <w:p/>
    <w:p>
      <w:pPr>
        <w:pStyle w:val="Heading1"/>
        <w:keepNext/>
      </w:pPr>
      <w:r>
        <w:t>8. Insulina EV: como fazer na UTI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2F8"/>
          </w:tcPr>
          <w:p>
            <w:r/>
            <w:r>
              <w:rPr>
                <w:b/>
                <w:color w:val="1F4E79"/>
                <w:sz w:val="20"/>
              </w:rPr>
              <w:t>Diluição operacional comum</w:t>
            </w:r>
          </w:p>
          <w:p>
            <w:pPr>
              <w:spacing w:after="0"/>
            </w:pPr>
            <w:r>
              <w:rPr>
                <w:sz w:val="17"/>
              </w:rPr>
              <w:t>Insulina regular 50 UI + SF 0,9% q.s.p. 50 mL = 1 UI/mL. Em bomba: mL/h = UI/h. Confirmar sempre protocolo local, dupla checagem e concentração final.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243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Situação</w:t>
            </w:r>
          </w:p>
        </w:tc>
        <w:tc>
          <w:tcPr>
            <w:tcW w:type="dxa" w:w="720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Dose/conduta</w:t>
            </w:r>
          </w:p>
        </w:tc>
      </w:tr>
      <w:tr>
        <w:tc>
          <w:tcPr>
            <w:tcW w:type="dxa" w:w="243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CAD moderada/grave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Insulina regular EV 0,1 UI/kg/h após início de volume e avaliação do K.</w:t>
            </w:r>
          </w:p>
        </w:tc>
      </w:tr>
      <w:tr>
        <w:tc>
          <w:tcPr>
            <w:tcW w:type="dxa" w:w="2438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CAD leve selecionada</w:t>
            </w:r>
          </w:p>
        </w:tc>
        <w:tc>
          <w:tcPr>
            <w:tcW w:type="dxa" w:w="7200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Pode considerar 0,05 UI/kg/h EV ou análogo rápido SC seriado, se unidade tiver protocolo e sem gravidade.</w:t>
            </w:r>
          </w:p>
        </w:tc>
      </w:tr>
      <w:tr>
        <w:tc>
          <w:tcPr>
            <w:tcW w:type="dxa" w:w="243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Acesso venoso atrasado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Alguns protocolos admitem bolus 0,1 UI/kg se atraso importante, mas na UTI geralmente priorizar bomba e segurança.</w:t>
            </w:r>
          </w:p>
        </w:tc>
      </w:tr>
      <w:tr>
        <w:tc>
          <w:tcPr>
            <w:tcW w:type="dxa" w:w="2438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Glicose &lt;250 mg/dL</w:t>
            </w:r>
          </w:p>
        </w:tc>
        <w:tc>
          <w:tcPr>
            <w:tcW w:type="dxa" w:w="7200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Adicionar dextrose e reduzir insulina para 0,05 UI/kg/h, mantendo alvo 150-200/250 até resolução.</w:t>
            </w:r>
          </w:p>
        </w:tc>
      </w:tr>
      <w:tr>
        <w:tc>
          <w:tcPr>
            <w:tcW w:type="dxa" w:w="243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Cetona não cai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Checar bomba, conexão, diluição, acesso, infecção/choque; aumentar 1-2 UI/h conforme protocolo se resposta inadequada.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26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type="dxa" w:w="3402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0,05 UI/kg/h</w:t>
            </w:r>
          </w:p>
        </w:tc>
        <w:tc>
          <w:tcPr>
            <w:tcW w:type="dxa" w:w="3402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0,1 UI/kg/h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 kg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 UI/h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 UI/h</w:t>
            </w:r>
          </w:p>
        </w:tc>
      </w:tr>
      <w:tr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50 kg</w:t>
            </w:r>
          </w:p>
        </w:tc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2,5 UI/h</w:t>
            </w:r>
          </w:p>
        </w:tc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 UI/h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60 kg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 UI/h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 UI/h</w:t>
            </w:r>
          </w:p>
        </w:tc>
      </w:tr>
      <w:tr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70 kg</w:t>
            </w:r>
          </w:p>
        </w:tc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3,5 UI/h</w:t>
            </w:r>
          </w:p>
        </w:tc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 UI/h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80 kg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 UI/h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 UI/h</w:t>
            </w:r>
          </w:p>
        </w:tc>
      </w:tr>
      <w:tr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90 kg</w:t>
            </w:r>
          </w:p>
        </w:tc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4,5 UI/h</w:t>
            </w:r>
          </w:p>
        </w:tc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 UI/h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100 kg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 UI/h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 UI/h</w:t>
            </w:r>
          </w:p>
        </w:tc>
      </w:tr>
    </w:tbl>
    <w:p/>
    <w:p>
      <w:pPr>
        <w:pStyle w:val="Heading1"/>
        <w:keepNext/>
      </w:pPr>
      <w:r>
        <w:t>9. Potássio: a parte mais perigosa do protocolo</w:t>
      </w:r>
    </w:p>
    <w:p>
      <w:pPr>
        <w:spacing w:after="120"/>
      </w:pPr>
      <w:r>
        <w:rPr>
          <w:b w:val="0"/>
          <w:i w:val="0"/>
        </w:rPr>
        <w:t>O potássio corporal total está reduzido mesmo quando o K sérico vem normal ou alto. Com volume + insulina + correção da acidose, o K cai. Em CAD, hipocalemia grave mata por arritmia e fraqueza respiratória.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226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K sérico</w:t>
            </w:r>
          </w:p>
        </w:tc>
        <w:tc>
          <w:tcPr>
            <w:tcW w:type="dxa" w:w="737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Conduta prática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&gt;5,0-5,2 mEq/L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Não repor inicialmente. Monitorar K 2/2-4/4 h, ECG/telemetria se alto ou alteração eletrocardiográfica. Iniciar K quando &lt;5,0 e diurese adequada.</w:t>
            </w:r>
          </w:p>
        </w:tc>
      </w:tr>
      <w:tr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3,5-5,0 mEq/L</w:t>
            </w:r>
          </w:p>
        </w:tc>
        <w:tc>
          <w:tcPr>
            <w:tcW w:type="dxa" w:w="7370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Repor 20-30 mEq K por litro de fluido, ajustando para alvo 4-5 mEq/L. Ver função renal e diurese.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&lt;3,5 mEq/L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Segurar insulina EV temporariamente, repor K imediatamente, monitor cardíaco, reavaliar K com frequência. Reiniciar insulina quando K &gt;3,5.</w:t>
            </w:r>
          </w:p>
        </w:tc>
      </w:tr>
      <w:tr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&lt;3,0 ou sintomas/ECG</w:t>
            </w:r>
          </w:p>
        </w:tc>
        <w:tc>
          <w:tcPr>
            <w:tcW w:type="dxa" w:w="7370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Emergência eletrolítica: UTI/monitorização contínua; considerar via central e reposição mais agressiva conforme protocolo local/farmácia.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CE4D6"/>
          </w:tcPr>
          <w:p>
            <w:r/>
            <w:r>
              <w:rPr>
                <w:b/>
                <w:color w:val="C65911"/>
                <w:sz w:val="20"/>
              </w:rPr>
              <w:t>Regra de segurança</w:t>
            </w:r>
          </w:p>
          <w:p>
            <w:pPr>
              <w:spacing w:after="0"/>
            </w:pPr>
            <w:r>
              <w:rPr>
                <w:sz w:val="17"/>
              </w:rPr>
              <w:t>Em acesso periférico, frequentemente usa-se até 10 mEq/h. Em via central com monitorização, 20 mEq/h pode ser usado em contexto crítico; taxas maiores exigem protocolo institucional específico e vigilância intensiva.</w:t>
            </w:r>
          </w:p>
        </w:tc>
      </w:tr>
    </w:tbl>
    <w:p/>
    <w:p>
      <w:pPr>
        <w:pStyle w:val="Heading1"/>
        <w:keepNext/>
      </w:pPr>
      <w:r>
        <w:t>10. Fosfato, magnésio e bicarbonato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192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771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Conduta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Fosfato</w:t>
            </w:r>
          </w:p>
        </w:tc>
        <w:tc>
          <w:tcPr>
            <w:tcW w:type="dxa" w:w="771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Não repor rotineiramente. Dosar se CAD grave, desnutrição, álcool, fraqueza, rabdomiólise, insuficiência respiratória, cardiomiopatia, hemólise. Repor se grave/sintomático, cuidando do cálcio.</w:t>
            </w:r>
          </w:p>
        </w:tc>
      </w:tr>
      <w:tr>
        <w:tc>
          <w:tcPr>
            <w:tcW w:type="dxa" w:w="1928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Magnésio</w:t>
            </w:r>
          </w:p>
        </w:tc>
        <w:tc>
          <w:tcPr>
            <w:tcW w:type="dxa" w:w="7710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Corrigir se baixo, especialmente se hipocalemia refratária, arritmia, QT longo ou reposição de K difícil.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Bicarbonato</w:t>
            </w:r>
          </w:p>
        </w:tc>
        <w:tc>
          <w:tcPr>
            <w:tcW w:type="dxa" w:w="771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Não usar de rotina. Considerar se pH &lt;7,0, choque/hipercalemia grave ou acidemia extremamente sintomática; monitorar K, CO2, sódio e volume.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2CC"/>
          </w:tcPr>
          <w:p>
            <w:r/>
            <w:r>
              <w:rPr>
                <w:b/>
                <w:color w:val="7F6000"/>
                <w:sz w:val="20"/>
              </w:rPr>
              <w:t>Bicarbonato - dose clássica quando indicado</w:t>
            </w:r>
          </w:p>
          <w:p>
            <w:pPr>
              <w:spacing w:after="0"/>
            </w:pPr>
            <w:r>
              <w:rPr>
                <w:sz w:val="17"/>
              </w:rPr>
              <w:t>Uma estratégia descrita: NaHCO3 8,4% 100 mEq diluído em cerca de 400 mL de água estéril, infundir em ~2 h, repetir até pH &gt;7,0. Na prática brasileira, alinhar com farmácia/protocolo local e considerar potássio junto se necessário.</w:t>
            </w:r>
          </w:p>
        </w:tc>
      </w:tr>
    </w:tbl>
    <w:p/>
    <w:p>
      <w:pPr>
        <w:pStyle w:val="Heading1"/>
        <w:keepNext/>
      </w:pPr>
      <w:r>
        <w:t>11. Metas de resposta e falha terapêutica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26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Meta</w:t>
            </w:r>
          </w:p>
        </w:tc>
        <w:tc>
          <w:tcPr>
            <w:tcW w:type="dxa" w:w="2835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Valor esperado</w:t>
            </w:r>
          </w:p>
        </w:tc>
        <w:tc>
          <w:tcPr>
            <w:tcW w:type="dxa" w:w="4535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Se não atingir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Queda glicêmica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~50-75 mg/dL/h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Checar bomba/linha/diluição, hidratação, resistência por infecção/corticoide.</w:t>
            </w:r>
          </w:p>
        </w:tc>
      </w:tr>
      <w:tr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Queda de cetonas</w:t>
            </w:r>
          </w:p>
        </w:tc>
        <w:tc>
          <w:tcPr>
            <w:tcW w:type="dxa" w:w="2835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&gt;=0,5 mmol/L/h</w:t>
            </w:r>
          </w:p>
        </w:tc>
        <w:tc>
          <w:tcPr>
            <w:tcW w:type="dxa" w:w="4535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Checar insulina efetiva; considerar aumentar taxa conforme protocolo.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HCO3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Subir ~3 mEq/L/h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Rever diagnóstico, choque/lactato, hipercloremia, IRA, intoxicações.</w:t>
            </w:r>
          </w:p>
        </w:tc>
      </w:tr>
      <w:tr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</w:t>
            </w:r>
          </w:p>
        </w:tc>
        <w:tc>
          <w:tcPr>
            <w:tcW w:type="dxa" w:w="2835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Manter 4-5 mEq/L</w:t>
            </w:r>
          </w:p>
        </w:tc>
        <w:tc>
          <w:tcPr>
            <w:tcW w:type="dxa" w:w="4535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Ajustar reposição; hipocalemia = segurar insulina se &lt;3,5.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Neurológico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Melhorar ou manter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Piora = imagem/edema cerebral/AVC/hipoglicemia/osmolaridade.</w:t>
            </w:r>
          </w:p>
        </w:tc>
      </w:tr>
    </w:tbl>
    <w:p/>
    <w:p>
      <w:pPr>
        <w:pStyle w:val="Heading1"/>
        <w:keepNext/>
      </w:pPr>
      <w:r>
        <w:t>12. Quando considerar CAD resolvida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2835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Critério</w:t>
            </w:r>
          </w:p>
        </w:tc>
        <w:tc>
          <w:tcPr>
            <w:tcW w:type="dxa" w:w="6803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Alvo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Beta-hidroxibutirato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&lt;0,6 mmol/L</w:t>
            </w:r>
          </w:p>
        </w:tc>
      </w:tr>
      <w:tr>
        <w:tc>
          <w:tcPr>
            <w:tcW w:type="dxa" w:w="2835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pH venoso</w:t>
            </w:r>
          </w:p>
        </w:tc>
        <w:tc>
          <w:tcPr>
            <w:tcW w:type="dxa" w:w="6803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&gt;=7,30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Bicarbonato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&gt;=18 mEq/L</w:t>
            </w:r>
          </w:p>
        </w:tc>
      </w:tr>
      <w:tr>
        <w:tc>
          <w:tcPr>
            <w:tcW w:type="dxa" w:w="2835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Glicemia</w:t>
            </w:r>
          </w:p>
        </w:tc>
        <w:tc>
          <w:tcPr>
            <w:tcW w:type="dxa" w:w="6803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Idealmente &lt;200 mg/dL, mas não é critério isolado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Clínica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Melhora de náuseas/vômitos, perfusão, sensório e causa precipitante controlada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CE4D6"/>
          </w:tcPr>
          <w:p>
            <w:r/>
            <w:r>
              <w:rPr>
                <w:b/>
                <w:color w:val="C65911"/>
                <w:sz w:val="20"/>
              </w:rPr>
              <w:t>Não use ânion gap sozinho</w:t>
            </w:r>
          </w:p>
          <w:p>
            <w:pPr>
              <w:spacing w:after="0"/>
            </w:pPr>
            <w:r>
              <w:rPr>
                <w:sz w:val="17"/>
              </w:rPr>
              <w:t>Após grandes volumes de SF 0,9%, pode aparecer acidose metabólica hiperclorêmica com ânion gap normal ou bicarbonato ainda baixo. Isso pode atrasar indevidamente a transição se confundido com CAD persistente. Prefira beta-hidroxibutirato e pH/HCO3 em conjunto.</w:t>
            </w:r>
          </w:p>
        </w:tc>
      </w:tr>
    </w:tbl>
    <w:p/>
    <w:p>
      <w:pPr>
        <w:pStyle w:val="Heading1"/>
        <w:keepNext/>
      </w:pPr>
      <w:r>
        <w:t>13. Dieta oral e transição EV -&gt; SC</w:t>
      </w:r>
    </w:p>
    <w:p>
      <w:pPr>
        <w:spacing w:after="120"/>
      </w:pPr>
      <w:r>
        <w:rPr>
          <w:b w:val="0"/>
          <w:i w:val="0"/>
        </w:rPr>
        <w:t>Retornar dieta quando o paciente estiver acordado, protegendo via aérea, sem vômitos importantes, com perfusão adequada e CAD resolvida ou em resolução clara. Em DM1, nunca suspender insulina EV sem basal subcutânea circulante.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226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Passo</w:t>
            </w:r>
          </w:p>
        </w:tc>
        <w:tc>
          <w:tcPr>
            <w:tcW w:type="dxa" w:w="737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Como fazer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 Confirmar resolução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Beta-hidroxibutirato &lt;0,6 + pH &gt;=7,3 ou HCO3 &gt;=18; avaliar tolerância oral.</w:t>
            </w:r>
          </w:p>
        </w:tc>
      </w:tr>
      <w:tr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2. Calcular TDD</w:t>
            </w:r>
          </w:p>
        </w:tc>
        <w:tc>
          <w:tcPr>
            <w:tcW w:type="dxa" w:w="7370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Peso 0,5-0,6 UI/kg/dia; 0,3 UI/kg/dia se frágil/DRC/alto risco hipo; ou dose prévia; ou média EV estável x24 com cautela.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3. Dividir dose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40-60% basal; restante dividido em 3 doses prandiais + correção.</w:t>
            </w:r>
          </w:p>
        </w:tc>
      </w:tr>
      <w:tr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4. Sobrepor</w:t>
            </w:r>
          </w:p>
        </w:tc>
        <w:tc>
          <w:tcPr>
            <w:tcW w:type="dxa" w:w="7370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Aplicar basal 1-2 h antes de desligar EV. Se refeição imediata, aplicar rápida e manter EV 30-60 min após rápida/refeição.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5. Se NPO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Basal obrigatória + correção com rápida 4/4-6/6 h; manter esquema EV/VRIII se necessário.</w:t>
            </w:r>
          </w:p>
        </w:tc>
      </w:tr>
    </w:tbl>
    <w:p/>
    <w:p>
      <w:pPr>
        <w:pStyle w:val="Heading1"/>
        <w:keepNext/>
      </w:pPr>
      <w:r>
        <w:t>14. Cálculo da dose SC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2F0D9"/>
          </w:tcPr>
          <w:p>
            <w:r/>
            <w:r>
              <w:rPr>
                <w:b/>
                <w:color w:val="375623"/>
                <w:sz w:val="20"/>
              </w:rPr>
              <w:t>Fórmula padrão</w:t>
            </w:r>
          </w:p>
          <w:p>
            <w:pPr>
              <w:spacing w:after="0"/>
            </w:pPr>
            <w:r>
              <w:rPr>
                <w:sz w:val="17"/>
              </w:rPr>
              <w:t>TDD = peso x 0,5 UI/kg/dia.</w:t>
            </w:r>
          </w:p>
          <w:p>
            <w:pPr>
              <w:spacing w:after="0"/>
            </w:pPr>
            <w:r>
              <w:rPr>
                <w:sz w:val="17"/>
              </w:rPr>
              <w:t>Basal = 40-60% da TDD.</w:t>
            </w:r>
          </w:p>
          <w:p>
            <w:pPr>
              <w:spacing w:after="0"/>
            </w:pPr>
            <w:r>
              <w:rPr>
                <w:sz w:val="17"/>
              </w:rPr>
              <w:t>Prandial = restante dividido antes das refeições.</w:t>
            </w:r>
          </w:p>
          <w:p>
            <w:pPr>
              <w:spacing w:after="0"/>
            </w:pPr>
            <w:r>
              <w:rPr>
                <w:sz w:val="17"/>
              </w:rPr>
              <w:t>Correção = escala de sensibilidade, ajustada ao risco de hipoglicemia.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1701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type="dxa" w:w="2551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TDD 0,5 UI/kg/dia</w:t>
            </w:r>
          </w:p>
        </w:tc>
        <w:tc>
          <w:tcPr>
            <w:tcW w:type="dxa" w:w="226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Basal 50%</w:t>
            </w:r>
          </w:p>
        </w:tc>
        <w:tc>
          <w:tcPr>
            <w:tcW w:type="dxa" w:w="311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Rápida por refeição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50 kg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25 UI/dia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 UI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 UI/refeição</w:t>
            </w:r>
          </w:p>
        </w:tc>
      </w:tr>
      <w:tr>
        <w:tc>
          <w:tcPr>
            <w:tcW w:type="dxa" w:w="1701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60 kg</w:t>
            </w:r>
          </w:p>
        </w:tc>
        <w:tc>
          <w:tcPr>
            <w:tcW w:type="dxa" w:w="2551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30 UI/dia</w:t>
            </w:r>
          </w:p>
        </w:tc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15 UI</w:t>
            </w:r>
          </w:p>
        </w:tc>
        <w:tc>
          <w:tcPr>
            <w:tcW w:type="dxa" w:w="3118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 UI/refeição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70 kg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35 UI/dia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18 UI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5-6 UI/refeição</w:t>
            </w:r>
          </w:p>
        </w:tc>
      </w:tr>
      <w:tr>
        <w:tc>
          <w:tcPr>
            <w:tcW w:type="dxa" w:w="1701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80 kg</w:t>
            </w:r>
          </w:p>
        </w:tc>
        <w:tc>
          <w:tcPr>
            <w:tcW w:type="dxa" w:w="2551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 UI/dia</w:t>
            </w:r>
          </w:p>
        </w:tc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20 UI</w:t>
            </w:r>
          </w:p>
        </w:tc>
        <w:tc>
          <w:tcPr>
            <w:tcW w:type="dxa" w:w="3118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6-7 UI/refeição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90 kg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45 UI/dia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22 UI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7-8 UI/refeição</w:t>
            </w:r>
          </w:p>
        </w:tc>
      </w:tr>
      <w:tr>
        <w:tc>
          <w:tcPr>
            <w:tcW w:type="dxa" w:w="1701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100 kg</w:t>
            </w:r>
          </w:p>
        </w:tc>
        <w:tc>
          <w:tcPr>
            <w:tcW w:type="dxa" w:w="2551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50 UI/dia</w:t>
            </w:r>
          </w:p>
        </w:tc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25 UI</w:t>
            </w:r>
          </w:p>
        </w:tc>
        <w:tc>
          <w:tcPr>
            <w:tcW w:type="dxa" w:w="3118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 UI/refeição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2F8"/>
          </w:tcPr>
          <w:p>
            <w:r/>
            <w:r>
              <w:rPr>
                <w:b/>
                <w:color w:val="1F4E79"/>
                <w:sz w:val="20"/>
              </w:rPr>
              <w:t>Conversão pela bomba EV</w:t>
            </w:r>
          </w:p>
          <w:p>
            <w:pPr>
              <w:spacing w:after="0"/>
            </w:pPr>
            <w:r>
              <w:rPr>
                <w:sz w:val="17"/>
              </w:rPr>
              <w:t>TDD estimada = média de UI/h nas últimas 6 h estáveis x 24. Em geral usar 60-80% como dose SC inicial se houve dextrose EV, estresse em queda ou risco de hipo. Exemplo: 2 UI/h x24 = 48 UI/dia; 80% = 38 UI/dia; basal ~19 UI + rápida ~6 UI/refeição.</w:t>
            </w:r>
          </w:p>
        </w:tc>
      </w:tr>
    </w:tbl>
    <w:p/>
    <w:p>
      <w:pPr>
        <w:pStyle w:val="Heading1"/>
        <w:keepNext/>
      </w:pPr>
      <w:r>
        <w:t>15. Modelos de prescrição</w:t>
      </w:r>
    </w:p>
    <w:p>
      <w:pPr>
        <w:pStyle w:val="Heading2"/>
        <w:keepNext/>
      </w:pPr>
      <w:r>
        <w:t>15.1. Prescrição inicial - CAD moderada/grave em UTI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2551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Prescrição</w:t>
            </w:r>
          </w:p>
        </w:tc>
        <w:tc>
          <w:tcPr>
            <w:tcW w:type="dxa" w:w="7087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Exemplo adaptável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Monitorização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Monitor cardíaco, oximetria, PA, HGT 1/1h, diurese horária se grave, balanço hídrico.</w:t>
            </w:r>
          </w:p>
        </w:tc>
      </w:tr>
      <w:tr>
        <w:tc>
          <w:tcPr>
            <w:tcW w:type="dxa" w:w="2551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Laboratório</w:t>
            </w:r>
          </w:p>
        </w:tc>
        <w:tc>
          <w:tcPr>
            <w:tcW w:type="dxa" w:w="7087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Gasometria venosa, Na/K/Cl/HCO3, Mg/P, ureia/Cr, cetonas 2/2-4/4h; culturas conforme foco.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Volume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Cristalóide isotônico 500-1000 mL na primeira hora se sem contraindicação; ajustar por volemia/Na/POCUS/diurese.</w:t>
            </w:r>
          </w:p>
        </w:tc>
      </w:tr>
      <w:tr>
        <w:tc>
          <w:tcPr>
            <w:tcW w:type="dxa" w:w="2551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Insulina regular EV</w:t>
            </w:r>
          </w:p>
        </w:tc>
        <w:tc>
          <w:tcPr>
            <w:tcW w:type="dxa" w:w="7087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50 UI em 50 mL SF 0,9% = 1 UI/mL. Iniciar 0,1 UI/kg/h se K &gt;=3,5.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Potássio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 K 3,5-5,0: acrescentar 20-30 mEq/L; se K &lt;3,5: segurar insulina e repor K; se K &gt;5: não repor e monitorar.</w:t>
            </w:r>
          </w:p>
        </w:tc>
      </w:tr>
      <w:tr>
        <w:tc>
          <w:tcPr>
            <w:tcW w:type="dxa" w:w="2551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Dextrose</w:t>
            </w:r>
          </w:p>
        </w:tc>
        <w:tc>
          <w:tcPr>
            <w:tcW w:type="dxa" w:w="7087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Quando glicose &lt;250 mg/dL: iniciar SG 5-10% e reduzir insulina para 0,05 UI/kg/h.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Tromboprofilaxia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HBPM se não contraindicado; CAD/HHS = estado pró-trombótico, especialmente se imobilidade/desidratação.</w:t>
            </w:r>
          </w:p>
        </w:tc>
      </w:tr>
      <w:tr>
        <w:tc>
          <w:tcPr>
            <w:tcW w:type="dxa" w:w="2551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Causa</w:t>
            </w:r>
          </w:p>
        </w:tc>
        <w:tc>
          <w:tcPr>
            <w:tcW w:type="dxa" w:w="7087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Antibiótico se infecção; tratar IAM/AVC/pancreatite; suspender SGLT2; corrigir falha de bomba/adesão.</w:t>
            </w:r>
          </w:p>
        </w:tc>
      </w:tr>
    </w:tbl>
    <w:p/>
    <w:p>
      <w:pPr>
        <w:pStyle w:val="Heading2"/>
        <w:keepNext/>
      </w:pPr>
      <w:r>
        <w:t>15.2. Modelo de transição para paciente DM1, Cr normal, aceitando 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1701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type="dxa" w:w="2835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Basal sugerida</w:t>
            </w:r>
          </w:p>
        </w:tc>
        <w:tc>
          <w:tcPr>
            <w:tcW w:type="dxa" w:w="2835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Rápida antes de refeições</w:t>
            </w:r>
          </w:p>
        </w:tc>
        <w:tc>
          <w:tcPr>
            <w:tcW w:type="dxa" w:w="226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Observação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50 kg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Glargina 12 UI/dia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 UI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Ajustar por ingesta e HGT.</w:t>
            </w:r>
          </w:p>
        </w:tc>
      </w:tr>
      <w:tr>
        <w:tc>
          <w:tcPr>
            <w:tcW w:type="dxa" w:w="1701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60 kg</w:t>
            </w:r>
          </w:p>
        </w:tc>
        <w:tc>
          <w:tcPr>
            <w:tcW w:type="dxa" w:w="2835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Glargina 15 UI/dia</w:t>
            </w:r>
          </w:p>
        </w:tc>
        <w:tc>
          <w:tcPr>
            <w:tcW w:type="dxa" w:w="2835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 UI</w:t>
            </w:r>
          </w:p>
        </w:tc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Boa dose inicial comum.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70 kg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Glargina 18 UI/dia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5-6 UI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Manter EV 1-2h após basal.</w:t>
            </w:r>
          </w:p>
        </w:tc>
      </w:tr>
      <w:tr>
        <w:tc>
          <w:tcPr>
            <w:tcW w:type="dxa" w:w="1701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80 kg</w:t>
            </w:r>
          </w:p>
        </w:tc>
        <w:tc>
          <w:tcPr>
            <w:tcW w:type="dxa" w:w="2835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Glargina 20 UI/dia</w:t>
            </w:r>
          </w:p>
        </w:tc>
        <w:tc>
          <w:tcPr>
            <w:tcW w:type="dxa" w:w="2835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6-7 UI</w:t>
            </w:r>
          </w:p>
        </w:tc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Cuidado se dieta parcial.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2CC"/>
          </w:tcPr>
          <w:p>
            <w:r/>
            <w:r>
              <w:rPr>
                <w:b/>
                <w:color w:val="7F6000"/>
                <w:sz w:val="20"/>
              </w:rPr>
              <w:t>Caso parecido com a dúvida do plantão</w:t>
            </w:r>
          </w:p>
          <w:p>
            <w:pPr>
              <w:spacing w:after="0"/>
            </w:pPr>
            <w:r>
              <w:rPr>
                <w:sz w:val="17"/>
              </w:rPr>
              <w:t>DM1, creatinina ~1, glicemia 100-180, bomba 5 mL/h se 1 UI/mL. Antes de desligar EV, confirmar resolução da CAD. Se peso 60-70 kg e comendo: glargina 15-18 UI agora + lispro/aspart 5-6 UI antes da refeição + manter EV 1-2 h. Não usar a glicose 100-180 como motivo isolado para desligar a bomba.</w:t>
            </w:r>
          </w:p>
        </w:tc>
      </w:tr>
    </w:tbl>
    <w:p/>
    <w:p>
      <w:pPr>
        <w:pStyle w:val="Heading1"/>
        <w:keepNext/>
      </w:pPr>
      <w:r>
        <w:t>16. Escala de correção sugerida</w:t>
      </w:r>
    </w:p>
    <w:p>
      <w:pPr>
        <w:spacing w:after="120"/>
      </w:pPr>
      <w:r>
        <w:rPr>
          <w:b w:val="0"/>
          <w:i w:val="0"/>
        </w:rPr>
        <w:t>A escala deve ser individualizada. Abaixo é um exemplo para adulto sem alto risco de hipoglicemia, após transição para SC. Em idosos, DRC, baixo peso ou ingesta incerta, usar correção mais conservadora.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2835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HGT</w:t>
            </w:r>
          </w:p>
        </w:tc>
        <w:tc>
          <w:tcPr>
            <w:tcW w:type="dxa" w:w="6803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Correção com rápida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&lt;70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Tratar hipoglicemia; reavaliar basal/prandial.</w:t>
            </w:r>
          </w:p>
        </w:tc>
      </w:tr>
      <w:tr>
        <w:tc>
          <w:tcPr>
            <w:tcW w:type="dxa" w:w="2835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70-139</w:t>
            </w:r>
          </w:p>
        </w:tc>
        <w:tc>
          <w:tcPr>
            <w:tcW w:type="dxa" w:w="6803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Sem correção; manter conforme dieta.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140-180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0-1 UI conforme alvo e tendência.</w:t>
            </w:r>
          </w:p>
        </w:tc>
      </w:tr>
      <w:tr>
        <w:tc>
          <w:tcPr>
            <w:tcW w:type="dxa" w:w="2835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181-220</w:t>
            </w:r>
          </w:p>
        </w:tc>
        <w:tc>
          <w:tcPr>
            <w:tcW w:type="dxa" w:w="6803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+2 UI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221-260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+4 UI</w:t>
            </w:r>
          </w:p>
        </w:tc>
      </w:tr>
      <w:tr>
        <w:tc>
          <w:tcPr>
            <w:tcW w:type="dxa" w:w="2835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261-300</w:t>
            </w:r>
          </w:p>
        </w:tc>
        <w:tc>
          <w:tcPr>
            <w:tcW w:type="dxa" w:w="6803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+6 UI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301-350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+8 UI</w:t>
            </w:r>
          </w:p>
        </w:tc>
      </w:tr>
      <w:tr>
        <w:tc>
          <w:tcPr>
            <w:tcW w:type="dxa" w:w="2835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&gt;350</w:t>
            </w:r>
          </w:p>
        </w:tc>
        <w:tc>
          <w:tcPr>
            <w:tcW w:type="dxa" w:w="6803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+10 UI, checar cetona, erro de dose, infecção e considerar contato com equipe sênior.</w:t>
            </w:r>
          </w:p>
        </w:tc>
      </w:tr>
    </w:tbl>
    <w:p/>
    <w:p>
      <w:pPr>
        <w:pStyle w:val="Heading1"/>
        <w:keepNext/>
      </w:pPr>
      <w:r>
        <w:t>17. Complicações durante o tratamento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2551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Complicação</w:t>
            </w:r>
          </w:p>
        </w:tc>
        <w:tc>
          <w:tcPr>
            <w:tcW w:type="dxa" w:w="7087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Prevenção/conduta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Hipoglicemia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HGT 1/1h; adicionar dextrose quando glicose &lt;250; não reduzir insulina a zero antes da resolução.</w:t>
            </w:r>
          </w:p>
        </w:tc>
      </w:tr>
      <w:tr>
        <w:tc>
          <w:tcPr>
            <w:tcW w:type="dxa" w:w="2551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Hipocalemia</w:t>
            </w:r>
          </w:p>
        </w:tc>
        <w:tc>
          <w:tcPr>
            <w:tcW w:type="dxa" w:w="7087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 seriado; repor precocemente; segurar insulina se K &lt;3,5.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Acidose hiperclorêmica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Evitar excesso de SF se possível; considerar cristaloide balanceado; não confundir com CAD persistente.</w:t>
            </w:r>
          </w:p>
        </w:tc>
      </w:tr>
      <w:tr>
        <w:tc>
          <w:tcPr>
            <w:tcW w:type="dxa" w:w="2551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Edema cerebral</w:t>
            </w:r>
          </w:p>
        </w:tc>
        <w:tc>
          <w:tcPr>
            <w:tcW w:type="dxa" w:w="7087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Raro em adultos; suspeitar se cefaleia, queda GCS, vômitos, bradicardia, hipertensão; neuroimagem, manitol/Na hipertônico conforme protocolo.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Sobrecarga volêmica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Cautela em IC/DRC/idoso; POCUS, balanço, oxigenação.</w:t>
            </w:r>
          </w:p>
        </w:tc>
      </w:tr>
      <w:tr>
        <w:tc>
          <w:tcPr>
            <w:tcW w:type="dxa" w:w="2551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Trombose</w:t>
            </w:r>
          </w:p>
        </w:tc>
        <w:tc>
          <w:tcPr>
            <w:tcW w:type="dxa" w:w="7087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Hidratação, mobilização, HBPM profilática se não contraindicado.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IRA/rabdomiólise</w:t>
            </w:r>
          </w:p>
        </w:tc>
        <w:tc>
          <w:tcPr>
            <w:tcW w:type="dxa" w:w="708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Volume, eletrólitos, CK se dor muscular/urina escura/imobilização; ajustar drogas.</w:t>
            </w:r>
          </w:p>
        </w:tc>
      </w:tr>
    </w:tbl>
    <w:p/>
    <w:p>
      <w:pPr>
        <w:pStyle w:val="Heading1"/>
        <w:keepNext/>
      </w:pPr>
      <w:r>
        <w:t>18. Situações especiais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2381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Situação</w:t>
            </w:r>
          </w:p>
        </w:tc>
        <w:tc>
          <w:tcPr>
            <w:tcW w:type="dxa" w:w="7257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Pontos-chave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CAD euglicêmica/SGLT2</w:t>
            </w:r>
          </w:p>
        </w:tc>
        <w:tc>
          <w:tcPr>
            <w:tcW w:type="dxa" w:w="725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Glicose pode estar normal/baixa; suspeitar com acidose + cetose. Suspender SGLT2, iniciar dextrose cedo e manter insulina até fechar cetose.</w:t>
            </w:r>
          </w:p>
        </w:tc>
      </w:tr>
      <w:tr>
        <w:tc>
          <w:tcPr>
            <w:tcW w:type="dxa" w:w="2381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Gestação</w:t>
            </w:r>
          </w:p>
        </w:tc>
        <w:tc>
          <w:tcPr>
            <w:tcW w:type="dxa" w:w="7257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CAD pode ocorrer com glicose menor; risco fetal alto. Manejo em UTI/obstetrícia, correção cuidadosa, monitorização materno-fetal.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DRC terminal/dialítico</w:t>
            </w:r>
          </w:p>
        </w:tc>
        <w:tc>
          <w:tcPr>
            <w:tcW w:type="dxa" w:w="725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Déficit de volume pode ser menor; risco de hipervolemia e hipercalemia. Repor fluidos/K com extrema cautela; acionar nefro.</w:t>
            </w:r>
          </w:p>
        </w:tc>
      </w:tr>
      <w:tr>
        <w:tc>
          <w:tcPr>
            <w:tcW w:type="dxa" w:w="2381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IC/idoso</w:t>
            </w:r>
          </w:p>
        </w:tc>
        <w:tc>
          <w:tcPr>
            <w:tcW w:type="dxa" w:w="7257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Bolus menores, POCUS, monitorização respiratória e hemodinâmica.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Bomba de insulina</w:t>
            </w:r>
          </w:p>
        </w:tc>
        <w:tc>
          <w:tcPr>
            <w:tcW w:type="dxa" w:w="725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Em CAD moderada/grave/UTI, suspender bomba e usar EV; investigar falha de cateter/reservatório.</w:t>
            </w:r>
          </w:p>
        </w:tc>
      </w:tr>
      <w:tr>
        <w:tc>
          <w:tcPr>
            <w:tcW w:type="dxa" w:w="2381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Misto CAD/HHS</w:t>
            </w:r>
          </w:p>
        </w:tc>
        <w:tc>
          <w:tcPr>
            <w:tcW w:type="dxa" w:w="7257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Osmolaridade alta, desidratação profunda, maior risco neurológico/trombótico; corrigir osmolaridade lentamente.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Pediátrico/adolescente</w:t>
            </w:r>
          </w:p>
        </w:tc>
        <w:tc>
          <w:tcPr>
            <w:tcW w:type="dxa" w:w="725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Protocolos pediátricos específicos, maior risco de edema cerebral.</w:t>
            </w:r>
          </w:p>
        </w:tc>
      </w:tr>
    </w:tbl>
    <w:p/>
    <w:p>
      <w:pPr>
        <w:pStyle w:val="Heading1"/>
        <w:keepNext/>
      </w:pPr>
      <w:r>
        <w:t>19. Alta, prevenção de recorrência e educação</w:t>
      </w:r>
    </w:p>
    <w:p>
      <w:pPr>
        <w:pStyle w:val="ListBullet"/>
        <w:spacing w:after="40"/>
      </w:pPr>
      <w:r>
        <w:t>Identificar e documentar claramente o gatilho da CAD.</w:t>
      </w:r>
    </w:p>
    <w:p>
      <w:pPr>
        <w:pStyle w:val="ListBullet"/>
        <w:spacing w:after="40"/>
      </w:pPr>
      <w:r>
        <w:t>Garantir prescrição de insulina basal-bolus, canetas/agulhas/tiras/sensor/cetonas conforme acesso.</w:t>
      </w:r>
    </w:p>
    <w:p>
      <w:pPr>
        <w:pStyle w:val="ListBullet"/>
        <w:spacing w:after="40"/>
      </w:pPr>
      <w:r>
        <w:t>Ensinar regra dos dias de doença: nunca suspender basal no DM1; hidratar; medir glicemia e cetonas; procurar serviço se vômitos, cetonas moderadas/altas, glicemia persistente alta ou mal-estar.</w:t>
      </w:r>
    </w:p>
    <w:p>
      <w:pPr>
        <w:pStyle w:val="ListBullet"/>
        <w:spacing w:after="40"/>
      </w:pPr>
      <w:r>
        <w:t>Checar técnica de aplicação, armazenamento, validade, lipodistrofia e adesão.</w:t>
      </w:r>
    </w:p>
    <w:p>
      <w:pPr>
        <w:pStyle w:val="ListBullet"/>
        <w:spacing w:after="40"/>
      </w:pPr>
      <w:r>
        <w:t>Agendar retorno com endocrinologia/atenção primária em 1-4 semanas; antes se CAD recorrente.</w:t>
      </w:r>
    </w:p>
    <w:p>
      <w:pPr>
        <w:pStyle w:val="ListBullet"/>
        <w:spacing w:after="40"/>
      </w:pPr>
      <w:r>
        <w:t>Avaliar fatores psicossociais, custo/acesso à insulina, depressão, TDAH, transtornos alimentares, uso de álcool/substâncias e suporte familiar.</w:t>
      </w:r>
    </w:p>
    <w:p>
      <w:pPr>
        <w:pStyle w:val="ListBullet"/>
        <w:spacing w:after="40"/>
      </w:pPr>
      <w:r>
        <w:t>Evitar reintroduzir SGLT2 após CAD sem discussão especializada e indicação muito sólida; em DM1, não usar como rotina.</w:t>
      </w:r>
    </w:p>
    <w:p>
      <w:pPr>
        <w:pStyle w:val="Heading1"/>
        <w:keepNext/>
      </w:pPr>
      <w:r>
        <w:t>20. Checklist de beira-leito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226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737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Checklist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0-10 min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ABCDE; monitor; HGT; gaso; cetona; eletrólitos; ECG; acesso; cristalóide; procurar choque/infecção.</w:t>
            </w:r>
          </w:p>
        </w:tc>
      </w:tr>
      <w:tr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10-60 min</w:t>
            </w:r>
          </w:p>
        </w:tc>
        <w:tc>
          <w:tcPr>
            <w:tcW w:type="dxa" w:w="7370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 avaliado; insulina EV se K &gt;=3,5; reposição K; culturas/ATB se foco; diurese; causa.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1-6 h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HGT 1/1h; K/gaso/cetona 2/2-4/4h; queda glicose/cetona; adicionar dextrose se glicose &lt;250.</w:t>
            </w:r>
          </w:p>
        </w:tc>
      </w:tr>
      <w:tr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6-12 h</w:t>
            </w:r>
          </w:p>
        </w:tc>
        <w:tc>
          <w:tcPr>
            <w:tcW w:type="dxa" w:w="7370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Reavaliar resolução; complicações; volume; eletrólitos; dieta se apto; planejar SC.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Transição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Basal SC 1-2h antes de desligar EV; rápida com refeição; manter cobertura 24h.</w:t>
            </w:r>
          </w:p>
        </w:tc>
      </w:tr>
      <w:tr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7370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Educação, insumos, retorno, causa tratada, plano de sick day.</w:t>
            </w:r>
          </w:p>
        </w:tc>
      </w:tr>
    </w:tbl>
    <w:p/>
    <w:p>
      <w:pPr>
        <w:pStyle w:val="Heading1"/>
        <w:keepNext/>
      </w:pPr>
      <w:r>
        <w:t>21. PERLAS TEMI/UTI</w:t>
      </w:r>
    </w:p>
    <w:p>
      <w:pPr>
        <w:pStyle w:val="ListBullet"/>
        <w:spacing w:after="40"/>
      </w:pPr>
      <w:r>
        <w:t>CAD não acabou quando a glicose normalizou; acabou quando a cetose/acidemia resolveram.</w:t>
      </w:r>
    </w:p>
    <w:p>
      <w:pPr>
        <w:pStyle w:val="ListBullet"/>
        <w:spacing w:after="40"/>
      </w:pPr>
      <w:r>
        <w:t>DM1 sem basal é uma bomba-relógio para recidiva de cetose.</w:t>
      </w:r>
    </w:p>
    <w:p>
      <w:pPr>
        <w:pStyle w:val="ListBullet"/>
        <w:spacing w:after="40"/>
      </w:pPr>
      <w:r>
        <w:t>K baixo manda na insulina: se K &lt;3,5, segure insulina e reponha K.</w:t>
      </w:r>
    </w:p>
    <w:p>
      <w:pPr>
        <w:pStyle w:val="ListBullet"/>
        <w:spacing w:after="40"/>
      </w:pPr>
      <w:r>
        <w:t>Se glicose caiu para &lt;250 antes da cetose fechar, coloque dextrose e continue insulina.</w:t>
      </w:r>
    </w:p>
    <w:p>
      <w:pPr>
        <w:pStyle w:val="ListBullet"/>
        <w:spacing w:after="40"/>
      </w:pPr>
      <w:r>
        <w:t>Beta-hidroxibutirato é muito superior à cetonúria para seguir resposta.</w:t>
      </w:r>
    </w:p>
    <w:p>
      <w:pPr>
        <w:pStyle w:val="ListBullet"/>
        <w:spacing w:after="40"/>
      </w:pPr>
      <w:r>
        <w:t>Dor abdominal deve melhorar com correção da CAD; se persistir, procure abdome cirúrgico/pancreatite/isquemia.</w:t>
      </w:r>
    </w:p>
    <w:p>
      <w:pPr>
        <w:pStyle w:val="ListBullet"/>
        <w:spacing w:after="40"/>
      </w:pPr>
      <w:r>
        <w:t>Cuidado com SGLT2: CAD euglicêmica é real e pode enganar.</w:t>
      </w:r>
    </w:p>
    <w:p>
      <w:pPr>
        <w:pStyle w:val="ListBullet"/>
        <w:spacing w:after="40"/>
      </w:pPr>
      <w:r>
        <w:t>Acidose hiperclorêmica pós-SF não é sinônimo de CAD persistente.</w:t>
      </w:r>
    </w:p>
    <w:p>
      <w:r>
        <w:br w:type="page"/>
      </w:r>
    </w:p>
    <w:p>
      <w:pPr>
        <w:pStyle w:val="Heading1"/>
        <w:keepNext/>
      </w:pPr>
      <w:r>
        <w:t>22. Flashcards rápidos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3402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Pergunta</w:t>
            </w:r>
          </w:p>
        </w:tc>
        <w:tc>
          <w:tcPr>
            <w:tcW w:type="dxa" w:w="6236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Resposta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Qual tríade define CAD?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Hiperglicemia/diabetes + cetose + acidose metabólica.</w:t>
            </w:r>
          </w:p>
        </w:tc>
      </w:tr>
      <w:tr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Qual cetona preferir?</w:t>
            </w:r>
          </w:p>
        </w:tc>
        <w:tc>
          <w:tcPr>
            <w:tcW w:type="dxa" w:w="6236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Beta-hidroxibutirato capilar/sérico.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Dose EV padrão?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Insulina regular 0,1 UI/kg/h.</w:t>
            </w:r>
          </w:p>
        </w:tc>
      </w:tr>
      <w:tr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Quando adicionar dextrose?</w:t>
            </w:r>
          </w:p>
        </w:tc>
        <w:tc>
          <w:tcPr>
            <w:tcW w:type="dxa" w:w="6236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Quando glicose &lt;250 mg/dL, mantendo insulina.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Quando segurar insulina?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 &lt;3,5 mEq/L até correção.</w:t>
            </w:r>
          </w:p>
        </w:tc>
      </w:tr>
      <w:tr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Critério de resolução?</w:t>
            </w:r>
          </w:p>
        </w:tc>
        <w:tc>
          <w:tcPr>
            <w:tcW w:type="dxa" w:w="6236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BOHB &lt;0,6 + pH &gt;=7,3 ou HCO3 &gt;=18.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Quando dieta oral?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Paciente alerta, sem vômitos/risco aspiração, metabolicamente estável/resolvido.</w:t>
            </w:r>
          </w:p>
        </w:tc>
      </w:tr>
      <w:tr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Sobreposição EV-SC?</w:t>
            </w:r>
          </w:p>
        </w:tc>
        <w:tc>
          <w:tcPr>
            <w:tcW w:type="dxa" w:w="6236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Basal SC 1-2 h antes de desligar EV; rápida com refeição.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TDD SC inicial?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0,5-0,6 UI/kg/dia; 0,3 se alto risco hipo.</w:t>
            </w:r>
          </w:p>
        </w:tc>
      </w:tr>
      <w:tr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Maior armadilha?</w:t>
            </w:r>
          </w:p>
        </w:tc>
        <w:tc>
          <w:tcPr>
            <w:tcW w:type="dxa" w:w="6236"/>
            <w:vAlign w:val="top"/>
            <w:shd w:fill="F3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Suspender insulina EV por glicose normal antes de fechar cetose.</w:t>
            </w:r>
          </w:p>
        </w:tc>
      </w:tr>
    </w:tbl>
    <w:p/>
    <w:p>
      <w:pPr>
        <w:pStyle w:val="Heading1"/>
        <w:keepNext/>
      </w:pPr>
      <w:r>
        <w:t>23. Referências essenciais</w:t>
      </w:r>
    </w:p>
    <w:p>
      <w:pPr>
        <w:spacing w:after="40"/>
      </w:pPr>
      <w:r>
        <w:rPr>
          <w:sz w:val="16"/>
        </w:rPr>
        <w:t>1. Umpierrez GE, Davis GM, ElSayed NA, et al. Hyperglycemic Crises in Adults With Diabetes: A Consensus Report. Diabetes Care. 2024;47(8):1257-1275.</w:t>
      </w:r>
    </w:p>
    <w:p>
      <w:pPr>
        <w:spacing w:after="40"/>
      </w:pPr>
      <w:r>
        <w:rPr>
          <w:sz w:val="16"/>
        </w:rPr>
        <w:t>2. American Diabetes Association Professional Practice Committee. Standards of Care in Diabetes - 2026. Section 16: Diabetes Care in the Hospital. Diabetes Care. 2026;49(Suppl 1).</w:t>
      </w:r>
    </w:p>
    <w:p>
      <w:pPr>
        <w:spacing w:after="40"/>
      </w:pPr>
      <w:r>
        <w:rPr>
          <w:sz w:val="16"/>
        </w:rPr>
        <w:t>3. Joint British Diabetes Societies for Inpatient Care. The Management of Diabetic Ketoacidosis in Adults. Revised March 2023.</w:t>
      </w:r>
    </w:p>
    <w:p>
      <w:pPr>
        <w:spacing w:after="40"/>
      </w:pPr>
      <w:r>
        <w:rPr>
          <w:sz w:val="16"/>
        </w:rPr>
        <w:t>4. Endotext. Hyperglycemic Crises / Diabetes Mellitus resources. MDText.com, atualizado continuamente.</w:t>
      </w:r>
    </w:p>
    <w:p>
      <w:pPr>
        <w:spacing w:after="40"/>
      </w:pPr>
      <w:r>
        <w:rPr>
          <w:sz w:val="16"/>
        </w:rPr>
        <w:t>5. BMJ Best Practice. Diabetic ketoacidosis. Atualização 2025.</w:t>
      </w:r>
    </w:p>
    <w:p>
      <w:pPr>
        <w:spacing w:after="40"/>
      </w:pPr>
      <w:r>
        <w:rPr>
          <w:sz w:val="16"/>
        </w:rPr>
        <w:t>6. Dhatariya KK, Glaser NS, Codner E, Umpierrez GE. Diabetic ketoacidosis. Nature Reviews Disease Primers. 2020;6:40.</w:t>
      </w:r>
    </w:p>
    <w:p>
      <w:pPr>
        <w:spacing w:after="40"/>
      </w:pPr>
      <w:r>
        <w:rPr>
          <w:color w:val="5A5A5A"/>
          <w:sz w:val="16"/>
        </w:rPr>
        <w:t>Este documento foi estruturado em linguagem original e didática para uso como apoio. Validar diluições, concentrações, velocidade máxima de eletrólitos e fluxos de enfermagem com o protocolo da instituição e a farmácia clínica.</w:t>
      </w:r>
    </w:p>
    <w:p>
      <w:pPr>
        <w:pStyle w:val="Heading1"/>
        <w:keepNext/>
      </w:pPr>
      <w:r>
        <w:t>Anexo A. Prescrição copiável - CAD em UTI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2F2F2"/>
          </w:tcPr>
          <w:p>
            <w:r/>
            <w:r>
              <w:rPr>
                <w:b/>
                <w:color w:val="404040"/>
                <w:sz w:val="20"/>
              </w:rPr>
              <w:t>Modelo copiável</w:t>
            </w:r>
          </w:p>
          <w:p>
            <w:pPr>
              <w:spacing w:after="0"/>
            </w:pPr>
            <w:r>
              <w:rPr>
                <w:sz w:val="17"/>
              </w:rPr>
              <w:t>DIAGNÓSTICO: CETOACIDOSE DIABÉTICA - CAD</w:t>
            </w:r>
          </w:p>
          <w:p>
            <w:pPr>
              <w:spacing w:after="0"/>
            </w:pPr>
            <w:r>
              <w:rPr>
                <w:sz w:val="17"/>
              </w:rPr>
              <w:t>1. Monitorização cardíaca contínua, oximetria, PA seriada, HGT 1/1h.</w:t>
            </w:r>
          </w:p>
          <w:p>
            <w:pPr>
              <w:spacing w:after="0"/>
            </w:pPr>
            <w:r>
              <w:rPr>
                <w:sz w:val="17"/>
              </w:rPr>
              <w:t>2. Acesso venoso calibroso x2; considerar CVC se choque/K grave/vasopressor.</w:t>
            </w:r>
          </w:p>
          <w:p>
            <w:pPr>
              <w:spacing w:after="0"/>
            </w:pPr>
            <w:r>
              <w:rPr>
                <w:sz w:val="17"/>
              </w:rPr>
              <w:t>3. Coletar: gasometria venosa, Na/K/Cl/HCO3, Mg, P, ureia, creatinina, beta-hidroxibutirato/cetonas, hemograma, lactato se choque, culturas se febre/foco, EAS/urocultura, ECG.</w:t>
            </w:r>
          </w:p>
          <w:p>
            <w:pPr>
              <w:spacing w:after="0"/>
            </w:pPr>
            <w:r>
              <w:rPr>
                <w:sz w:val="17"/>
              </w:rPr>
              <w:t>4. Cristalóide isotônico conforme volemia: bolus 500-1000 mL se hipotensão/hipoperfusão; se risco de congestão, bolus 250 mL e reavaliar.</w:t>
            </w:r>
          </w:p>
          <w:p>
            <w:pPr>
              <w:spacing w:after="0"/>
            </w:pPr>
            <w:r>
              <w:rPr>
                <w:sz w:val="17"/>
              </w:rPr>
              <w:t>5. Insulina regular EV: 50 UI em SF 0,9% q.s.p. 50 mL = 1 UI/mL. Iniciar 0,1 UI/kg/h se K &gt;=3,5.</w:t>
            </w:r>
          </w:p>
          <w:p>
            <w:pPr>
              <w:spacing w:after="0"/>
            </w:pPr>
            <w:r>
              <w:rPr>
                <w:sz w:val="17"/>
              </w:rPr>
              <w:t>6. Se K &lt;3,5: segurar insulina e repor potássio com monitorização até K &gt;3,5.</w:t>
            </w:r>
          </w:p>
          <w:p>
            <w:pPr>
              <w:spacing w:after="0"/>
            </w:pPr>
            <w:r>
              <w:rPr>
                <w:sz w:val="17"/>
              </w:rPr>
              <w:t>7. Se glicose &lt;250 mg/dL: iniciar SG 5-10% e reduzir insulina para 0,05 UI/kg/h; manter até resolução da CAD.</w:t>
            </w:r>
          </w:p>
          <w:p>
            <w:pPr>
              <w:spacing w:after="0"/>
            </w:pPr>
            <w:r>
              <w:rPr>
                <w:sz w:val="17"/>
              </w:rPr>
              <w:t>8. Repor K conforme K sérico, função renal e diurese, alvo 4-5 mEq/L.</w:t>
            </w:r>
          </w:p>
          <w:p>
            <w:pPr>
              <w:spacing w:after="0"/>
            </w:pPr>
            <w:r>
              <w:rPr>
                <w:sz w:val="17"/>
              </w:rPr>
              <w:t>9. Tratar causa precipitante: infecção, IAM, AVC, pancreatite, omissão de insulina, SGLT2, falha de bomba.</w:t>
            </w:r>
          </w:p>
          <w:p>
            <w:pPr>
              <w:spacing w:after="0"/>
            </w:pPr>
            <w:r>
              <w:rPr>
                <w:sz w:val="17"/>
              </w:rPr>
              <w:t>10. Transição para SC quando resolvida: basal 1-2h antes de suspender EV + rápida com dieta.</w:t>
            </w:r>
          </w:p>
        </w:tc>
      </w:tr>
    </w:tbl>
    <w:p/>
    <w:p>
      <w:pPr>
        <w:pStyle w:val="Heading1"/>
        <w:keepNext/>
      </w:pPr>
      <w:r>
        <w:t>Anexo B. Algoritmo textual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2F0D9"/>
          </w:tcPr>
          <w:p>
            <w:r/>
            <w:r>
              <w:rPr>
                <w:b/>
                <w:color w:val="375623"/>
                <w:sz w:val="20"/>
              </w:rPr>
              <w:t>Fluxo</w:t>
            </w:r>
          </w:p>
          <w:p>
            <w:pPr>
              <w:spacing w:after="0"/>
            </w:pPr>
            <w:r>
              <w:rPr>
                <w:sz w:val="17"/>
              </w:rPr>
              <w:t>Suspeita de CAD -&gt; HGT + gaso venosa + eletrólitos + BOHB/cetonas.</w:t>
            </w:r>
          </w:p>
          <w:p>
            <w:pPr>
              <w:spacing w:after="0"/>
            </w:pPr>
            <w:r>
              <w:rPr>
                <w:sz w:val="17"/>
              </w:rPr>
              <w:t>Confirmou diabetes/hiperglicemia + cetose + acidose? ABCDE + monitor + volume.</w:t>
            </w:r>
          </w:p>
          <w:p>
            <w:pPr>
              <w:spacing w:after="0"/>
            </w:pPr>
            <w:r>
              <w:rPr>
                <w:sz w:val="17"/>
              </w:rPr>
              <w:t>K &lt;3,5: repor K e segurar insulina. K 3,5-5,0: insulina + K. K &gt;5,0: insulina sem K inicial.</w:t>
            </w:r>
          </w:p>
          <w:p>
            <w:pPr>
              <w:spacing w:after="0"/>
            </w:pPr>
            <w:r>
              <w:rPr>
                <w:sz w:val="17"/>
              </w:rPr>
              <w:t>Insulina regular EV 0,1 UI/kg/h; quando glicose &lt;250, iniciar dextrose e reduzir para 0,05 UI/kg/h.</w:t>
            </w:r>
          </w:p>
          <w:p>
            <w:pPr>
              <w:spacing w:after="0"/>
            </w:pPr>
            <w:r>
              <w:rPr>
                <w:sz w:val="17"/>
              </w:rPr>
              <w:t>Monitorar HGT 1/1h e K/gaso/cetona 2/2-4/4h.</w:t>
            </w:r>
          </w:p>
          <w:p>
            <w:pPr>
              <w:spacing w:after="0"/>
            </w:pPr>
            <w:r>
              <w:rPr>
                <w:sz w:val="17"/>
              </w:rPr>
              <w:t>Resolver CAD: BOHB &lt;0,6 + pH &gt;=7,3 ou HCO3 &gt;=18.</w:t>
            </w:r>
          </w:p>
          <w:p>
            <w:pPr>
              <w:spacing w:after="0"/>
            </w:pPr>
            <w:r>
              <w:rPr>
                <w:sz w:val="17"/>
              </w:rPr>
              <w:t>Dieta se apto -&gt; basal-bolus SC com sobreposição 1-2 h -&gt; alta segura.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79" w:right="879" w:bottom="879" w:left="87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6"/>
      </w:rPr>
      <w:t>Protocolo de CAD na UTI | Abordagem prática baseada em evidências | Maio/2026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80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