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color w:val="1F4E79"/>
          <w:sz w:val="44"/>
        </w:rPr>
        <w:t>PROTOCOLO OPERACIONAL</w:t>
        <w:br/>
        <w:t>IPCS / INFECÇÃO RELACIONADA A CVC</w:t>
      </w:r>
    </w:p>
    <w:p>
      <w:pPr>
        <w:spacing w:after="80" w:line="252" w:lineRule="auto"/>
        <w:jc w:val="center"/>
      </w:pPr>
      <w:r>
        <w:rPr>
          <w:color w:val="44546A"/>
          <w:sz w:val="26"/>
        </w:rPr>
        <w:t>Abordagem completa para UTI, enfermaria, CCIH/SCIRAS e preparação TEMI</w:t>
      </w:r>
    </w:p>
    <w:p>
      <w:pPr>
        <w:spacing w:after="80" w:line="252" w:lineRule="auto"/>
        <w:jc w:val="center"/>
      </w:pPr>
      <w:r>
        <w:rPr>
          <w:b/>
          <w:sz w:val="22"/>
        </w:rPr>
        <w:t>Diagnóstico • Conduta • Indicações de retirada • Antimicrobianos • Complicações • Prevenção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b/>
                <w:sz w:val="20"/>
              </w:rPr>
              <w:t>Como usar este documento no plantão</w:t>
            </w:r>
          </w:p>
          <w:p>
            <w:pPr>
              <w:spacing w:after="0"/>
              <w:ind w:left="113"/>
            </w:pPr>
            <w:r>
              <w:t>• Em paciente com CVC + febre/sepsis sem foco claro: coletar hemoculturas adequadas antes do antibiótico, iniciar cobertura empírica conforme gravidade e acionar decisão de retirar/manter.</w:t>
            </w:r>
          </w:p>
          <w:p>
            <w:pPr>
              <w:spacing w:after="0"/>
              <w:ind w:left="113"/>
            </w:pPr>
            <w:r>
              <w:t>• Em Staphylococcus aureus, Candida, Pseudomonas, micobactéria, sepse grave/choque, endocardite, tromboflebite supurativa, infecção de túnel/bolsa ou hemocultura positiva persistente: pensar em retirada obrigatória do cateter.</w:t>
            </w:r>
          </w:p>
          <w:p>
            <w:pPr>
              <w:spacing w:after="0"/>
              <w:ind w:left="113"/>
            </w:pPr>
            <w:r>
              <w:t>• Em CoNS isolado em um único frasco, paciente estável e sem sinais locais: confirmar antes de remover cateter essencial, evitando retirada desnecessária.</w:t>
            </w:r>
          </w:p>
          <w:p>
            <w:pPr>
              <w:spacing w:after="0"/>
              <w:ind w:left="113"/>
            </w:pPr>
            <w:r>
              <w:t>• Sempre adaptar a antibiótico local, função renal/hepática, peso, foco, alergias, gestação e protocolos do SCIRAS/CCIH.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  <w:jc w:val="center"/>
      </w:pPr>
      <w:r>
        <w:rPr>
          <w:sz w:val="17"/>
        </w:rPr>
        <w:t>Versão: maio/2026 | Base: ANVISA/EBSERH 2025, CDC/NHSN 2026, SHEA/IDSA/APIC 2022, IDSA CRBSI 2009, IDSA Candidíase 2016 e SSC 2021.</w:t>
      </w:r>
    </w:p>
    <w:p>
      <w:pPr>
        <w:spacing w:after="80" w:line="252" w:lineRule="auto"/>
      </w:pPr>
      <w:r>
        <w:br w:type="page"/>
      </w:r>
    </w:p>
    <w:p>
      <w:pPr>
        <w:pStyle w:val="Heading1"/>
        <w:spacing w:after="80" w:line="252" w:lineRule="auto"/>
      </w:pPr>
      <w:r>
        <w:t>Índice operacional</w:t>
      </w:r>
    </w:p>
    <w:p>
      <w:pPr>
        <w:pStyle w:val="ListBullet"/>
        <w:spacing w:after="80" w:line="252" w:lineRule="auto"/>
      </w:pPr>
      <w:r>
        <w:t>1. Conceitos essenciais: IPCS, IPCSL, CLABSI e CRBSI</w:t>
      </w:r>
    </w:p>
    <w:p>
      <w:pPr>
        <w:pStyle w:val="ListBullet"/>
        <w:spacing w:after="80" w:line="252" w:lineRule="auto"/>
      </w:pPr>
      <w:r>
        <w:t>2. Resumo ultra-rápido: conduta em 10 minutos</w:t>
      </w:r>
    </w:p>
    <w:p>
      <w:pPr>
        <w:pStyle w:val="ListBullet"/>
        <w:spacing w:after="80" w:line="252" w:lineRule="auto"/>
      </w:pPr>
      <w:r>
        <w:t>3. Quando suspeitar de infecção relacionada a CVC</w:t>
      </w:r>
    </w:p>
    <w:p>
      <w:pPr>
        <w:pStyle w:val="ListBullet"/>
        <w:spacing w:after="80" w:line="252" w:lineRule="auto"/>
      </w:pPr>
      <w:r>
        <w:t>4. Diagnóstico microbiológico e interpretação das hemoculturas</w:t>
      </w:r>
    </w:p>
    <w:p>
      <w:pPr>
        <w:pStyle w:val="ListBullet"/>
        <w:spacing w:after="80" w:line="252" w:lineRule="auto"/>
      </w:pPr>
      <w:r>
        <w:t>5. Decisão crítica: retirar, trocar, salvar ou observar</w:t>
      </w:r>
    </w:p>
    <w:p>
      <w:pPr>
        <w:pStyle w:val="ListBullet"/>
        <w:spacing w:after="80" w:line="252" w:lineRule="auto"/>
      </w:pPr>
      <w:r>
        <w:t>6. Tratamento empírico na UTI e ajustes por patógeno</w:t>
      </w:r>
    </w:p>
    <w:p>
      <w:pPr>
        <w:pStyle w:val="ListBullet"/>
        <w:spacing w:after="80" w:line="252" w:lineRule="auto"/>
      </w:pPr>
      <w:r>
        <w:t>7. Complicações e investigação de infecção complicada</w:t>
      </w:r>
    </w:p>
    <w:p>
      <w:pPr>
        <w:pStyle w:val="ListBullet"/>
        <w:spacing w:after="80" w:line="252" w:lineRule="auto"/>
      </w:pPr>
      <w:r>
        <w:t>8. Prevenção: bundle de inserção, manutenção e retirada</w:t>
      </w:r>
    </w:p>
    <w:p>
      <w:pPr>
        <w:pStyle w:val="ListBullet"/>
        <w:spacing w:after="80" w:line="252" w:lineRule="auto"/>
      </w:pPr>
      <w:r>
        <w:t>9. IPCS/CCIH: vigilância, indicadores e metas</w:t>
      </w:r>
    </w:p>
    <w:p>
      <w:pPr>
        <w:pStyle w:val="ListBullet"/>
        <w:spacing w:after="80" w:line="252" w:lineRule="auto"/>
      </w:pPr>
      <w:r>
        <w:t>10. Checklists prontos: inserção, manutenção e rounds</w:t>
      </w:r>
    </w:p>
    <w:p>
      <w:pPr>
        <w:pStyle w:val="ListBullet"/>
        <w:spacing w:after="80" w:line="252" w:lineRule="auto"/>
      </w:pPr>
      <w:r>
        <w:t>11. Templates de evolução/prescrição para prontuário</w:t>
      </w:r>
    </w:p>
    <w:p>
      <w:pPr>
        <w:pStyle w:val="ListBullet"/>
        <w:spacing w:after="80" w:line="252" w:lineRule="auto"/>
      </w:pPr>
      <w:r>
        <w:t>12. Pérolas TEMI e referências</w:t>
      </w:r>
    </w:p>
    <w:p>
      <w:pPr>
        <w:pStyle w:val="Heading1"/>
        <w:spacing w:after="80" w:line="252" w:lineRule="auto"/>
      </w:pPr>
      <w:r>
        <w:t>1. Conceitos essenciais: IPCS, IPCSL, CLABSI e CRBSI</w:t>
      </w:r>
    </w:p>
    <w:p>
      <w:pPr>
        <w:spacing w:after="80" w:line="252" w:lineRule="auto"/>
      </w:pPr>
      <w:r>
        <w:rPr>
          <w:b/>
        </w:rPr>
        <w:t xml:space="preserve">Mensagem central: </w:t>
      </w:r>
      <w:r>
        <w:t>nem toda bacteremia em paciente com CVC é causada pelo CVC. O desafio é separar vigilância epidemiológica, diagnóstico clínico e decisão terapêutica.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 prático</w:t>
            </w:r>
          </w:p>
        </w:tc>
        <w:tc>
          <w:tcPr>
            <w:tcW w:type="dxa" w:w="402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 de plantão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IPCS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Infecção primária da corrente sanguínea: bacteremia/fungemia sem foco secundário definido.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 termo frequente nos protocolos brasileiros e em vigilância de IRAS.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IPCSL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IPCS laboratorialmente confirmada.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 de critério microbiológico e exclusão de foco secundário.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CLABSI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Central line-associated bloodstream infection: infecção de corrente sanguínea associada temporalmente a linha central, geralmente para vigilância.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superestimar CRBSI, pois exige associação temporal e ausência de outro foco, não necessariamente prova causal do cateter.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CRBSI / ICSRC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Catheter-related bloodstream infection / infecção de corrente sanguínea relacionada ao cateter.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Termo clínico-terapêutico: exige evidência de que o cateter é fonte, por cultura de ponta, hemocultura quantitativa ou diferencial de tempo de positividade.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Colonização de cateter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Crescimento microbiológico na ponta/segmento sem bacteremia/fungemia clínica.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é sinônimo de IPCS; interpretar com quadro clínico.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Infecção de saída/túnel/bolsa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Sinais locais no óstio, trajeto subcutâneo ou reservatório.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exigir retirada mesmo sem bacteremia, conforme gravidade e tipo de dispositivo.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r/>
            <w:r>
              <w:rPr>
                <w:b/>
                <w:sz w:val="20"/>
              </w:rPr>
              <w:t>Definição operacional útil à beira-leito</w:t>
            </w:r>
          </w:p>
          <w:p>
            <w:pPr>
              <w:spacing w:after="0"/>
              <w:ind w:left="113"/>
            </w:pPr>
            <w:r>
              <w:t>• Suspeitar de IPCS-CVC quando há febre, calafrios, hipotensão, leucocitose/leucopenia, disfunção orgânica nova ou choque sem foco alternativo claro em paciente com cateter venoso central atual ou recente.</w:t>
            </w:r>
          </w:p>
          <w:p>
            <w:pPr>
              <w:spacing w:after="0"/>
              <w:ind w:left="113"/>
            </w:pPr>
            <w:r>
              <w:t>• Para vigilância, muitos protocolos consideram associação quando o paciente estava com CVC no dia do evento ou nas 48 horas anteriores, desde que não haja outro foco primário.</w:t>
            </w:r>
          </w:p>
          <w:p>
            <w:pPr>
              <w:spacing w:after="0"/>
              <w:ind w:left="113"/>
            </w:pPr>
            <w:r>
              <w:t>• Para tratamento, a decisão de retirar depende de gravidade, patógeno, persistência de hemocultura positiva, possibilidade de outro acesso e sinais locais.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2. Código IPCS-CVC: conduta em 10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247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Minuto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572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Detalhe prático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0-2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Reconhecer gravidade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Choque, lactato elevado, DVA, hipoxemia, rebaixamento, pele moteada, oligúria, imunossupressão ou neutropenia = tratar como sepse/choque séptico.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2-4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Procurar foco e avaliar o CVC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Inspecionar óstio, túnel, dor local, secreção, hiperemia, curativo úmido/sujo, manipulações recentes, NPT, hemodiálise, múltiplos lumens.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4-6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Coletar culturas antes do antibiótico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Ideal: 2 pares de hemoculturas periféricas + cultura de cada lúmen suspeito quando possível. Mesmo volume por frasco. Coletar secreção local se houver exsudato.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6-8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Iniciar antimicrobiano empírico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Cobrir MRSA se risco/UTI; cobrir Gram-negativos conforme gravidade e antibiograma local; considerar antifúngico se choque, NPT, colonização por Candida, cirurgia abdominal, imunossupressão ou uso prolongado de ATB.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8-10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Decidir fonte-controle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Retirar CVC se critérios fortes; se instável e CVC é possível fonte, obter novo acesso e remover prontamente.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Após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Reavaliar em 24-72 h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Ajustar por cultura/sensibilidade; repetir hemoculturas até negativar em S. aureus, Candida, Enterococcus, Gram-negativo persistente ou sepse complicada.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</w:tcPr>
          <w:p>
            <w:r/>
            <w:r>
              <w:rPr>
                <w:b/>
                <w:sz w:val="20"/>
              </w:rPr>
              <w:t>Se só der para lembrar de 5 coisas</w:t>
            </w:r>
          </w:p>
          <w:p>
            <w:pPr>
              <w:spacing w:after="0"/>
              <w:ind w:left="113"/>
            </w:pPr>
            <w:r>
              <w:t>• S. aureus em hemocultura nunca deve ser tratado como “contaminação” sem investigação robusta.</w:t>
            </w:r>
          </w:p>
          <w:p>
            <w:pPr>
              <w:spacing w:after="0"/>
              <w:ind w:left="113"/>
            </w:pPr>
            <w:r>
              <w:t>• Candida no sangue = antifúngico sistêmico + avaliar retirada precoce do CVC + fundo de olho conforme protocolo/local e avaliação de complicações.</w:t>
            </w:r>
          </w:p>
          <w:p>
            <w:pPr>
              <w:spacing w:after="0"/>
              <w:ind w:left="113"/>
            </w:pPr>
            <w:r>
              <w:t>• Hemocultura positiva persistente após 72 h de terapia adequada é sinal de alerta para retirar cateter e procurar endocardite/tromboflebite/metástases.</w:t>
            </w:r>
          </w:p>
          <w:p>
            <w:pPr>
              <w:spacing w:after="0"/>
              <w:ind w:left="113"/>
            </w:pPr>
            <w:r>
              <w:t>• Troca por fio-guia é contraindicada quando há suspeita de infecção intraluminal ou sepse atribuível ao cateter; se usado em cenário selecionado, cultivar a ponta.</w:t>
            </w:r>
          </w:p>
          <w:p>
            <w:pPr>
              <w:spacing w:after="0"/>
              <w:ind w:left="113"/>
            </w:pPr>
            <w:r>
              <w:t>• A prevenção real depende mais de manutenção diária impecável do que de uma inserção “bonita” isolada.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3. Quando suspeitar de infecção relacionada a CVC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6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Grau de suspeita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 inicial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Febre/calafrios durante infusão pelo CVC ou logo após manipulação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Coletar culturas periféricas e do lúmen; considerar remover se gravidade/patógeno de alto risco.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Sepse/choque sem foco claro em paciente com CVC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Bundle sepse + culturas + antibiótico empírico + fonte-controle; novo acesso antes de remover se necessário.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Secreção purulenta no óstio, túnel doloroso, hiperemia extensa ou bolsa de port dolorosa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Cultura de secreção + hemoculturas; retirar se túnel/bolsa/instabilidade.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Hemocultura com S. aureus, Candida, P. aeruginosa, micobactéria ou Bacillus persistente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Muito alta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Tratar como patógeno verdadeiro; avaliar retirada obrigatória e investigação de complicações.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Apenas uma hemocultura com Staphylococcus coagulase-negativo em paciente estável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Baixa a intermediária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Repetir culturas antes de antibiótico/retirada se possível; diferenciar contaminação de infecção verdadeira.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Febre no 1º dia pós-punção sem sinais locais e outro foco provável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Variável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remover automaticamente; investigar foco alternativo e acompanhar.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4. Diagnóstico microbiológico e interpretação</w:t>
      </w:r>
    </w:p>
    <w:p>
      <w:pPr>
        <w:pStyle w:val="Heading2"/>
        <w:spacing w:after="80" w:line="252" w:lineRule="auto"/>
      </w:pPr>
      <w:r>
        <w:t>4.1 Como coletar hemoculturas</w:t>
      </w:r>
    </w:p>
    <w:p>
      <w:pPr>
        <w:pStyle w:val="ListBullet"/>
        <w:spacing w:after="80" w:line="252" w:lineRule="auto"/>
      </w:pPr>
      <w:r>
        <w:t>Coletar antes do antimicrobiano sempre que isso não atrasar reanimação e tratamento de choque.</w:t>
      </w:r>
    </w:p>
    <w:p>
      <w:pPr>
        <w:pStyle w:val="ListBullet"/>
        <w:spacing w:after="80" w:line="252" w:lineRule="auto"/>
      </w:pPr>
      <w:r>
        <w:t>Preferir 2 pares periféricos de sítios distintos. Se o paciente tem CVC e há suspeita de fonte intravascular, coletar também de cada lúmen, identificando o lúmen no frasco/pedido.</w:t>
      </w:r>
    </w:p>
    <w:p>
      <w:pPr>
        <w:pStyle w:val="ListBullet"/>
        <w:spacing w:after="80" w:line="252" w:lineRule="auto"/>
      </w:pPr>
      <w:r>
        <w:t>Usar técnica asséptica rigorosa. Contaminação por coleta ruim gera antibiótico desnecessário, retirada indevida de CVC e confusão com CCIH.</w:t>
      </w:r>
    </w:p>
    <w:p>
      <w:pPr>
        <w:pStyle w:val="ListBullet"/>
        <w:spacing w:after="80" w:line="252" w:lineRule="auto"/>
      </w:pPr>
      <w:r>
        <w:t>Volume importa: em adultos, baixo volume reduz sensibilidade. Usar volume recomendado pelo laboratório local, com volumes semelhantes em frascos periférico e do cateter para permitir DTP.</w:t>
      </w:r>
    </w:p>
    <w:p>
      <w:pPr>
        <w:pStyle w:val="ListBullet"/>
        <w:spacing w:after="80" w:line="252" w:lineRule="auto"/>
      </w:pPr>
      <w:r>
        <w:t>Se houver exsudato no óstio, coletar swab para Gram/cultura. Não coletar cultura de ponta de cateter rotineiramente; só quando remover por suspeita de infecção.</w:t>
      </w:r>
    </w:p>
    <w:p>
      <w:pPr>
        <w:pStyle w:val="Heading2"/>
        <w:spacing w:after="80" w:line="252" w:lineRule="auto"/>
      </w:pPr>
      <w:r>
        <w:t>4.2 Critérios que favorecem CRBSI/ICSRC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Interpretação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Mesmo microrganismo em hemocultura periférica e ponta do cateter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Forte evidência se a ponta foi cultivada após retirada por suspeita clínica.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Diferencial de tempo de positividade (DTP) ≥ 2 horas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Hemocultura do cateter positiva pelo menos 2 horas antes da periférica sugere maior inóculo no cateter e favorece fonte intravascular.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Hemocultura quantitativa cateter/periférica com razão elevada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Critério clássico, mas menos disponível na prática.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Múltiplas hemoculturas positivas para o mesmo CoNS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 probabilidade de infecção verdadeira, especialmente com próteses/dispositivos e sinais sistêmicos.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Cultura apenas do cateter positiva com periférica negativa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representar colonização intraluminal; em cenário selecionado pode ser tratado com lock, sobretudo cateter de longa permanência, mas depende de quadro clínico.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r/>
            <w:r>
              <w:rPr>
                <w:b/>
                <w:sz w:val="20"/>
              </w:rPr>
              <w:t>Pegadinha de prova e de UTI</w:t>
            </w:r>
          </w:p>
          <w:p>
            <w:pPr>
              <w:spacing w:after="0"/>
              <w:ind w:left="113"/>
            </w:pPr>
            <w:r>
              <w:t>• CLABSI é métrica de vigilância; CRBSI é diagnóstico clínico-microbiológico mais específico.</w:t>
            </w:r>
          </w:p>
          <w:p>
            <w:pPr>
              <w:spacing w:after="0"/>
              <w:ind w:left="113"/>
            </w:pPr>
            <w:r>
              <w:t>• Sinais locais têm baixa sensibilidade: CVC pode estar infectado sem hiperemia/secretar.</w:t>
            </w:r>
          </w:p>
          <w:p>
            <w:pPr>
              <w:spacing w:after="0"/>
              <w:ind w:left="113"/>
            </w:pPr>
            <w:r>
              <w:t>• Fever alone rarely justifies automático “arranca tudo” em paciente estável, mas choque sem foco + CVC exige fonte-controle agressivo.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5. Decisão crítica: retirar, trocar, salvar ou observar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43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402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Quando fazer</w:t>
            </w:r>
          </w:p>
        </w:tc>
        <w:tc>
          <w:tcPr>
            <w:tcW w:type="dxa" w:w="300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Comentários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RETIRAR imediatamente / assim que houver novo acesso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Choque séptico ou sepse grave com CVC como possível fonte; purulência; infecção de túnel/bolsa; tromboflebite supurativa; endocardite; bacteremia/fungemia persistente ≥72 h apesar de terapia adequada.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Fonte-controle salva vida. Coletar ponta se removido por suspeita.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RETIRAR por patógeno de alto risco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S. aureus, Candida spp., P. aeruginosa, micobactérias; geralmente também Bacillus/Micrococcus/Corynebacterium quando múltiplas culturas positivas e contaminação descartada.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S. aureus e Candida têm alto risco de complicação metastática e falha de salvamento.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RETIRAR CVC de curta permanência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CRBSI por Gram-negativos, S. aureus, Enterococcus, fungos ou micobactérias.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 cateter curto, o custo-benefício favorece remover.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TENTAR SALVAR cateter de longa permanência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 ou patógenos menos virulentos, paciente estável, sem sepse, sem túnel/bolsa, acesso difícil e hemoculturas clareando.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terapia sistêmica + antibiotic lock; repetir hemoculturas. Remover se persistir positivo em 72 h.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TROCAR por fio-guia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Apenas em situações muito selecionadas, sem suspeita de infecção intraluminal, alto risco mecânico para nova punção ou cateter inserido em emergência sem assepsia adequada.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ponta do cateter antigo crescer significativamente, remover o novo cateter e puncionar novo sítio.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OBSERVAR/recoletar antes de remover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Paciente estável, única cultura com CoNS, sem sinais locais, sem prótese/dispositivo, outro foco provável.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 retirada desnecessária; mas documentar raciocínio e reavaliar.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CCCC"/>
          </w:tcPr>
          <w:p>
            <w:r/>
            <w:r>
              <w:rPr>
                <w:b/>
                <w:sz w:val="20"/>
              </w:rPr>
              <w:t>Regra vermelho-amarelo-verde para plantão</w:t>
            </w:r>
          </w:p>
          <w:p>
            <w:pPr>
              <w:spacing w:after="0"/>
              <w:ind w:left="113"/>
            </w:pPr>
            <w:r>
              <w:t>• VERMELHO = retirar: choque, S. aureus, Candida, Pseudomonas, micobactéria, túnel/bolsa, endocardite, tromboflebite, culturas positivas persistentes.</w:t>
            </w:r>
          </w:p>
          <w:p>
            <w:pPr>
              <w:spacing w:after="0"/>
              <w:ind w:left="113"/>
            </w:pPr>
            <w:r>
              <w:t>• AMARELO = individualizar: Gram-negativo em cateter longo com acesso difícil e resposta rápida; Enterococcus; imunossupressão; múltiplas comorbidades.</w:t>
            </w:r>
          </w:p>
          <w:p>
            <w:pPr>
              <w:spacing w:after="0"/>
              <w:ind w:left="113"/>
            </w:pPr>
            <w:r>
              <w:t>• VERDE = pode confirmar antes: CoNS único, paciente estável, sem hardware, sem sinais locais e CVC essencial.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6. Tratamento antimicrobiano: empírico e dirigido</w:t>
      </w:r>
    </w:p>
    <w:p>
      <w:pPr>
        <w:pStyle w:val="Heading2"/>
        <w:spacing w:after="80" w:line="252" w:lineRule="auto"/>
      </w:pPr>
      <w:r>
        <w:t>6.1 Tratamento empírico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66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Perfil clínico</w:t>
            </w:r>
          </w:p>
        </w:tc>
        <w:tc>
          <w:tcPr>
            <w:tcW w:type="dxa" w:w="402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Cobertura sugerida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Paciente grave/choque séptico ou UTI com risco de MRSA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Vancomicina dose de ataque 20-25 mg/kg, depois AUC/MIC 400-600; considerar daptomicina se falha/intolerância/alto MIC ou bacteremia persistente.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Linezolida não é primeira escolha empírica para suspeita de CRBSI com bacteremia.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 de Gram-negativo/Pseudomonas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Cefepime 2 g 8/8 h ou piperacilina-tazobactam 4,5 g 6/6 h ou meropenem 1-2 g 8/8 h, conforme perfil local.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 choque, neutropenia ou colonização por MDR, considerar dupla cobertura inicial até antibiograma.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 alto de Candida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Equinocandina: micafungina 100 mg/dia, anidulafungina 200 mg ataque depois 100 mg/dia, ou caspofungina 70 mg ataque depois 50 mg/dia.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Risco: NPT, cirurgia abdominal, pancreatite, colonização multifocal, ATB prolongado, imunossupressão, hemodiálise, Candida em cultura.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Paciente estável, baixo risco MDR e foco alternativo provável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Coletar culturas e individualizar antibiótico; evitar ampliar sem necessidade.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Stewardship: reavaliar em 24-48 h e descalonar.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b/>
        </w:rPr>
        <w:t xml:space="preserve">Ajustes obrigatórios: </w:t>
      </w:r>
      <w:r>
        <w:t>função renal, peso real/ajustado, diálise, ECMO, hipoalbuminemia, MIC, níveis séricos, alergias e antibiograma institucional. Em choque, priorizar dose de ataque e infusão estendida de beta-lactâmico quando protocolo local permitir.</w:t>
      </w:r>
    </w:p>
    <w:p>
      <w:pPr>
        <w:pStyle w:val="Heading2"/>
        <w:spacing w:after="80" w:line="252" w:lineRule="auto"/>
      </w:pPr>
      <w:r>
        <w:t>6.2 Tratamento dirigido por patógeno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Patógeno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Conduta sobre cateter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Antimicrobiano preferencial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Duração usual se não complicada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Staphylococcus aureus MSSA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Retirar CVC; novo cateter após hemoculturas negativas se possível.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Oxacilina 2 g 4/4 h ou cefazolina 2 g 8/8 h.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Mínimo 14 dias apenas se critérios estritos de não complicada; caso contrário 4-6 semanas.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Staphylococcus aureus MRSA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Retirar CVC; investigar endocardite/metástases.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Vancomicina AUC guiada ou daptomicina 8-10 mg/kg/dia em bacteremia/alto risco, conforme infectologia/local.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Mínimo 14 dias se não complicada; 4-6 semanas se complicada.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Staphylococcus coagulase-negativo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Remover se CVC curto ou instabilidade; pode salvar CVC longo se estável.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Vancomicina se MR-CoNS provável; ajustar por sensibilidade.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5-7 dias se cateter removido; 10-14 dias + lock se retido.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Enterococcus faecalis/faecium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Remover CVC curto; CVC longo se sepse, túnel/bolsa, persistência, endocardite/metástase.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Ampicilina se sensível; vancomicina se amp-R/Vanco-S; linezolida ou daptomicina se VRE conforme MIC/sensibilidade.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7-14 dias se não complicada.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Gram-negativos entéricos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Remover CVC curto; CVC longo individualizar, remover se sepse/persistência.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Ceftriaxona/cefepime/pip-tazo/carbapenem conforme espécie, ESBL e antibiograma.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7-14 dias; menor se controle adequado e resposta rápida, conforme contexto.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Pseudomonas aeruginosa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Geralmente retirar, especialmente CVC longo/curto com bacteremia.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Cefepime, ceftazidima, pip-tazo, meropenem ou ceftolozano-tazobactam/ceftazidima-avibactam conforme sensibilidade.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10-14 dias; prolongar se complicada.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Candida spp.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Retirar CVC precocemente se fonte presumida e seguro.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Equinocandina inicial; step-down para fluconazol se estável, espécie sensível e culturas negativas.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 dias após primeira hemocultura negativa e resolução dos sintomas; investigar complicações.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Bacillus, Corynebacterium, Micrococcus, Cutibacterium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Confirmar com ≥2 culturas; retirar se infecção verdadeira, CVC curto ou dispositivo infectado.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Vancomicina frequentemente até identificação/sensibilidade.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Geralmente 7-14 dias; individualizar.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Micobactéria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Retirar.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Esquema específico por espécie, com infectologia.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Prolongada e individualizada.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r/>
            <w:r>
              <w:rPr>
                <w:b/>
                <w:sz w:val="20"/>
              </w:rPr>
              <w:t>Critérios estritos para S. aureus “não complicada”</w:t>
            </w:r>
          </w:p>
          <w:p>
            <w:pPr>
              <w:spacing w:after="0"/>
              <w:ind w:left="113"/>
            </w:pPr>
            <w:r>
              <w:t>• Cateter removido.</w:t>
            </w:r>
          </w:p>
          <w:p>
            <w:pPr>
              <w:spacing w:after="0"/>
              <w:ind w:left="113"/>
            </w:pPr>
            <w:r>
              <w:t>• Hemoculturas negativam em até 72 h.</w:t>
            </w:r>
          </w:p>
          <w:p>
            <w:pPr>
              <w:spacing w:after="0"/>
              <w:ind w:left="113"/>
            </w:pPr>
            <w:r>
              <w:t>• Sem endocardite no ecocardiograma adequado; TEE se considerar curso curto.</w:t>
            </w:r>
          </w:p>
          <w:p>
            <w:pPr>
              <w:spacing w:after="0"/>
              <w:ind w:left="113"/>
            </w:pPr>
            <w:r>
              <w:t>• Sem prótese intravascular, marca-passo, CDI, enxerto vascular recente ou material infectável relevante.</w:t>
            </w:r>
          </w:p>
          <w:p>
            <w:pPr>
              <w:spacing w:after="0"/>
              <w:ind w:left="113"/>
            </w:pPr>
            <w:r>
              <w:t>• Paciente não imunossuprimido/neutropênico e, de forma clássica, não diabético para considerar 14 dias nas recomendações antigas.</w:t>
            </w:r>
          </w:p>
          <w:p>
            <w:pPr>
              <w:spacing w:after="0"/>
              <w:ind w:left="113"/>
            </w:pPr>
            <w:r>
              <w:t>• Sem tromboflebite supurativa, osteomielite, abscesso, dor focal persistente ou sinais de infecção metastática.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6.3 Antibiotic lock therapy: quando pensar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23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Indicação</w:t>
            </w:r>
          </w:p>
        </w:tc>
        <w:tc>
          <w:tcPr>
            <w:tcW w:type="dxa" w:w="362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Como usar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Não usar / cuidado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CVC de longa permanência essencial, infecção intraluminal provável, paciente estável, sem túnel/bolsa, por CoNS ou alguns Gram-negativos sensíveis.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Sempre associar antibiótico sistêmico; dwell geralmente até 24-48 h conforme protocolo; duração típica 10-14 dias.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usar como monoterapia em CRBSI com bacteremia sistêmica, exceto colonização intraluminal muito selecionada com periférica negativa.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Hemodiálise com cateter tunelizado e acesso limitado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ser estratégia de salvamento em patógenos selecionados; renovar após sessões conforme protocolo de nefrologia/CCIH.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salvamento em S. aureus, Candida, Pseudomonas, sepse, túnel, persistência ou complicações.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7. Complicações: o que procurar ativamente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Complicação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Quando suspeitar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Exame/conduta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Endocardite infecciosa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S. aureus, Candida, Enterococcus, bacteremia persistente, prótese valvar, marca-passo/CDI, sopro novo, embolia.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Ecocardiograma; TEE se alta suspeita, S. aureus com curso curto, prótese/dispositivo ou TTE negativo mas suspeita alta.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Tromboflebite supurativa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Hemocultura positiva persistente &gt;72 h, dor/edema no trajeto, trombose, febre persistente sem foco.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 Doppler/TC; retirar cateter; antibiótico 3-4 semanas ou mais; cirurgia se purulência superficial/falha.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Infecção metastática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Dor lombar/articular, déficit neurológico, cefaleia, dor focal, abscessos, embolias.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Imagem direcionada: RM coluna, TC, US, punção, avaliação ortopédica/neuro conforme sintomas.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Candidemia complicada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Persistência, ocular, SNC, endocardite, hepatosplênica, imunossupressão.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Hemoculturas seriadas; avaliação oftalmológica conforme protocolo; eco se persistente/dispositivo.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Choque séptico e disfunção orgânica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Lactato elevado, DVA, oligúria, hipoxemia, rebaixamento.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Bundle sepse, antibiótico precoce, fonte-controle, ressuscitação, vasopressor, UTI.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Perda de acesso venoso/trombose/estenose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Múltiplas punções, DRC, cateter de hemodiálise, PICC em DRC.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Planejar acesso com US, preservar veias para FAV, envolver nefro/radiologia vascular.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8. Prevenção de IPCS associada a CVC</w:t>
      </w:r>
    </w:p>
    <w:p>
      <w:pPr>
        <w:pStyle w:val="Heading2"/>
        <w:spacing w:after="80" w:line="252" w:lineRule="auto"/>
      </w:pPr>
      <w:r>
        <w:t>8.1 Antes de inserir</w:t>
      </w:r>
    </w:p>
    <w:p>
      <w:pPr>
        <w:pStyle w:val="ListBullet"/>
        <w:spacing w:after="80" w:line="252" w:lineRule="auto"/>
      </w:pPr>
      <w:r>
        <w:t>Confirmar indicação real: DVA/choque, infusão irritante/hiperosmolar, ausência de acesso periférico, monitorização específica, hemodiálise/CRRT, NPT, necessidade de múltiplas drogas incompatíveis.</w:t>
      </w:r>
    </w:p>
    <w:p>
      <w:pPr>
        <w:pStyle w:val="ListBullet"/>
        <w:spacing w:after="80" w:line="252" w:lineRule="auto"/>
      </w:pPr>
      <w:r>
        <w:t>Evitar CVC “por conveniência”. Todo CVC deve ter uma justificativa diária.</w:t>
      </w:r>
    </w:p>
    <w:p>
      <w:pPr>
        <w:pStyle w:val="ListBullet"/>
        <w:spacing w:after="80" w:line="252" w:lineRule="auto"/>
      </w:pPr>
      <w:r>
        <w:t>Escolher sítio considerando risco infeccioso, trombótico e mecânico: em adultos, preferir subclávia quando apropriado para reduzir infecção, mas ponderar pneumotórax, coagulopatia e DRC; evitar femoral rotineiro se alternativas seguras.</w:t>
      </w:r>
    </w:p>
    <w:p>
      <w:pPr>
        <w:pStyle w:val="ListBullet"/>
        <w:spacing w:after="80" w:line="252" w:lineRule="auto"/>
      </w:pPr>
      <w:r>
        <w:t>Usar ultrassom para reduzir complicações mecânicas e múltiplas tentativas.</w:t>
      </w:r>
    </w:p>
    <w:p>
      <w:pPr>
        <w:pStyle w:val="ListBullet"/>
        <w:spacing w:after="80" w:line="252" w:lineRule="auto"/>
      </w:pPr>
      <w:r>
        <w:t>Preparar kit completo e checklist com observador empoderado para interromper quebra de técnica.</w:t>
      </w:r>
    </w:p>
    <w:p>
      <w:pPr>
        <w:pStyle w:val="Heading2"/>
        <w:spacing w:after="80" w:line="252" w:lineRule="auto"/>
      </w:pPr>
      <w:r>
        <w:t>8.2 Bundle de inserção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087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Como fazer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Higiene das mãos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Antes de tocar material/cateter; preparação alcoólica 60-80% ou água e sabonete se mãos sujas/contaminadas.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Barreira estéril máxima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Gorro, máscara, óculos/face shield conforme risco, avental estéril de manga longa, luvas estéreis e campo amplo da cabeça aos pés.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Antissepsia de pele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Clorexidina alcoólica 2% como primeira opção; fricção vai-e-vem por pelo menos 30 s; femoral pode exigir 2 min; deixar secar espontaneamente.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Escolha do sítio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femoral de rotina; avaliar subclávia vs jugular vs femoral conforme risco individual.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Técnica e US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Operador treinado; limitar tentativas; US guiado quando disponível.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Curativo inicial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Cobertura estéril; transparente se sem sangramento/sudorese; gaze nas primeiras 24 h ou se sangramento/sudorese/drenagem.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Radiografia/US pós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Confirmar posição e excluir complicações conforme sítio, técnica e protocolo local.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8.3 Bundle de manutenção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 diário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Padrão de segurança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Revisar necessidade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Pergunta obrigatória no round: “Este CVC ainda é necessário hoje?” Se não, retirar.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Higienizar mãos antes/depois de manipular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Inclui equipos, extensores, torneirinhas, conectores sem agulha e bombas.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Scrub the hub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Desinfetar hubs/conectores antes de cada acesso por pelo menos 5 segundos ou conforme produto/protocolo; aguardar secagem.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Curativo limpo, seco, aderido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Trocar imediatamente se úmido, sujo, solto, sangramento/drenagem ou pele comprometida.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Troca de curativo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Transparente estéril: pelo menos a cada 7 dias; gaze + filme: no máximo a cada 2 dias ou antes se necessário.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Sistema fechado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desconexões; evitar torneirinhas desnecessárias; datar equipos e linhas; retirar lumens sem uso.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Banho e proteção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Proteger inserção/conexões com material impermeável durante banho; não submergir.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NPT e lipídios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Lúmen dedicado se possível; troca de equipo conforme protocolo local; manipulação asséptica rígida.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D3"/>
          </w:tcPr>
          <w:p>
            <w:r/>
            <w:r>
              <w:rPr>
                <w:b/>
                <w:sz w:val="20"/>
              </w:rPr>
              <w:t>Critérios diários para manter CVC</w:t>
            </w:r>
          </w:p>
          <w:p>
            <w:pPr>
              <w:spacing w:after="0"/>
              <w:ind w:left="113"/>
            </w:pPr>
            <w:r>
              <w:t>• DVA/vasopressor ou necessidade de infusão central.</w:t>
            </w:r>
          </w:p>
          <w:p>
            <w:pPr>
              <w:spacing w:after="0"/>
              <w:ind w:left="113"/>
            </w:pPr>
            <w:r>
              <w:t>• Acesso venoso periférico inadequado apesar de tentativa razoável.</w:t>
            </w:r>
          </w:p>
          <w:p>
            <w:pPr>
              <w:spacing w:after="0"/>
              <w:ind w:left="113"/>
            </w:pPr>
            <w:r>
              <w:t>• Terapia vesicante/hiperosmolar ou NPT.</w:t>
            </w:r>
          </w:p>
          <w:p>
            <w:pPr>
              <w:spacing w:after="0"/>
              <w:ind w:left="113"/>
            </w:pPr>
            <w:r>
              <w:t>• Hemodiálise/CRRT/plasmaférese.</w:t>
            </w:r>
          </w:p>
          <w:p>
            <w:pPr>
              <w:spacing w:after="0"/>
              <w:ind w:left="113"/>
            </w:pPr>
            <w:r>
              <w:t>• Necessidade de múltiplas infusões incompatíveis sem alternativa segura.</w:t>
            </w:r>
          </w:p>
          <w:p>
            <w:pPr>
              <w:spacing w:after="0"/>
              <w:ind w:left="113"/>
            </w:pPr>
            <w:r>
              <w:t>• Monitorização hemodinâmica específica quando realmente muda conduta.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9. IPCS/CCIH: vigilância, indicadores e metas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Fórmula/uso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prática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Densidade de incidência de IPCS/CLABSI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Número de eventos ÷ número de cateter-dia × 1000.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Redução sustentada; comparar por unidade, perfil e risco.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Cateter-dia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Contagem diária de pacientes com CVC em determinado setor.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subnotificação e acompanhar exposição ao risco.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Taxa de utilização de CVC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Cateter-dia ÷ paciente-dia.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utilização com baixa indicação sugere oportunidade de retirada precoce.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Adesão ao bundle de inserção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% de inserções com todos os itens conformes.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 ideal ≥95%.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Adesão ao checklist de manutenção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% de dias com necessidade revisada, curativo adequado, hubs desinfectados e HM conforme.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 ideal ≥95%.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 de permanência do CVC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Dias do dispositivo até retirada.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permanência desnecessária.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b/>
        </w:rPr>
        <w:t xml:space="preserve">Observação: </w:t>
      </w:r>
      <w:r>
        <w:t>o objetivo da vigilância não é “culpar o cateterista”, mas encontrar falhas de sistema: indicação excessiva, manutenção ruim, falta de materiais, curativo inadequado, cultura contaminada, higiene de mãos baixa e demora na retirada.</w:t>
      </w:r>
    </w:p>
    <w:p>
      <w:pPr>
        <w:pStyle w:val="Heading1"/>
        <w:spacing w:after="80" w:line="252" w:lineRule="auto"/>
      </w:pPr>
      <w:r>
        <w:t>10. Checklists prontos para copiar/adaptar</w:t>
      </w:r>
    </w:p>
    <w:p>
      <w:pPr>
        <w:pStyle w:val="Heading2"/>
        <w:spacing w:after="80" w:line="252" w:lineRule="auto"/>
      </w:pPr>
      <w:r>
        <w:t>10.1 Checklist de inserção de CVC</w:t>
      </w:r>
    </w:p>
    <w:p>
      <w:pPr>
        <w:pStyle w:val="ListBullet"/>
        <w:spacing w:after="80" w:line="252" w:lineRule="auto"/>
      </w:pPr>
      <w:r>
        <w:t>[ ] Indicação documentada e sítio escolhido com justificativa.</w:t>
      </w:r>
    </w:p>
    <w:p>
      <w:pPr>
        <w:pStyle w:val="ListBullet"/>
        <w:spacing w:after="80" w:line="252" w:lineRule="auto"/>
      </w:pPr>
      <w:r>
        <w:t>[ ] Higiene das mãos realizada; sem adornos.</w:t>
      </w:r>
    </w:p>
    <w:p>
      <w:pPr>
        <w:pStyle w:val="ListBullet"/>
        <w:spacing w:after="80" w:line="252" w:lineRule="auto"/>
      </w:pPr>
      <w:r>
        <w:t>[ ] Barreira estéril máxima completa para todos no campo.</w:t>
      </w:r>
    </w:p>
    <w:p>
      <w:pPr>
        <w:pStyle w:val="ListBullet"/>
        <w:spacing w:after="80" w:line="252" w:lineRule="auto"/>
      </w:pPr>
      <w:r>
        <w:t>[ ] Pele limpa; antissepsia com clorexidina alcoólica 2%; secagem espontânea.</w:t>
      </w:r>
    </w:p>
    <w:p>
      <w:pPr>
        <w:pStyle w:val="ListBullet"/>
        <w:spacing w:after="80" w:line="252" w:lineRule="auto"/>
      </w:pPr>
      <w:r>
        <w:t>[ ] Ultrassom utilizado quando disponível/indicado.</w:t>
      </w:r>
    </w:p>
    <w:p>
      <w:pPr>
        <w:pStyle w:val="ListBullet"/>
        <w:spacing w:after="80" w:line="252" w:lineRule="auto"/>
      </w:pPr>
      <w:r>
        <w:t>[ ] Número de tentativas registrado; operador trocado se múltiplas tentativas.</w:t>
      </w:r>
    </w:p>
    <w:p>
      <w:pPr>
        <w:pStyle w:val="ListBullet"/>
        <w:spacing w:after="80" w:line="252" w:lineRule="auto"/>
      </w:pPr>
      <w:r>
        <w:t>[ ] Curativo estéril aplicado e datado.</w:t>
      </w:r>
    </w:p>
    <w:p>
      <w:pPr>
        <w:pStyle w:val="ListBullet"/>
        <w:spacing w:after="80" w:line="252" w:lineRule="auto"/>
      </w:pPr>
      <w:r>
        <w:t>[ ] Posição/complicações avaliadas; lúmens identificados; necessidade de manutenção revisada.</w:t>
      </w:r>
    </w:p>
    <w:p>
      <w:pPr>
        <w:pStyle w:val="Heading2"/>
        <w:spacing w:after="80" w:line="252" w:lineRule="auto"/>
      </w:pPr>
      <w:r>
        <w:t>10.2 Checklist de manutenção diária</w:t>
      </w:r>
    </w:p>
    <w:p>
      <w:pPr>
        <w:pStyle w:val="ListBullet"/>
        <w:spacing w:after="80" w:line="252" w:lineRule="auto"/>
      </w:pPr>
      <w:r>
        <w:t>[ ] CVC ainda necessário hoje? Se não, prescrever retirada.</w:t>
      </w:r>
    </w:p>
    <w:p>
      <w:pPr>
        <w:pStyle w:val="ListBullet"/>
        <w:spacing w:after="80" w:line="252" w:lineRule="auto"/>
      </w:pPr>
      <w:r>
        <w:t>[ ] Curativo limpo, seco, aderido e datado.</w:t>
      </w:r>
    </w:p>
    <w:p>
      <w:pPr>
        <w:pStyle w:val="ListBullet"/>
        <w:spacing w:after="80" w:line="252" w:lineRule="auto"/>
      </w:pPr>
      <w:r>
        <w:t>[ ] Inserção sem rubor, dor, edema, secreção ou túnel doloroso.</w:t>
      </w:r>
    </w:p>
    <w:p>
      <w:pPr>
        <w:pStyle w:val="ListBullet"/>
        <w:spacing w:after="80" w:line="252" w:lineRule="auto"/>
      </w:pPr>
      <w:r>
        <w:t>[ ] Hubs/conectores desinfectados antes de cada manipulação.</w:t>
      </w:r>
    </w:p>
    <w:p>
      <w:pPr>
        <w:pStyle w:val="ListBullet"/>
        <w:spacing w:after="80" w:line="252" w:lineRule="auto"/>
      </w:pPr>
      <w:r>
        <w:t>[ ] Lúmens sem uso removidos/ocluídos conforme protocolo; sistema fechado preservado.</w:t>
      </w:r>
    </w:p>
    <w:p>
      <w:pPr>
        <w:pStyle w:val="ListBullet"/>
        <w:spacing w:after="80" w:line="252" w:lineRule="auto"/>
      </w:pPr>
      <w:r>
        <w:t>[ ] Equipos datados e trocados conforme rotina.</w:t>
      </w:r>
    </w:p>
    <w:p>
      <w:pPr>
        <w:pStyle w:val="ListBullet"/>
        <w:spacing w:after="80" w:line="252" w:lineRule="auto"/>
      </w:pPr>
      <w:r>
        <w:t>[ ] NPT/lipídios em lúmen dedicado se possível.</w:t>
      </w:r>
    </w:p>
    <w:p>
      <w:pPr>
        <w:pStyle w:val="ListBullet"/>
        <w:spacing w:after="80" w:line="252" w:lineRule="auto"/>
      </w:pPr>
      <w:r>
        <w:t>[ ] Eventos de febre/calafrios após manipulação registrados e comunicados.</w:t>
      </w:r>
    </w:p>
    <w:p>
      <w:pPr>
        <w:pStyle w:val="Heading1"/>
        <w:spacing w:after="80" w:line="252" w:lineRule="auto"/>
      </w:pPr>
      <w:r>
        <w:t>11. Templates de evolução e prescrição</w:t>
      </w:r>
    </w:p>
    <w:p>
      <w:pPr>
        <w:pStyle w:val="Heading2"/>
        <w:spacing w:after="80" w:line="252" w:lineRule="auto"/>
      </w:pPr>
      <w:r>
        <w:t>11.1 Evolução médica – suspeita de IPCS-CVC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b/>
                <w:sz w:val="20"/>
              </w:rPr>
              <w:t>Modelo copiável</w:t>
            </w:r>
          </w:p>
          <w:p>
            <w:pPr>
              <w:spacing w:after="0"/>
              <w:ind w:left="113"/>
            </w:pPr>
            <w:r>
              <w:t>• Paciente com CVC em [sítio/data], evolui com [febre/calafrios/hipotensão/lactato/disfunção]. Sem foco alternativo evidente após avaliação inicial / foco alternativo: [descrever].</w:t>
            </w:r>
          </w:p>
          <w:p>
            <w:pPr>
              <w:spacing w:after="0"/>
              <w:ind w:left="113"/>
            </w:pPr>
            <w:r>
              <w:t>• CVC: curativo [limpo/sujo/úmido], óstio [sem alterações/com rubor/secreção], túnel [doloroso/não], manipulação recente [sim/não], NPT/hemodiálise [sim/não].</w:t>
            </w:r>
          </w:p>
          <w:p>
            <w:pPr>
              <w:spacing w:after="0"/>
              <w:ind w:left="113"/>
            </w:pPr>
            <w:r>
              <w:t>• Conduta: coletadas hemoculturas [periféricas: sim/não; lúmens: quais], cultura de secreção se presente, iniciada antibioticoterapia empírica [esquema] após culturas, com ajuste por função renal.</w:t>
            </w:r>
          </w:p>
          <w:p>
            <w:pPr>
              <w:spacing w:after="0"/>
              <w:ind w:left="113"/>
            </w:pPr>
            <w:r>
              <w:t>• Decisão sobre cateter: [retirar/trocar/manter com vigilância] devido a [choque/S. aureus/Candida/persistência/acesso difícil/estabilidade]. Novo acesso [obtido/planejado].</w:t>
            </w:r>
          </w:p>
          <w:p>
            <w:pPr>
              <w:spacing w:after="0"/>
              <w:ind w:left="113"/>
            </w:pPr>
            <w:r>
              <w:t>• Plano: reavaliar culturas em 24-48 h, repetir hemoculturas se S. aureus/Candida/persistência, pesquisar complicações se febre/bacteremia &gt;72 h ou sinais focais.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11.2 Prescrição/ordens sugeridas</w:t>
      </w:r>
    </w:p>
    <w:p>
      <w:pPr>
        <w:pStyle w:val="ListBullet"/>
        <w:spacing w:after="80" w:line="252" w:lineRule="auto"/>
      </w:pPr>
      <w:r>
        <w:t>Coletar 2 pares de hemoculturas periféricas + hemocultura de cada lúmen do CVC identificado, antes do antibiótico, se não atrasar terapia.</w:t>
      </w:r>
    </w:p>
    <w:p>
      <w:pPr>
        <w:pStyle w:val="ListBullet"/>
        <w:spacing w:after="80" w:line="252" w:lineRule="auto"/>
      </w:pPr>
      <w:r>
        <w:t>Se secreção em óstio: Gram/cultura de secreção. Se retirar cateter por suspeita: enviar ponta para cultura sem contaminar.</w:t>
      </w:r>
    </w:p>
    <w:p>
      <w:pPr>
        <w:pStyle w:val="ListBullet"/>
        <w:spacing w:after="80" w:line="252" w:lineRule="auto"/>
      </w:pPr>
      <w:r>
        <w:t>Iniciar antimicrobiano empírico conforme gravidade e antibiograma local; ajustar dose por função renal/diálise/peso.</w:t>
      </w:r>
    </w:p>
    <w:p>
      <w:pPr>
        <w:pStyle w:val="ListBullet"/>
        <w:spacing w:after="80" w:line="252" w:lineRule="auto"/>
      </w:pPr>
      <w:r>
        <w:t>Solicitar retirada de CVC após obtenção de novo acesso se critério vermelho.</w:t>
      </w:r>
    </w:p>
    <w:p>
      <w:pPr>
        <w:pStyle w:val="ListBullet"/>
        <w:spacing w:after="80" w:line="252" w:lineRule="auto"/>
      </w:pPr>
      <w:r>
        <w:t>Repetir hemoculturas em 24-48 h até negativação em S. aureus, Candida, Enterococcus, Gram-negativo persistente ou paciente instável.</w:t>
      </w:r>
    </w:p>
    <w:p>
      <w:pPr>
        <w:pStyle w:val="ListBullet"/>
        <w:spacing w:after="80" w:line="252" w:lineRule="auto"/>
      </w:pPr>
      <w:r>
        <w:t>Acionar CCIH/SCIRAS/Infectologia em S. aureus, Candida, MDR, bacteremia persistente, endocardite/tromboflebite ou dúvida de salvamento.</w:t>
      </w:r>
    </w:p>
    <w:p>
      <w:pPr>
        <w:pStyle w:val="Heading1"/>
        <w:spacing w:after="80" w:line="252" w:lineRule="auto"/>
      </w:pPr>
      <w:r>
        <w:t>12. Pérolas TEMI e erros fatais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Pérola/erro</w:t>
            </w:r>
          </w:p>
        </w:tc>
        <w:tc>
          <w:tcPr>
            <w:tcW w:type="dxa" w:w="640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 fatal: tratar S. aureus como contaminante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S. aureus em sangue exige busca ativa de fonte, retirada do cateter quando relacionado, hemoculturas de controle e avaliação de endocardite/complicações.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 fatal: candidemia sem antifúngico porque “melhorou após tirar o cateter”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Candidemia exige tratamento sistêmico, controle de fonte e duração após clearance.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 fatal: trocar por fio-guia cateter possivelmente infectado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semear o novo cateter; usar apenas em situações excepcionais e sem suspeita intraluminal.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Pegadinha: CoNS único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ser contaminação; confirmar com novas culturas se paciente estável.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Pegadinha: febre sem foco na UTI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remover todos os cateteres automaticamente; mas choque ou patógeno de alto risco muda totalmente a decisão.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Ponto de prova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 1 da terapia em CRBSI é o primeiro dia de hemocultura negativa, não o dia em que iniciou antibiótico.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13. Base bibliográfica essencial</w:t>
      </w:r>
    </w:p>
    <w:p>
      <w:pPr>
        <w:pStyle w:val="ListBullet"/>
        <w:spacing w:after="80" w:line="252" w:lineRule="auto"/>
      </w:pPr>
      <w:r>
        <w:t>ANVISA/EBSERH. Modelo de Protocolo: Prevenção de Infecção Primária da Corrente Sanguínea associada a dispositivo de acesso vascular. Versão 1. Brasília, 2025.</w:t>
      </w:r>
    </w:p>
    <w:p>
      <w:pPr>
        <w:pStyle w:val="ListBullet"/>
        <w:spacing w:after="80" w:line="252" w:lineRule="auto"/>
      </w:pPr>
      <w:r>
        <w:t>CDC/NHSN. Bloodstream Infection Event (Central Line-Associated Bloodstream Infection and Non-central Line Associated Bloodstream Infection). Patient Safety Component Manual, January 2026.</w:t>
      </w:r>
    </w:p>
    <w:p>
      <w:pPr>
        <w:pStyle w:val="ListBullet"/>
        <w:spacing w:after="80" w:line="252" w:lineRule="auto"/>
      </w:pPr>
      <w:r>
        <w:t>Buetti N, et al. Strategies to prevent central line-associated bloodstream infections in acute-care hospitals: 2022 Update. Infection Control &amp; Hospital Epidemiology. 2022;43(5):553-569. DOI: 10.1017/ice.2022.87.</w:t>
      </w:r>
    </w:p>
    <w:p>
      <w:pPr>
        <w:pStyle w:val="ListBullet"/>
        <w:spacing w:after="80" w:line="252" w:lineRule="auto"/>
      </w:pPr>
      <w:r>
        <w:t>Mermel LA, et al. Clinical Practice Guidelines for the Diagnosis and Management of Intravascular Catheter-Related Infection: 2009 Update by IDSA. Clinical Infectious Diseases. 2009;49(1):1-45. DOI: 10.1086/599376. Observação: diretriz oficial IDSA consta como arquivada/em atualização, mas segue sendo referência clássica para manejo CRBSI.</w:t>
      </w:r>
    </w:p>
    <w:p>
      <w:pPr>
        <w:pStyle w:val="ListBullet"/>
        <w:spacing w:after="80" w:line="252" w:lineRule="auto"/>
      </w:pPr>
      <w:r>
        <w:t>Pappas PG, et al. Clinical Practice Guideline for the Management of Candidiasis: 2016 Update by IDSA. Clinical Infectious Diseases. 2016;62(4):e1-e50. DOI: 10.1093/cid/civ933.</w:t>
      </w:r>
    </w:p>
    <w:p>
      <w:pPr>
        <w:pStyle w:val="ListBullet"/>
        <w:spacing w:after="80" w:line="252" w:lineRule="auto"/>
      </w:pPr>
      <w:r>
        <w:t>Evans L, et al. Surviving Sepsis Campaign: International Guidelines for Management of Sepsis and Septic Shock 2021. Intensive Care Medicine / Critical Care Medicine. 2021.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r/>
            <w:r>
              <w:rPr>
                <w:b/>
                <w:sz w:val="20"/>
              </w:rPr>
              <w:t>Nota final para implantação institucional</w:t>
            </w:r>
          </w:p>
          <w:p>
            <w:pPr>
              <w:spacing w:after="0"/>
              <w:ind w:left="113"/>
            </w:pPr>
            <w:r>
              <w:t>• Este documento deve ser adaptado ao antibiograma local, disponibilidade de laboratório, padronização de antissépticos, rotina de troca de equipos/curativos e fluxos do SCIRAS/CCIH.</w:t>
            </w:r>
          </w:p>
          <w:p>
            <w:pPr>
              <w:spacing w:after="0"/>
              <w:ind w:left="113"/>
            </w:pPr>
            <w:r>
              <w:t>• A versão ideal para hospital inclui: checklist impresso, auditoria semanal, feedback mensal por unidade, treinamento de coleta de hemocultura e protocolo claro de retirada precoce.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IPCS/CVC na UTI | Protocolo operacional para plantão, CCIH/SCIRAS e TEMI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IPCS CVC UTI TEMI</dc:title>
  <dc:subject>Infecção primária de corrente sanguínea associada a CVC</dc:subject>
  <dc:creator>ChatGPT</dc:creator>
  <cp:keywords>IPCS, CVC, CLABSI, CRBSI, UTI, TEMI</cp:keywords>
  <dc:description>Documento educacional; adaptar aos protocolos locais.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