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Trials Temi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4"/>
          <w:szCs w:val="24"/>
          <w:rFonts w:ascii="Times New Roman" w:cs="Times New Roman" w:eastAsia="Times New Roman" w:hAnsi="Times New Roman"/>
        </w:rPr>
        <w:t xml:space="preserve">Para a </w:t>
      </w:r>
      <w:r>
        <w:rPr>
          <w:b/>
          <w:bCs/>
          <w:color w:val="222222"/>
          <w:sz w:val="24"/>
          <w:szCs w:val="24"/>
          <w:rFonts w:ascii="Times New Roman" w:cs="Times New Roman" w:eastAsia="Times New Roman" w:hAnsi="Times New Roman"/>
        </w:rPr>
        <w:t xml:space="preserve">Prova de Título em Terapia Intensiva (AMIB/ABIM)</w:t>
      </w:r>
      <w:r>
        <w:rPr>
          <w:b w:val="false"/>
          <w:bCs w:val="false"/>
          <w:i w:val="false"/>
          <w:iCs w:val="false"/>
          <w:color w:val="222222"/>
          <w:sz w:val="24"/>
          <w:szCs w:val="24"/>
          <w:rFonts w:ascii="Times New Roman" w:cs="Times New Roman" w:eastAsia="Times New Roman" w:hAnsi="Times New Roman"/>
        </w:rPr>
        <w:t xml:space="preserve">, a banca não cobra apenas a memorização de trials, mas sim a </w:t>
      </w:r>
      <w:r>
        <w:rPr>
          <w:b/>
          <w:bCs/>
          <w:color w:val="222222"/>
          <w:sz w:val="24"/>
          <w:szCs w:val="24"/>
          <w:rFonts w:ascii="Times New Roman" w:cs="Times New Roman" w:eastAsia="Times New Roman" w:hAnsi="Times New Roman"/>
        </w:rPr>
        <w:t xml:space="preserve">capacidade de aplicar a evidência ao manejo clínico</w:t>
      </w:r>
      <w:r>
        <w:rPr>
          <w:b w:val="false"/>
          <w:bCs w:val="false"/>
          <w:i w:val="false"/>
          <w:iCs w:val="false"/>
          <w:color w:val="222222"/>
          <w:sz w:val="24"/>
          <w:szCs w:val="24"/>
          <w:rFonts w:ascii="Times New Roman" w:cs="Times New Roman" w:eastAsia="Times New Roman" w:hAnsi="Times New Roman"/>
        </w:rPr>
        <w:t xml:space="preserve">. A prova frequentemente apresenta cenários que exigem a escolha da conduta baseada nos estudos que fundamentam as diretrizes atuais (Surviving Sepsis, KDIGO, ESICM, SCCM, Brain Trauma Foundation, etc.).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4"/>
          <w:szCs w:val="24"/>
          <w:rFonts w:ascii="Times New Roman" w:cs="Times New Roman" w:eastAsia="Times New Roman" w:hAnsi="Times New Roman"/>
        </w:rPr>
        <w:t xml:space="preserve">Abaixo, listo os </w:t>
      </w:r>
      <w:r>
        <w:rPr>
          <w:b/>
          <w:bCs/>
          <w:color w:val="222222"/>
          <w:sz w:val="24"/>
          <w:szCs w:val="24"/>
          <w:rFonts w:ascii="Times New Roman" w:cs="Times New Roman" w:eastAsia="Times New Roman" w:hAnsi="Times New Roman"/>
        </w:rPr>
        <w:t xml:space="preserve">trials mais cobrados e clinicamente relevantes</w:t>
      </w:r>
      <w:r>
        <w:rPr>
          <w:b w:val="false"/>
          <w:bCs w:val="false"/>
          <w:i w:val="false"/>
          <w:iCs w:val="false"/>
          <w:color w:val="222222"/>
          <w:sz w:val="24"/>
          <w:szCs w:val="24"/>
          <w:rFonts w:ascii="Times New Roman" w:cs="Times New Roman" w:eastAsia="Times New Roman" w:hAnsi="Times New Roman"/>
        </w:rPr>
        <w:t xml:space="preserve">, organizados por eixo temático, com ano, pergunta central, resultado principal e </w:t>
      </w:r>
      <w:r>
        <w:rPr>
          <w:b/>
          <w:bCs/>
          <w:color w:val="222222"/>
          <w:sz w:val="24"/>
          <w:szCs w:val="24"/>
          <w:rFonts w:ascii="Times New Roman" w:cs="Times New Roman" w:eastAsia="Times New Roman" w:hAnsi="Times New Roman"/>
        </w:rPr>
        <w:t xml:space="preserve">como a prova costuma explorar</w:t>
      </w:r>
      <w:r>
        <w:rPr>
          <w:b w:val="false"/>
          <w:bCs w:val="false"/>
          <w:i w:val="false"/>
          <w:iCs w:val="false"/>
          <w:color w:val="222222"/>
          <w:sz w:val="24"/>
          <w:szCs w:val="24"/>
          <w:rFonts w:ascii="Times New Roman" w:cs="Times New Roman" w:eastAsia="Times New Roman" w:hAnsi="Times New Roman"/>
        </w:rPr>
        <w:t xml:space="preserve">.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🔴 SEPSE &amp; CHOQUE SÉPTICO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Trial (Ano)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Pergunta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Resultado Principal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Relevância para a Prova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ProCESS (2014)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ARISE (2014)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, </w:t>
            </w: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ProMISe (2015)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EGDT precoce vs cuidado usual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Nenhuma redução de mortalidade com protocolo rígido de EGDT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Abandonou a obrigatoriedade do protocolo EGDT clássico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A prova cobra ressuscitação individualizada e precoce, sem exigência de CVC ou SvO2 rotineiros.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ANDROMEDA-SHOCK (2019)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Tempo de enchimento capilar (TEC) vs lactato para guiar ressuscitação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TEC-guiado reduziu mortalidade em 28d e teve desfechos secundários favoráveis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Muda o foco para </w:t>
            </w: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perfusão periférica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A prova valoriza TEC + lactato como estratégia complementar, não excludente.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SEPSISPAM (2014)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Alvo de PAM 65-70 vs 80-85 mmHg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diferença na mortalidade global. Subgrupo com HAS prévia beneficiou-se de PAM mais alta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PAM alvo individualizado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A prova cobra 65 mmHg como padrão, mas 75-85 em hipertensos crônicos ou com lesão renal aguda.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VASST (2010)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Vasopressina + NE vs NE isolada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diferença na mortalidade 28d. Redução de dose de NE e menos arritmias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Vasopressina como </w:t>
            </w: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adjuvante em choque refratário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 (dose fixa 0.03 U/min). Prova cobra indicação após NE &gt;0.25-0.5 µg/kg/min.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ADRENAL (2018) / APROCCHSS (2018)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Corticoide em choque séptico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ADRENAL: sem mortalidade, mas reversão mais rápida do choque. APROCCHSS: ↓ mortalidade 90d com hidrocortisona + fludrocortisona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Indicação de corticoide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: choque séptico com necessidade de vasopressor por &gt;4-6h ou dose moderada-alta. Prova cobra associação com fludrocortisona quando possível.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CENSER (2021)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Noradrenalina precoce (&lt;1h) vs padrão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Menor tempo para atingir PAM alvo, mais dias livres de VM, tendência a ↓ mortalidade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Reforça </w:t>
            </w: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início precoce de vasopressor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 (até por via periférica) sem aguardar CVC.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CLASSIC (2022)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Hipotensão permissiva (PAM 60-65) vs padrão (≥65) nas primeiras 24h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diferença na mortalidade; menor uso de vasopressor no grupo permissivo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Não recomenda hipotensão permissiva rotineira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mantém alvo ≥65 mmHg, exceto em contextos muito selecionados.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PROWESS-SHOCK (2012)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Drotrecogina alfa (Protein C ativada)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benefício, ↑ sangramento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Retirada do mercado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conhecimento histórico e contraindicação formal.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🫁 SDRA &amp; VENTILAÇÃO MECÂNICA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Trial (Ano)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Pergunta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Resultado Principal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Relevância para a Prova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ARDSNet (2000)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Vt 6 vs 12 mL/kg (PBW)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↓ mortalidade absoluta em 9% com Vt baixo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Base da VM protetora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cálculo de PBW, Vt ≤6-8 mL/kg e Platô ≤30 cmH₂O.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PROSEVA (2013)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Decúbito ventral ≥16h vs padrão em SDRA grave (PaO₂/FiO₂ &lt;150)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↓ mortalidade 28d e 90d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Padrão-ouro para SDRA moderada-grave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indicação precoce, tempo mínimo e contraindicações relativas.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ROSE (2019)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Bloqueio neuromuscular precoce vs sedação leve + ventilação sincronizada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benefício na mortalidade ou desfechos funcionais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BNM não é rotina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uso apenas para dessincronia grave, platô elevado ou ECMO, com monitorização de profundidade.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ACURASYS (2010)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 + </w:t>
            </w:r>
            <w:r>
              <w:rPr>
                <w:i/>
                <w:i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Follow-up 2019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Cisatracúrio precoce em SDRA grave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↑ dias livres de VM inicialmente, mas </w:t>
            </w: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benefício de mortalidade em longo prazo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Não recomendado rotineiramente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conhecimento do desfecho negativo no acompanhamento.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FACTT (2006)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Estratégia conservadora vs liberal de fluidos após resolução do choque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Mais dias livres de VM e melhora na função pulmonar; sem diferença na mortalidade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Restrição hídrica após estabilização hemodinâmica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balanço hídrico negativo ou neutro na fase proliferativa.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OSCILLATE (2013) / OSCAR (2013)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VOF alta vs VM convencional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OSCILLATE: ↑ mortalidade. OSCAR: sem benefício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HFOV abandonada na SDRA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conhecimento de que não há indicação de rotina.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EPVENT2 (2019)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PEEP guiado por pressão esofágica vs tabela ARDSNet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benefício primário; sinais de benefício em subgrupos com colapsabilidade alta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Técnica avançada, não rotina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indicação em SDRA refratário ou obesidade mórbida, com ressalvas.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💧 HEMODINÂMICA, FLUIDOS &amp; METABOLISMO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Trial (Ano)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Pergunta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Resultado Principal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Relevância para a Prova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SAFE (2004)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Albumina 4% vs SF 0,9%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diferença na mortalidade geral; seguro. Subgrupo sepse: tendência de benefício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Albumina segura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, indicada em hipoalbuminemia grave + grande volume de cristaloide. Prova não cobra uso isolado inicial.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CHEST (2012) / 6S (2012)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HES 6% vs SF / HES 130/0.4 vs Ringer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↑ IRA, ↑ necessidade de TRS, ↑ mortalidade (6S)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HES contraindicada em pacientes críticos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toxicidade renal e coagulopatia.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SMART (2018) / SALT-ED (2018)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Cristaloide balanceado vs SF 0,9%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↓ eventos adversos maiores (MAE), ↓ IRA grave com balanceados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Mudou a prática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: balanceados como primeira linha. Prova cobra preferência por Ringer Lactato/Plasmalyte.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CLOVERS (2023) / PLUS (2022)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Balanceado vs SF em sepse/UTI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diferença na mortalidade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Confirma segurança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, mas tendência prática mantém balanceados. Prova não penaliza SF em situações específicas (ex: hiponatremia, TCE).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NICE-SUGAR (2009)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Glicemia alvo 81-108 vs &lt;180 mg/dL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↑ mortalidade no grupo intensivo; mais hipoglicemias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Alvo 140-180 mg/dL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evitar hipoglicemia e não usar protocolos rígidos &lt;110.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FEVER (2015)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Paracetamol vs placebo para febre na UTI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benefício na mortalidade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Tratar febre por conforto, não para sobrevida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que antitérmicos não mudam desfecho duro.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🫘 IRA &amp; TERAPIA RENAL SUBSTITUTIVA (TRS)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Trial (Ano)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Pergunta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Resultado Principal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Relevância para a Prova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ATN (2008) / RENAL (2009)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Dose intensiva (35-45 mL/kg/h) vs padrão (20-25)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diferença na mortalidade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Dose padrão é suficiente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20-25 mL/kg/h (efetiva) e descontinuação precoce quando há recuperação.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AKIKI (2016) / IDEAL-ICU (2018)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TRS precoce vs estratégia atrasada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benefício na mortalidade com início precoce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Iniciar por indicação clássica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 (refratariedade, hipercalemia, acidose grave, sobrecarga), não por biomarcadores isolados.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STARRT-AKI (2020)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Aceleração (biomarcadores + clínica) vs padrão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benefício na mortalidade; ↑ complicações (hipotensão, trombocitopenia)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Refirma conduta baseada em indicações clínicas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penaliza início "preventivo" por NGAL/KIM-1.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BICAR-ICU (2018)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Bicarbonato de sódio vs placebo em IRA + acidose metabólica grave (pH ≤7.20)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diferença na mortalidade; ↓ necessidade de TRS no subgrupo com IRA estádio 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Indicação seletiva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uso em acidose grave refratária ou hipercalemia, não de rotina.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IVOIRE (2013)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Hemofiltração de alto volume em choque séptico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benefício na mortalidade ou reversão do choque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Não recomendado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conhecimento do resultado negativo.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🧠 NEUROCRÍTICO, SEDÇÃO, ANALGESIA &amp; DELIRIUM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Trial (Ano)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Pergunta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Resultado Principal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Relevância para a Prova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Kress (2000)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Interrupção diária de sedação vs contínua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↓ dias de VM, ↓ tempo na UTI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Base do "sedation holiday"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associação com SBT e uso de escalas (RASS/SAS).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Girard / CCS (2008)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Despertar diário + teste de respiração espontânea vs cuidado usual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↓ mortalidade, ↑ dias livres de VM e alta hospitalar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Protocolo ABCDEF/CCS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integração sedação-VM-mobilização.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MIND-USA (2018) / SPICE III (2019)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Dexmedetomidina vs midazolam/propofol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diferença em dias livres de coma ou delirium no desfecho primário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Dex não é superior rotineiramente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indica preferir propofol ou dex em ventilação não invasiva ou agitação, mas midazolam segue opção em crises/epilepsia.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PROTECT (2011)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Compressão pneumática intermitente vs heparina profilática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Taxas similares de TVP; menos sangramento com compressão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CIP segura, mas heparina/ENOX superior em desfechos globais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prefere farmacológico salvo contraindicação formal.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DECRA (2011) / RESCUE-ICP (2016)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Craniectomia descompressiva vs tratamento médico na PIC refratária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↓ mortalidade, mas </w:t>
            </w: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pior desfecho funcional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 (mais sequelas graves)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Decisão compartilhada/família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que reduz morte, mas não melhora sobrevida com boa qualidade.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INTERACT2 (2013) / ATACH-2 (2016)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Controle intensivo da PA (&lt;140) vs padrão (140-180) na HIC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INTERACT2: melhor função; ATACH-2: sem benefício, mais IRA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Alvo 140 mmHg é seguro e pode melhorar função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controle gradual, evitar hipotensão.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🫀 PÓS-PARADA CARDÍACA &amp; OXIGENAÇÃO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Trial (Ano)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Pergunta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Resultado Principal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Relevância para a Prova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TTM (2013)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Alvo 33°C vs 36°C pós-PCR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diferença na mortalidade ou neurologia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Desmistificou 33°C como obrigatório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TTM2 (2021)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33°C vs normotermia ativa/prevenção de febre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diferença na mortalidade ou função neurológica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Foco em evitar febre (&gt;37.7°C)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, não em hipotermia profunda. Prova cobra controle estrito de temperatura, não protocolo rígido de 33°C.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COACT (2019)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Angiografia imediata vs tardia em PCR não-choqueável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diferença na sobrevida ou função neurológica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Cateterismo guiado por suspeita clínica/ECG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, não rotineiro em não-SCA.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ICU-ROX (2019) / HOT-ICU (2021) / PRECISE (2023)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Oxigênio conservador vs liberal/personalizado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Sem diferença na mortalidade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Evitar hiperóxia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. Prova cobra SpO₂ 90-96% ou PaO₂ 60-100 mmHg, não &gt;100% rotineiro.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🩸 ECMO &amp; TERAPIAS ADJUVANTES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00"/>
          <w:bottom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Trial (Ano)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Pergunta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Resultado Principal</w:t>
            </w:r>
          </w:p>
        </w:tc>
        <w:tc>
          <w:tcPr>
            <w:shd w:fill="e7e6e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Relevância para a Prova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CESAR (2009)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ECMO vs convencional em SDRA grave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↑ sobrevida sem incapacidade grave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Estudo pioneiro, mas limitações metodológicas. Prova cobra conhecimento histórico e critérios de seleção.</w:t>
            </w:r>
          </w:p>
        </w:tc>
      </w:tr>
      <w:tr>
        <w:trPr>
          <w:tblHeader w:val="false"/>
        </w:trP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EOLIA (2018)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ECMO precoce vs convencional em SDRA muito grave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Tendência a ↓ mortalidade (p=0.09), mais dias sem VM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before="100" w:after="100"/>
              <w:jc w:val="left"/>
            </w:pPr>
            <w:r>
              <w:rPr>
                <w:b/>
                <w:bCs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Influenciou diretrizes</w:t>
            </w:r>
            <w:r>
              <w:rPr>
                <w:b w:val="false"/>
                <w:bCs w:val="false"/>
                <w:i w:val="false"/>
                <w:iCs w:val="false"/>
                <w:color w:val="222222"/>
                <w:sz w:val="24"/>
                <w:szCs w:val="24"/>
                <w:rFonts w:ascii="Times New Roman" w:cs="Times New Roman" w:eastAsia="Times New Roman" w:hAnsi="Times New Roman"/>
              </w:rPr>
              <w:t xml:space="preserve">: ECMO como resgate em SDRA refratário. Prova indica quando Vt baixo, PEEP alta, ventral falham.</w:t>
            </w:r>
          </w:p>
        </w:tc>
      </w:tr>
    </w:tbl>
    <w:p/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📌 COMO A BANCA COBRA ESSES TRIALS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Cenários clínicos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: "Paciente com SDRA grave, PaO₂/FiO₂ 80, plateau 28 cmH₂O. Próxima conduta?" → Resposta: </w:t>
      </w:r>
      <w:r>
        <w:rPr>
          <w:b/>
          <w:bCs/>
          <w:rFonts w:ascii="Times New Roman" w:cs="Times New Roman" w:eastAsia="Times New Roman" w:hAnsi="Times New Roman"/>
        </w:rPr>
        <w:t xml:space="preserve">Decúbito ventral ≥16h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(PROSEVA).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Condutas abandonadas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: Questões sobre EGDT rígido, HFOV, BNM rotineiro, HES, glicemia &lt;110, TRS precoce por biomarcadores são </w:t>
      </w:r>
      <w:r>
        <w:rPr>
          <w:b/>
          <w:bCs/>
          <w:rFonts w:ascii="Times New Roman" w:cs="Times New Roman" w:eastAsia="Times New Roman" w:hAnsi="Times New Roman"/>
        </w:rPr>
        <w:t xml:space="preserve">distratores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Individualização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: PAM alvo em hipertenso, uso de corticoide após 4-6h de vasopressor, evitar hipotermia profunda pós-PCR, balanceados como primeira linha.</w:t>
      </w:r>
    </w:p>
    <w:p>
      <w:pPr>
        <w:pStyle w:val="ListParagraph"/>
        <w:numPr>
          <w:ilvl w:val="0"/>
          <w:numId w:val="2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Integração com diretrizes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: A prova segue </w:t>
      </w:r>
      <w:r>
        <w:rPr>
          <w:b/>
          <w:bCs/>
          <w:rFonts w:ascii="Times New Roman" w:cs="Times New Roman" w:eastAsia="Times New Roman" w:hAnsi="Times New Roman"/>
        </w:rPr>
        <w:t xml:space="preserve">SSC 2021, KDIGO 2024, ESICM/ATS 2023-2025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 Trials são a base, mas a diretriz sintetiza a recomendação.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📚 FONTES OFICIAIS PARA REVISÃO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Surviving Sepsis Campaign (2021)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+ atualizações 2023/2024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KDIGO AKI Guidelines (2024)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ESICM Clinical Practice Guidelines (VM, Sedação, ECMO, Oxigênio)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SCCM PADIS Guidelines (2018) + atualizações SPICE III/MIND-USA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AMIB Diretrizes Brasileiras de Terapia Intensiva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UpToDate / DynaMed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(para resumos rápidos de trials)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Livro: "Terapia Intensiva" (AMIB/Editora Atheneu)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→ capítulos com boxes de evidência</w:t>
      </w:r>
    </w:p>
    <w:p/>
    <w:p>
      <w:pPr>
        <w:pBdr>
          <w:bottom w:val="single" w:color="auto" w:sz="6" w:space="1"/>
        </w:pBdr>
      </w:pPr>
    </w:p>
    <w:p>
      <w:pPr>
        <w:spacing w:after="200"/>
      </w:pPr>
    </w:p>
    <w:p/>
    <w:p>
      <w:pPr>
        <w:spacing w:after="150"/>
      </w:pPr>
      <w:r>
        <w:rPr>
          <w:b/>
          <w:bCs/>
          <w:i w:val="false"/>
          <w:iCs w:val="false"/>
          <w:color w:val="222222"/>
          <w:sz w:val="32"/>
          <w:szCs w:val="32"/>
          <w:rFonts w:ascii="Times New Roman" w:cs="Times New Roman" w:eastAsia="Times New Roman" w:hAnsi="Times New Roman"/>
        </w:rPr>
        <w:t xml:space="preserve">✅ DICA FINAL DE ESTUDO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Não decore p-valores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 Foque em: </w:t>
      </w:r>
      <w:r>
        <w:rPr>
          <w:i/>
          <w:iCs/>
          <w:rFonts w:ascii="Times New Roman" w:cs="Times New Roman" w:eastAsia="Times New Roman" w:hAnsi="Times New Roman"/>
        </w:rPr>
        <w:t xml:space="preserve">pergunta clínica, resultado principal, mudança de prática, contraindicações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Faça questões comentadas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da AMIB/ABIM e cursos preparatórios (CETI, AMIB Online, Intensivo, Medcel, etc.).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Monte tabelas por eixo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com: Trial | Indicação | Contraindicação | Desfecho | Diretriz atual.</w:t>
      </w:r>
    </w:p>
    <w:p>
      <w:pPr>
        <w:pStyle w:val="ListParagraph"/>
        <w:numPr>
          <w:ilvl w:val="0"/>
          <w:numId w:val="1"/>
        </w:numPr>
        <w:spacing w:after="100"/>
        <w:ind w:left="0"/>
      </w:pPr>
      <w:r>
        <w:rPr>
          <w:b/>
          <w:bCs/>
          <w:rFonts w:ascii="Times New Roman" w:cs="Times New Roman" w:eastAsia="Times New Roman" w:hAnsi="Times New Roman"/>
        </w:rPr>
        <w:t xml:space="preserve">Revise os "negativos"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 (HFOV, HES, EGDT rígido, BNM rotineiro, TRS precoce, hipotermia obrigatória) → a banca adora cobrar o que </w:t>
      </w:r>
      <w:r>
        <w:rPr>
          <w:b/>
          <w:bCs/>
          <w:rFonts w:ascii="Times New Roman" w:cs="Times New Roman" w:eastAsia="Times New Roman" w:hAnsi="Times New Roman"/>
        </w:rPr>
        <w:t xml:space="preserve">NÃO fazer</w:t>
      </w:r>
      <w:r>
        <w:rPr>
          <w:b w:val="false"/>
          <w:bCs w:val="false"/>
          <w:i w:val="false"/>
          <w:iCs w:val="false"/>
          <w:rFonts w:ascii="Times New Roman" w:cs="Times New Roman" w:eastAsia="Times New Roman" w:hAnsi="Times New Roman"/>
        </w:rPr>
        <w:t xml:space="preserve">.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4"/>
          <w:szCs w:val="24"/>
          <w:rFonts w:ascii="Times New Roman" w:cs="Times New Roman" w:eastAsia="Times New Roman" w:hAnsi="Times New Roman"/>
        </w:rPr>
        <w:t xml:space="preserve">Se quiser, posso gerar </w:t>
      </w:r>
      <w:r>
        <w:rPr>
          <w:b/>
          <w:bCs/>
          <w:color w:val="222222"/>
          <w:sz w:val="24"/>
          <w:szCs w:val="24"/>
          <w:rFonts w:ascii="Times New Roman" w:cs="Times New Roman" w:eastAsia="Times New Roman" w:hAnsi="Times New Roman"/>
        </w:rPr>
        <w:t xml:space="preserve">flashcards em formato Anki</w:t>
      </w:r>
      <w:r>
        <w:rPr>
          <w:b w:val="false"/>
          <w:bCs w:val="false"/>
          <w:i w:val="false"/>
          <w:iCs w:val="false"/>
          <w:color w:val="222222"/>
          <w:sz w:val="24"/>
          <w:szCs w:val="24"/>
          <w:rFonts w:ascii="Times New Roman" w:cs="Times New Roman" w:eastAsia="Times New Roman" w:hAnsi="Times New Roman"/>
        </w:rPr>
        <w:t xml:space="preserve">, </w:t>
      </w:r>
      <w:r>
        <w:rPr>
          <w:b/>
          <w:bCs/>
          <w:color w:val="222222"/>
          <w:sz w:val="24"/>
          <w:szCs w:val="24"/>
          <w:rFonts w:ascii="Times New Roman" w:cs="Times New Roman" w:eastAsia="Times New Roman" w:hAnsi="Times New Roman"/>
        </w:rPr>
        <w:t xml:space="preserve">questões simuladas comentadas</w:t>
      </w:r>
      <w:r>
        <w:rPr>
          <w:b w:val="false"/>
          <w:bCs w:val="false"/>
          <w:i w:val="false"/>
          <w:iCs w:val="false"/>
          <w:color w:val="222222"/>
          <w:sz w:val="24"/>
          <w:szCs w:val="24"/>
          <w:rFonts w:ascii="Times New Roman" w:cs="Times New Roman" w:eastAsia="Times New Roman" w:hAnsi="Times New Roman"/>
        </w:rPr>
        <w:t xml:space="preserve"> por eixo, ou um </w:t>
      </w:r>
      <w:r>
        <w:rPr>
          <w:b/>
          <w:bCs/>
          <w:color w:val="222222"/>
          <w:sz w:val="24"/>
          <w:szCs w:val="24"/>
          <w:rFonts w:ascii="Times New Roman" w:cs="Times New Roman" w:eastAsia="Times New Roman" w:hAnsi="Times New Roman"/>
        </w:rPr>
        <w:t xml:space="preserve">cronograma de revisão de 30 dias</w:t>
      </w:r>
      <w:r>
        <w:rPr>
          <w:b w:val="false"/>
          <w:bCs w:val="false"/>
          <w:i w:val="false"/>
          <w:iCs w:val="false"/>
          <w:color w:val="222222"/>
          <w:sz w:val="24"/>
          <w:szCs w:val="24"/>
          <w:rFonts w:ascii="Times New Roman" w:cs="Times New Roman" w:eastAsia="Times New Roman" w:hAnsi="Times New Roman"/>
        </w:rPr>
        <w:t xml:space="preserve"> focado nesses trials. É só pedir.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1.%2."/>
      <w:lvlJc w:val="start"/>
    </w:lvl>
    <w:lvl w:ilvl="2" w15:tentative="1">
      <w:start w:val="1"/>
      <w:numFmt w:val="decimal"/>
      <w:lvlText w:val="%1.%2.%3."/>
      <w:lvlJc w:val="start"/>
    </w:lvl>
    <w:lvl w:ilvl="3" w15:tentative="1">
      <w:start w:val="1"/>
      <w:numFmt w:val="decimal"/>
      <w:lvlText w:val="%1.%2.%3.%4."/>
      <w:lvlJc w:val="start"/>
    </w:lvl>
    <w:lvl w:ilvl="4" w15:tentative="1">
      <w:start w:val="1"/>
      <w:numFmt w:val="decimal"/>
      <w:lvlText w:val="%1.%2.%3.%4.%5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2026-04-20T03:13:11.748Z</dcterms:created>
  <dcterms:modified xsi:type="dcterms:W3CDTF">2026-04-20T03:13:11.748Z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