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2" w:lineRule="auto"/>
        <w:jc w:val="center"/>
      </w:pPr>
      <w:r>
        <w:t>PROTOCOLO TURBO TEMI 360X</w:t>
        <w:br/>
        <w:t>SÍNDROME DE FAHR + HIPOCALCEMIA</w:t>
      </w:r>
    </w:p>
    <w:p>
      <w:pPr>
        <w:spacing w:line="252" w:lineRule="auto"/>
        <w:jc w:val="center"/>
      </w:pPr>
      <w:r>
        <w:rPr>
          <w:b/>
          <w:color w:val="177D6B"/>
          <w:sz w:val="26"/>
        </w:rPr>
        <w:t>TDAH-friendly • autossuficiente • plantão + prova de título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Ref"/>
        <w:spacing w:line="252" w:lineRule="auto"/>
        <w:jc w:val="center"/>
      </w:pPr>
      <w:r>
        <w:rPr>
          <w:i/>
        </w:rPr>
        <w:t>Mapa visual de revisão rápida. Use como âncora antes de ler o protocolo.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EM 30 SEGUNDOS  </w:t>
            </w:r>
            <w:r>
              <w:rPr>
                <w:b w:val="0"/>
                <w:color w:val="232323"/>
              </w:rPr>
              <w:t>Calcificações bilaterais dos núcleos da base + hipocalcemia → dosar PTH, fósforo e magnésio. Ca baixo + P alto + PTH baixo/inadequadamente normal aponta para hipoparatireoidismo; PTH alto aponta para resistência ao PTH. Hipocalcemia sintomática é emergência e deve ser tratada em ambiente monitorizado.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1. Resposta direta</w:t>
      </w:r>
    </w:p>
    <w:p>
      <w:pPr>
        <w:spacing w:line="252" w:lineRule="auto"/>
      </w:pPr>
      <w:r>
        <w:rPr>
          <w:b/>
        </w:rPr>
        <w:t xml:space="preserve">O fenótipo clássico é uma calcificação cerebral secundária a distúrbio do metabolismo mineral, frequentemente associada ao hipoparatireoidismo. </w:t>
      </w:r>
      <w:r>
        <w:t>O termo histórico “síndrome de Fahr” é usado para calcificação cerebral secundária; para doença genética primária, a nomenclatura atual prefere “primary familial/primary brain calcification (PFBC/PBC)”.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88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Achado</w:t>
            </w:r>
          </w:p>
        </w:tc>
        <w:tc>
          <w:tcPr>
            <w:tcW w:type="dxa" w:w="604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Interpretação rápida</w:t>
            </w:r>
          </w:p>
        </w:tc>
      </w:tr>
      <w:t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 ↓ + P ↑ + PTH ↓/inadequadamente normal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Hipoparatireoidismo</w:t>
            </w:r>
          </w:p>
        </w:tc>
      </w:tr>
      <w:tr>
        <w:tc>
          <w:tcPr>
            <w:tcW w:type="dxa" w:w="388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 ↓ + P ↑ + PTH ↑</w:t>
            </w:r>
          </w:p>
        </w:tc>
        <w:tc>
          <w:tcPr>
            <w:tcW w:type="dxa" w:w="604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Resistência ao PTH (pseudohipoparatireoidismo)</w:t>
            </w:r>
          </w:p>
        </w:tc>
      </w:tr>
      <w:t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Calcificações + metabolismo Ca/P/PTH sem causa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Avaliar PBC/PFBC e outros diferenciais</w:t>
            </w:r>
          </w:p>
        </w:tc>
      </w:tr>
    </w:tbl>
    <w:p>
      <w:pPr>
        <w:pStyle w:val="Heading1"/>
        <w:keepNext/>
        <w:spacing w:line="252" w:lineRule="auto" w:before="140" w:after="80"/>
      </w:pPr>
      <w:r>
        <w:t>2. Alertas imediatos 🚨</w:t>
      </w:r>
    </w:p>
    <w:p>
      <w:pPr>
        <w:pStyle w:val="ListBullet"/>
        <w:spacing w:after="40" w:line="252" w:lineRule="auto"/>
      </w:pPr>
      <w:r>
        <w:t>Hipocalcemia sintomática pode causar tetania, convulsões, laringoespasmo/broncoespasmo e arritmias com prolongamento de QT.</w:t>
      </w:r>
    </w:p>
    <w:p>
      <w:pPr>
        <w:pStyle w:val="ListBullet"/>
        <w:spacing w:after="40" w:line="252" w:lineRule="auto"/>
      </w:pPr>
      <w:r>
        <w:t>Hipomagnesemia deve ser procurada e corrigida: pode reduzir secreção/ação do PTH e perpetuar a hipocalcemia.</w:t>
      </w:r>
    </w:p>
    <w:p>
      <w:pPr>
        <w:pStyle w:val="ListBullet"/>
        <w:spacing w:after="40" w:line="252" w:lineRule="auto"/>
      </w:pPr>
      <w:r>
        <w:t>Em hipocalcemia grave ou sintomática, priorize estabilização e tratamento hospitalar monitorizado; cálcio intravenoso é terapia de emergência conforme protocolo institucional.</w:t>
      </w:r>
    </w:p>
    <w:p>
      <w:pPr>
        <w:pStyle w:val="ListBullet"/>
        <w:spacing w:after="40" w:line="252" w:lineRule="auto"/>
      </w:pPr>
      <w:r>
        <w:t>Doença renal, hiperfosfatemia importante e tratamento crônico com cálcio/vitamina D aumentam risco de hipercalciúria, nefrolitíase e nefrocalcinose.</w:t>
      </w:r>
    </w:p>
    <w:p>
      <w:pPr>
        <w:pStyle w:val="ListBullet"/>
        <w:spacing w:after="40" w:line="252" w:lineRule="auto"/>
      </w:pPr>
      <w:r>
        <w:t>Calcificação cerebral incidental não equivale automaticamente a doença de Fahr genética: primeiro exclua causas metabólicas e adquiridas.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pocalcemia_agu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Ref"/>
        <w:spacing w:line="252" w:lineRule="auto"/>
        <w:jc w:val="center"/>
      </w:pPr>
      <w:r>
        <w:rPr>
          <w:i/>
        </w:rPr>
        <w:t>Checklist de gravidade e prioridades na hipocalcemia aguda.</w:t>
      </w:r>
    </w:p>
    <w:p>
      <w:pPr>
        <w:pStyle w:val="Heading1"/>
        <w:keepNext/>
        <w:spacing w:line="252" w:lineRule="auto" w:before="140" w:after="80"/>
      </w:pPr>
      <w:r>
        <w:t>3. Raciocínio clínico e fisiopatologia</w:t>
      </w:r>
    </w:p>
    <w:p>
      <w:pPr>
        <w:spacing w:line="252" w:lineRule="auto"/>
      </w:pPr>
      <w:r>
        <w:rPr>
          <w:b/>
        </w:rPr>
        <w:t xml:space="preserve">Correlação que fixa: </w:t>
      </w:r>
      <w:r>
        <w:t>PTH baixo reduz a mobilização renal/óssea de cálcio, reduz a ativação renal de vitamina D e diminui a fosfatúria → cálcio cai e fósforo sobe. A exposição crônica a um ambiente fosfatêmico favorece deposição de sais cálcio-fosfato em tecidos, inclusive encéfalo.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siopatolog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Ref"/>
        <w:spacing w:line="252" w:lineRule="auto"/>
        <w:jc w:val="center"/>
      </w:pPr>
      <w:r>
        <w:rPr>
          <w:i/>
        </w:rPr>
        <w:t>Fisiopatologia simplificada: deficiência de PTH conecta hipocalcemia, hiperfosfatemia e calcificação ectópica.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PEGADINHA DE PROVA  </w:t>
            </w:r>
            <w:r>
              <w:rPr>
                <w:b w:val="0"/>
                <w:color w:val="232323"/>
              </w:rPr>
              <w:t>“Se o cálcio sérico está baixo, por que há calcificação?” Porque a calcificação depende da desregulação crônica Ca–P e da retenção de fosfato, não de hipercalcemia isolada.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4. Conduta passo a passo</w:t>
      </w:r>
    </w:p>
    <w:p>
      <w:pPr>
        <w:pStyle w:val="Heading2"/>
        <w:keepNext/>
        <w:spacing w:line="252" w:lineRule="auto" w:before="140" w:after="80"/>
      </w:pPr>
      <w:r>
        <w:t>4.1 Primeiros 5 minutos</w:t>
      </w:r>
    </w:p>
    <w:p>
      <w:pPr>
        <w:pStyle w:val="ListNumber"/>
        <w:spacing w:after="60" w:line="252" w:lineRule="auto"/>
      </w:pPr>
      <w:r>
        <w:t>Defina se há hipocalcemia sintomática/ameaçadora à vida e obtenha ECG.</w:t>
      </w:r>
    </w:p>
    <w:p>
      <w:pPr>
        <w:pStyle w:val="ListNumber"/>
        <w:spacing w:after="60" w:line="252" w:lineRule="auto"/>
      </w:pPr>
      <w:r>
        <w:t>Colha cálcio ionizado (preferível na instabilidade), cálcio total + albumina, fósforo, magnésio, creatinina/eTFG e PTH.</w:t>
      </w:r>
    </w:p>
    <w:p>
      <w:pPr>
        <w:pStyle w:val="ListNumber"/>
        <w:spacing w:after="60" w:line="252" w:lineRule="auto"/>
      </w:pPr>
      <w:r>
        <w:t>Se houver manifestação neurológica aguda, convulsão, alteração importante do estado mental ou dúvida diagnóstica estrutural, conduza investigação neurológica paralela.</w:t>
      </w:r>
    </w:p>
    <w:p>
      <w:pPr>
        <w:pStyle w:val="ListNumber"/>
        <w:spacing w:after="60" w:line="252" w:lineRule="auto"/>
      </w:pPr>
      <w:r>
        <w:t>Revise contexto: cirurgia cervical/tiroidectomia, autoimunidade, radioterapia, infiltração, doença genética, fármacos e função renal.</w:t>
      </w:r>
    </w:p>
    <w:p>
      <w:pPr>
        <w:pStyle w:val="Heading2"/>
        <w:keepNext/>
        <w:spacing w:line="252" w:lineRule="auto" w:before="140" w:after="80"/>
      </w:pPr>
      <w:r>
        <w:t>4.2 Se a TC mostra calcificações dos núcleos da base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lgoritmo_diagnost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Ref"/>
        <w:spacing w:line="252" w:lineRule="auto"/>
        <w:jc w:val="center"/>
      </w:pPr>
      <w:r>
        <w:rPr>
          <w:i/>
        </w:rPr>
        <w:t>Algoritmo prático de triagem etiológica.</w:t>
      </w:r>
    </w:p>
    <w:p>
      <w:pPr>
        <w:pStyle w:val="Heading2"/>
        <w:keepNext/>
        <w:spacing w:line="252" w:lineRule="auto" w:before="140" w:after="80"/>
      </w:pPr>
      <w:r>
        <w:t>4.3 Exames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Exame</w:t>
            </w:r>
          </w:p>
        </w:tc>
        <w:tc>
          <w:tcPr>
            <w:tcW w:type="dxa" w:w="69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Por que pedir</w:t>
            </w:r>
          </w:p>
        </w:tc>
      </w:tr>
      <w:tr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Cálcio ionizado</w:t>
            </w:r>
          </w:p>
        </w:tc>
        <w:tc>
          <w:tcPr>
            <w:tcW w:type="dxa" w:w="69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Melhor medida na instabilidade, alterações de albumina/pH ou discordância clínica.</w:t>
            </w:r>
          </w:p>
        </w:tc>
      </w:tr>
      <w:tr>
        <w:tc>
          <w:tcPr>
            <w:tcW w:type="dxa" w:w="30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Cálcio total + albumina</w:t>
            </w:r>
          </w:p>
        </w:tc>
        <w:tc>
          <w:tcPr>
            <w:tcW w:type="dxa" w:w="69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Contextualiza hipocalcemia e permite correção aproximada quando iCa não disponível.</w:t>
            </w:r>
          </w:p>
        </w:tc>
      </w:tr>
      <w:tr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Fósforo</w:t>
            </w:r>
          </w:p>
        </w:tc>
        <w:tc>
          <w:tcPr>
            <w:tcW w:type="dxa" w:w="69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Hiperfosfatemia favorece hipoparatireoidismo/resistência ao PTH.</w:t>
            </w:r>
          </w:p>
        </w:tc>
      </w:tr>
      <w:tr>
        <w:tc>
          <w:tcPr>
            <w:tcW w:type="dxa" w:w="30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PTH intacto</w:t>
            </w:r>
          </w:p>
        </w:tc>
        <w:tc>
          <w:tcPr>
            <w:tcW w:type="dxa" w:w="69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É o divisor diagnóstico principal.</w:t>
            </w:r>
          </w:p>
        </w:tc>
      </w:tr>
      <w:tr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Magnésio</w:t>
            </w:r>
          </w:p>
        </w:tc>
        <w:tc>
          <w:tcPr>
            <w:tcW w:type="dxa" w:w="69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Hipomagnesemia pode causar/refratar hipocalcemia.</w:t>
            </w:r>
          </w:p>
        </w:tc>
      </w:tr>
      <w:tr>
        <w:tc>
          <w:tcPr>
            <w:tcW w:type="dxa" w:w="30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Creatinina/eTFG</w:t>
            </w:r>
          </w:p>
        </w:tc>
        <w:tc>
          <w:tcPr>
            <w:tcW w:type="dxa" w:w="69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Muda interpretação de Ca/P e segurança terapêutica.</w:t>
            </w:r>
          </w:p>
        </w:tc>
      </w:tr>
      <w:tr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25-OH-vitamina D</w:t>
            </w:r>
          </w:p>
        </w:tc>
        <w:tc>
          <w:tcPr>
            <w:tcW w:type="dxa" w:w="69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Detecta deficiência concomitante.</w:t>
            </w:r>
          </w:p>
        </w:tc>
      </w:tr>
      <w:tr>
        <w:tc>
          <w:tcPr>
            <w:tcW w:type="dxa" w:w="30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Urina 24 h: Ca + creatinina</w:t>
            </w:r>
          </w:p>
        </w:tc>
        <w:tc>
          <w:tcPr>
            <w:tcW w:type="dxa" w:w="69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Essencial no seguimento do hipoparatireoidismo crônico.</w:t>
            </w:r>
          </w:p>
        </w:tc>
      </w:tr>
      <w:tr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TC de crânio sem contraste</w:t>
            </w:r>
          </w:p>
        </w:tc>
        <w:tc>
          <w:tcPr>
            <w:tcW w:type="dxa" w:w="69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Melhor para demonstrar e mapear calcificações.</w:t>
            </w:r>
          </w:p>
        </w:tc>
      </w:tr>
    </w:tbl>
    <w:p>
      <w:pPr>
        <w:pStyle w:val="Heading1"/>
        <w:keepNext/>
        <w:spacing w:line="252" w:lineRule="auto" w:before="140" w:after="80"/>
      </w:pPr>
      <w:r>
        <w:t>5. Como interpretar Ca–P–PTH sem se perder</w:t>
      </w:r>
    </w:p>
    <w:p>
      <w:pPr>
        <w:spacing w:after="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riz_diferen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Ref"/>
        <w:spacing w:line="252" w:lineRule="auto"/>
        <w:jc w:val="center"/>
      </w:pPr>
      <w:r>
        <w:rPr>
          <w:i/>
        </w:rPr>
        <w:t>Matriz de diferenciação para prova e plantão.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REGRA “DÉFICIT × RESISTÊNCIA”  </w:t>
            </w:r>
            <w:r>
              <w:rPr>
                <w:b w:val="0"/>
                <w:color w:val="232323"/>
              </w:rPr>
              <w:t>PTH baixo = o hormônio está faltando. PTH alto = o hormônio está sendo produzido, mas o organismo não responde adequadamente. Essa regra explica a diferença entre hipoparatireoidismo e pseudohipoparatireoidismo.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6. Imagem: o que procurar na TC</w:t>
      </w:r>
    </w:p>
    <w:p>
      <w:pPr>
        <w:pStyle w:val="ListBullet"/>
        <w:spacing w:after="40" w:line="252" w:lineRule="auto"/>
      </w:pPr>
      <w:r>
        <w:t>Padrão típico: calcificações bilaterais e relativamente simétricas.</w:t>
      </w:r>
    </w:p>
    <w:p>
      <w:pPr>
        <w:pStyle w:val="ListBullet"/>
        <w:spacing w:after="40" w:line="252" w:lineRule="auto"/>
      </w:pPr>
      <w:r>
        <w:t>Estruturas frequentes: globo pálido, putâmen, núcleo caudado; também tálamo, substância branca e núcleos denteados cerebelares.</w:t>
      </w:r>
    </w:p>
    <w:p>
      <w:pPr>
        <w:pStyle w:val="ListBullet"/>
        <w:spacing w:after="40" w:line="252" w:lineRule="auto"/>
      </w:pPr>
      <w:r>
        <w:t>A extensão radiológica não prediz de forma perfeita a gravidade clínica.</w:t>
      </w:r>
    </w:p>
    <w:p>
      <w:pPr>
        <w:pStyle w:val="ListBullet"/>
        <w:spacing w:after="40" w:line="252" w:lineRule="auto"/>
      </w:pPr>
      <w:r>
        <w:t>TC sem contraste é mais sensível que RM para caracterização da calcificação.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NOMENCLATURA ATUAL  </w:t>
            </w:r>
            <w:r>
              <w:rPr>
                <w:b w:val="0"/>
                <w:color w:val="232323"/>
              </w:rPr>
              <w:t>PFBC/PBC é reservada para calcificação cerebral primária, geralmente genética. Em calcificação secundária a hipoparatireoidismo, descreva a causa metabólica de forma explícita: “calcificações cerebrais secundárias a hipoparatireoidismo”.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7. Tratamento — separar emergência de controle crônico</w:t>
      </w:r>
    </w:p>
    <w:p>
      <w:pPr>
        <w:pStyle w:val="Heading2"/>
        <w:keepNext/>
        <w:spacing w:line="252" w:lineRule="auto" w:before="140" w:after="80"/>
      </w:pPr>
      <w:r>
        <w:t>7.1 Hipocalcemia aguda sintomática</w:t>
      </w:r>
    </w:p>
    <w:p>
      <w:pPr>
        <w:pStyle w:val="ListBullet"/>
        <w:spacing w:after="40" w:line="252" w:lineRule="auto"/>
      </w:pPr>
      <w:r>
        <w:t>Tratar em ambiente hospitalar com monitorização cardíaca e seriada do cálcio ionizado.</w:t>
      </w:r>
    </w:p>
    <w:p>
      <w:pPr>
        <w:pStyle w:val="ListBullet"/>
        <w:spacing w:after="40" w:line="252" w:lineRule="auto"/>
      </w:pPr>
      <w:r>
        <w:t>Cálcio intravenoso é indicado na hipocalcemia grave/sintomática conforme protocolo institucional; evitar administração rápida e extravasamento.</w:t>
      </w:r>
    </w:p>
    <w:p>
      <w:pPr>
        <w:pStyle w:val="ListBullet"/>
        <w:spacing w:after="40" w:line="252" w:lineRule="auto"/>
      </w:pPr>
      <w:r>
        <w:t>Corrigir magnésio quando baixo e tratar precipitante/etiologia.</w:t>
      </w:r>
    </w:p>
    <w:p>
      <w:pPr>
        <w:pStyle w:val="ListBullet"/>
        <w:spacing w:after="40" w:line="252" w:lineRule="auto"/>
      </w:pPr>
      <w:r>
        <w:t>Iniciar transição para terapia oral/etiológica quando o paciente estiver estável e a causa estiver definida.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SEGURANÇA  </w:t>
            </w:r>
            <w:r>
              <w:rPr>
                <w:b w:val="0"/>
                <w:color w:val="232323"/>
              </w:rPr>
              <w:t>A via e a velocidade do cálcio intravenoso dependem do quadro clínico, acesso venoso, ECG, função renal e protocolo local. Este guia mantém o foco em decisão clínica e não substitui uma prescrição institucional validada.</w:t>
            </w:r>
          </w:p>
        </w:tc>
      </w:tr>
    </w:tbl>
    <w:p>
      <w:pPr>
        <w:spacing w:after="0" w:line="252" w:lineRule="auto"/>
      </w:pPr>
    </w:p>
    <w:p>
      <w:pPr>
        <w:pStyle w:val="Heading2"/>
        <w:keepNext/>
        <w:spacing w:line="252" w:lineRule="auto" w:before="140" w:after="80"/>
      </w:pPr>
      <w:r>
        <w:t>7.2 Hipoparatireoidismo crônico</w:t>
      </w:r>
    </w:p>
    <w:p>
      <w:pPr>
        <w:pStyle w:val="ListBullet"/>
        <w:spacing w:after="40" w:line="252" w:lineRule="auto"/>
      </w:pPr>
      <w:r>
        <w:t>Primeira linha: cálcio dietético/suplementar adequado + análogo ativo de vitamina D (por exemplo, calcitriol), ajustados ao alvo bioquímico e sintomas.</w:t>
      </w:r>
    </w:p>
    <w:p>
      <w:pPr>
        <w:pStyle w:val="ListBullet"/>
        <w:spacing w:after="40" w:line="252" w:lineRule="auto"/>
      </w:pPr>
      <w:r>
        <w:t>Meta de cálcio: faixa inferior do normal ou discretamente abaixo, desde que o paciente esteja assintomático.</w:t>
      </w:r>
    </w:p>
    <w:p>
      <w:pPr>
        <w:pStyle w:val="ListBullet"/>
        <w:spacing w:after="40" w:line="252" w:lineRule="auto"/>
      </w:pPr>
      <w:r>
        <w:t>Evitar hiperfosfatemia e hipercalciúria; cálcio com as refeições pode ajudar a reduzir absorção de fosfato.</w:t>
      </w:r>
    </w:p>
    <w:p>
      <w:pPr>
        <w:pStyle w:val="ListBullet"/>
        <w:spacing w:after="40" w:line="252" w:lineRule="auto"/>
      </w:pPr>
      <w:r>
        <w:t>Manter magnésio normal e 25-OH-vitamina D adequada.</w:t>
      </w:r>
    </w:p>
    <w:p>
      <w:pPr>
        <w:pStyle w:val="ListBullet"/>
        <w:spacing w:after="40" w:line="252" w:lineRule="auto"/>
      </w:pPr>
      <w:r>
        <w:t>Se hipercalciúria persistente, revisar carga de cálcio/sódio e considerar estratégia com tiazídico sob supervisão clínica.</w:t>
      </w:r>
    </w:p>
    <w:p>
      <w:pPr>
        <w:pStyle w:val="ListBullet"/>
        <w:spacing w:after="40" w:line="252" w:lineRule="auto"/>
      </w:pPr>
      <w:r>
        <w:t>Terapia de reposição de PTH pode ser opção em casos selecionados com controle inadequado na terapia convencional, conforme disponibilidade e diretriz especializada.</w:t>
      </w:r>
    </w:p>
    <w:p>
      <w:pPr>
        <w:pStyle w:val="Heading1"/>
        <w:keepNext/>
        <w:spacing w:line="252" w:lineRule="auto" w:before="140" w:after="80"/>
      </w:pPr>
      <w:r>
        <w:t>8. Monitorização e metas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52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Parâmetro</w:t>
            </w:r>
          </w:p>
        </w:tc>
        <w:tc>
          <w:tcPr>
            <w:tcW w:type="dxa" w:w="6408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Meta prática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Cálcio sérico/ionizado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Baixo-normal ou discretamente abaixo, sem sintomas.</w:t>
            </w:r>
          </w:p>
        </w:tc>
      </w:tr>
      <w:tr>
        <w:tc>
          <w:tcPr>
            <w:tcW w:type="dxa" w:w="352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Fósforo</w:t>
            </w:r>
          </w:p>
        </w:tc>
        <w:tc>
          <w:tcPr>
            <w:tcW w:type="dxa" w:w="640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Dentro da referência; evitar hiperfosfatemia.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Magnésio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Normal.</w:t>
            </w:r>
          </w:p>
        </w:tc>
      </w:tr>
      <w:tr>
        <w:tc>
          <w:tcPr>
            <w:tcW w:type="dxa" w:w="352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25-OH-vitamina D</w:t>
            </w:r>
          </w:p>
        </w:tc>
        <w:tc>
          <w:tcPr>
            <w:tcW w:type="dxa" w:w="640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Adequada; diretriz ESE 2025 sugere ≥30 ng/mL.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Cálcio urinário 24 h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Evitar hipercalciúria; referência internacional 2022 propõe &lt;250 mg/dia (mulheres) e &lt;300 mg/dia (homens).</w:t>
            </w:r>
          </w:p>
        </w:tc>
      </w:tr>
      <w:tr>
        <w:tc>
          <w:tcPr>
            <w:tcW w:type="dxa" w:w="352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Rim</w:t>
            </w:r>
          </w:p>
        </w:tc>
        <w:tc>
          <w:tcPr>
            <w:tcW w:type="dxa" w:w="6408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Creatinina/eTFG e avaliação de nefrolitíase/nefrrocalcinose conforme risco.</w:t>
            </w:r>
          </w:p>
        </w:tc>
      </w:tr>
      <w:tr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Neurológico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Sintomas motores, cognitivos, psiquiátricos e crises; neurologia se sintomático/progressivo.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PRINCÍPIO DE META  </w:t>
            </w:r>
            <w:r>
              <w:rPr>
                <w:b w:val="0"/>
                <w:color w:val="232323"/>
              </w:rPr>
              <w:t>Não “normalize o cálcio a qualquer custo”. No hipoparatireoidismo, perseguir cálcio alto-normal pode aumentar hipercalciúria e complicações renais.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9. Diferenciais e armadilhas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312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Diferencial</w:t>
            </w:r>
          </w:p>
        </w:tc>
        <w:tc>
          <w:tcPr>
            <w:tcW w:type="dxa" w:w="6624"/>
            <w:shd w:fill="DC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93755"/>
                <w:sz w:val="18"/>
              </w:rPr>
              <w:t>Pista que ajuda a distinguir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Pseudohipoparatireoidismo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Ca↓, P↑, PTH↑; resistência ao hormônio.</w:t>
            </w:r>
          </w:p>
        </w:tc>
      </w:tr>
      <w:tr>
        <w:tc>
          <w:tcPr>
            <w:tcW w:type="dxa" w:w="33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PBC/PFBC genética</w:t>
            </w:r>
          </w:p>
        </w:tc>
        <w:tc>
          <w:tcPr>
            <w:tcW w:type="dxa" w:w="66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Metabolismo mineral sem explicação; história familiar; genes como SLC20A2, XPR1, PDGFB/PDGFRB, MYORG, JAM2 e NAA60.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Doença renal crônica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Distúrbio Ca–P–PTH dependente do estágio renal; contexto de DRC.</w:t>
            </w:r>
          </w:p>
        </w:tc>
      </w:tr>
      <w:tr>
        <w:tc>
          <w:tcPr>
            <w:tcW w:type="dxa" w:w="33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Infecções/congênitas</w:t>
            </w:r>
          </w:p>
        </w:tc>
        <w:tc>
          <w:tcPr>
            <w:tcW w:type="dxa" w:w="66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Padrão de calcificação e história clínica/epidemiológica distintos.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Toxinas/metabólicas raras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Exposição ou fenótipo sistêmico específico.</w:t>
            </w:r>
          </w:p>
        </w:tc>
      </w:tr>
      <w:tr>
        <w:tc>
          <w:tcPr>
            <w:tcW w:type="dxa" w:w="3312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Calcificação fisiológica relacionada à idade</w:t>
            </w:r>
          </w:p>
        </w:tc>
        <w:tc>
          <w:tcPr>
            <w:tcW w:type="dxa" w:w="6624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Geralmente pequena/incidental; não explica hipocalcemia.</w:t>
            </w:r>
          </w:p>
        </w:tc>
      </w:tr>
    </w:tbl>
    <w:p>
      <w:pPr>
        <w:pStyle w:val="Heading2"/>
        <w:keepNext/>
        <w:spacing w:line="252" w:lineRule="auto" w:before="140" w:after="80"/>
      </w:pPr>
      <w:r>
        <w:t>Principais erros a evitar</w:t>
      </w:r>
    </w:p>
    <w:p>
      <w:pPr>
        <w:pStyle w:val="ListBullet"/>
        <w:spacing w:after="40" w:line="252" w:lineRule="auto"/>
      </w:pPr>
      <w:r>
        <w:t>Chamar toda calcificação de núcleo da base de “Fahr” sem dosar Ca/P/PTH/Mg.</w:t>
      </w:r>
    </w:p>
    <w:p>
      <w:pPr>
        <w:pStyle w:val="ListBullet"/>
        <w:spacing w:after="40" w:line="252" w:lineRule="auto"/>
      </w:pPr>
      <w:r>
        <w:t>Usar apenas cálcio total em paciente crítico, hipoalbuminêmico ou com distúrbio ácido-base.</w:t>
      </w:r>
    </w:p>
    <w:p>
      <w:pPr>
        <w:pStyle w:val="ListBullet"/>
        <w:spacing w:after="40" w:line="252" w:lineRule="auto"/>
      </w:pPr>
      <w:r>
        <w:t>Esquecer magnésio em hipocalcemia refratária.</w:t>
      </w:r>
    </w:p>
    <w:p>
      <w:pPr>
        <w:pStyle w:val="ListBullet"/>
        <w:spacing w:after="40" w:line="252" w:lineRule="auto"/>
      </w:pPr>
      <w:r>
        <w:t>Confundir hipoparatireoidismo (PTH baixo) com resistência ao PTH (PTH alto).</w:t>
      </w:r>
    </w:p>
    <w:p>
      <w:pPr>
        <w:pStyle w:val="ListBullet"/>
        <w:spacing w:after="40" w:line="252" w:lineRule="auto"/>
      </w:pPr>
      <w:r>
        <w:t>Tratar o número do cálcio sem monitorar fósforo, urina de 24 h e função renal.</w:t>
      </w:r>
    </w:p>
    <w:p>
      <w:pPr>
        <w:pStyle w:val="ListBullet"/>
        <w:spacing w:after="40" w:line="252" w:lineRule="auto"/>
      </w:pPr>
      <w:r>
        <w:t>Atribuir sintomas neurológicos agudos automaticamente às calcificações crônicas sem excluir outras causas urgentes.</w:t>
      </w:r>
    </w:p>
    <w:p>
      <w:pPr>
        <w:pStyle w:val="Heading1"/>
        <w:keepNext/>
        <w:spacing w:line="252" w:lineRule="auto" w:before="140" w:after="80"/>
      </w:pPr>
      <w:r>
        <w:t>10. Memória de plantão 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MNEMÔNICO “FAHR = FÓSFORO ALTO, HORMÔNIO REDUZIDO”  </w:t>
            </w:r>
            <w:r>
              <w:rPr>
                <w:b w:val="0"/>
                <w:color w:val="232323"/>
              </w:rPr>
              <w:t>Não é uma definição formal, mas ajuda a lembrar o padrão clássico metabólico: fósforo alto + PTH reduzido/inadequado no hipoparatireoidismo.</w:t>
            </w:r>
          </w:p>
        </w:tc>
      </w:tr>
    </w:tbl>
    <w:p>
      <w:pPr>
        <w:spacing w:after="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FRASE-CHAVE  </w:t>
            </w:r>
            <w:r>
              <w:rPr>
                <w:b w:val="0"/>
                <w:color w:val="232323"/>
              </w:rPr>
              <w:t>“Calcificou o núcleo da base? Antes de pedir genética, pergunte ao PTH.”</w:t>
            </w:r>
          </w:p>
        </w:tc>
      </w:tr>
    </w:tbl>
    <w:p>
      <w:pPr>
        <w:spacing w:after="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A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23A68"/>
              </w:rPr>
              <w:t xml:space="preserve">REGRA TEMI  </w:t>
            </w:r>
            <w:r>
              <w:rPr>
                <w:b w:val="0"/>
                <w:color w:val="232323"/>
              </w:rPr>
              <w:t>Ca↓ + P↑ → PTH decide: ↓ = deficiência; ↑ = resistência.</w:t>
            </w:r>
          </w:p>
        </w:tc>
      </w:tr>
    </w:tbl>
    <w:p>
      <w:pPr>
        <w:spacing w:after="0" w:line="252" w:lineRule="auto"/>
      </w:pPr>
    </w:p>
    <w:p>
      <w:pPr>
        <w:pStyle w:val="Heading1"/>
        <w:keepNext/>
        <w:spacing w:line="252" w:lineRule="auto" w:before="140" w:after="80"/>
      </w:pPr>
      <w:r>
        <w:t>11. Miniestação TEMI — 5 perguntas</w:t>
      </w:r>
    </w:p>
    <w:p>
      <w:pPr>
        <w:spacing w:line="252" w:lineRule="auto"/>
      </w:pPr>
      <w:r>
        <w:rPr>
          <w:b/>
        </w:rPr>
        <w:t>1. TC com calcificações bilaterais de globo pálido + Ca 6,9 mg/dL + P alto + PTH baixo. Hipótese?</w:t>
      </w:r>
    </w:p>
    <w:p>
      <w:pPr>
        <w:spacing w:line="252" w:lineRule="auto"/>
        <w:ind w:left="360"/>
      </w:pPr>
      <w:r>
        <w:rPr>
          <w:b/>
          <w:color w:val="177D6B"/>
        </w:rPr>
        <w:t>Resposta: Hipoparatireoidismo com calcificação cerebral secundária.</w:t>
      </w:r>
    </w:p>
    <w:p>
      <w:pPr>
        <w:spacing w:line="252" w:lineRule="auto"/>
      </w:pPr>
      <w:r>
        <w:rPr>
          <w:b/>
        </w:rPr>
        <w:t>2. Mesmo padrão, mas PTH muito elevado. O que muda?</w:t>
      </w:r>
    </w:p>
    <w:p>
      <w:pPr>
        <w:spacing w:line="252" w:lineRule="auto"/>
        <w:ind w:left="360"/>
      </w:pPr>
      <w:r>
        <w:rPr>
          <w:b/>
          <w:color w:val="177D6B"/>
        </w:rPr>
        <w:t>Resposta: Pensar resistência ao PTH/pseudohipoparatireoidismo.</w:t>
      </w:r>
    </w:p>
    <w:p>
      <w:pPr>
        <w:spacing w:line="252" w:lineRule="auto"/>
      </w:pPr>
      <w:r>
        <w:rPr>
          <w:b/>
        </w:rPr>
        <w:t>3. Hipocalcemia refratária apesar de reposição: qual eletrólito não pode ser esquecido?</w:t>
      </w:r>
    </w:p>
    <w:p>
      <w:pPr>
        <w:spacing w:line="252" w:lineRule="auto"/>
        <w:ind w:left="360"/>
      </w:pPr>
      <w:r>
        <w:rPr>
          <w:b/>
          <w:color w:val="177D6B"/>
        </w:rPr>
        <w:t>Resposta: Magnésio.</w:t>
      </w:r>
    </w:p>
    <w:p>
      <w:pPr>
        <w:spacing w:line="252" w:lineRule="auto"/>
      </w:pPr>
      <w:r>
        <w:rPr>
          <w:b/>
        </w:rPr>
        <w:t>4. Qual exame de imagem melhor caracteriza calcificação?</w:t>
      </w:r>
    </w:p>
    <w:p>
      <w:pPr>
        <w:spacing w:line="252" w:lineRule="auto"/>
        <w:ind w:left="360"/>
      </w:pPr>
      <w:r>
        <w:rPr>
          <w:b/>
          <w:color w:val="177D6B"/>
        </w:rPr>
        <w:t>Resposta: TC de crânio sem contraste.</w:t>
      </w:r>
    </w:p>
    <w:p>
      <w:pPr>
        <w:spacing w:line="252" w:lineRule="auto"/>
      </w:pPr>
      <w:r>
        <w:rPr>
          <w:b/>
        </w:rPr>
        <w:t>5. Qual erro terapêutico clássico no hipoparatireoidismo crônico?</w:t>
      </w:r>
    </w:p>
    <w:p>
      <w:pPr>
        <w:spacing w:line="252" w:lineRule="auto"/>
        <w:ind w:left="360"/>
      </w:pPr>
      <w:r>
        <w:rPr>
          <w:b/>
          <w:color w:val="177D6B"/>
        </w:rPr>
        <w:t>Resposta: Buscar cálcio alto-normal e gerar hipercalciúria/complicação renal.</w:t>
      </w:r>
    </w:p>
    <w:p>
      <w:pPr>
        <w:pStyle w:val="Heading1"/>
        <w:keepNext/>
        <w:spacing w:line="252" w:lineRule="auto" w:before="140" w:after="80"/>
      </w:pPr>
      <w:r>
        <w:t>12. Em 30 segundos no plantão</w:t>
      </w:r>
    </w:p>
    <w:p>
      <w:pPr>
        <w:pStyle w:val="ListNumber"/>
        <w:spacing w:after="60" w:line="252" w:lineRule="auto"/>
      </w:pPr>
      <w:r>
        <w:t>Hipocalcemia + calcificações dos núcleos da base → ECG + Ca ionizado + P + Mg + PTH + renal + 25-OH-D.</w:t>
      </w:r>
    </w:p>
    <w:p>
      <w:pPr>
        <w:pStyle w:val="ListNumber"/>
        <w:spacing w:after="60" w:line="252" w:lineRule="auto"/>
      </w:pPr>
      <w:r>
        <w:t>Se sintomático/grave → estabilizar e tratar em ambiente monitorizado; cálcio IV conforme protocolo hospitalar.</w:t>
      </w:r>
    </w:p>
    <w:p>
      <w:pPr>
        <w:pStyle w:val="ListNumber"/>
        <w:spacing w:after="60" w:line="252" w:lineRule="auto"/>
      </w:pPr>
      <w:r>
        <w:t>Ca↓ + P↑ + PTH↓ → hipoparatireoidismo.</w:t>
      </w:r>
    </w:p>
    <w:p>
      <w:pPr>
        <w:pStyle w:val="ListNumber"/>
        <w:spacing w:after="60" w:line="252" w:lineRule="auto"/>
      </w:pPr>
      <w:r>
        <w:t>Ca↓ + P↑ + PTH↑ → resistência ao PTH.</w:t>
      </w:r>
    </w:p>
    <w:p>
      <w:pPr>
        <w:pStyle w:val="ListNumber"/>
        <w:spacing w:after="60" w:line="252" w:lineRule="auto"/>
      </w:pPr>
      <w:r>
        <w:t>Metabolismo mineral sem causa → investigar PBC/PFBC e diferenciais.</w:t>
      </w:r>
    </w:p>
    <w:p>
      <w:pPr>
        <w:pStyle w:val="ListNumber"/>
        <w:spacing w:after="60" w:line="252" w:lineRule="auto"/>
      </w:pPr>
      <w:r>
        <w:t>No crônico: cálcio baixo-normal, fósforo/magnésio adequados e vigilância de hipercalciúria/rim.</w:t>
      </w:r>
    </w:p>
    <w:p>
      <w:pPr>
        <w:pStyle w:val="Heading1"/>
        <w:keepNext/>
        <w:spacing w:line="252" w:lineRule="auto" w:before="140" w:after="80"/>
      </w:pPr>
      <w:r>
        <w:t>13. Fontes essenciais e DOI</w:t>
      </w:r>
    </w:p>
    <w:p>
      <w:pPr>
        <w:pStyle w:val="SmallRef"/>
        <w:spacing w:line="252" w:lineRule="auto"/>
      </w:pPr>
      <w:r>
        <w:t>1. Luo W, et al. Primary Brain Calcification: An International Consensus on Nomenclature, Diagnosis, Evaluation, and Management. Movement Disorders. 2026;41(2):315-336. DOI: 10.1002/mds.70140.</w:t>
      </w:r>
    </w:p>
    <w:p>
      <w:pPr>
        <w:pStyle w:val="SmallRef"/>
        <w:spacing w:line="252" w:lineRule="auto"/>
      </w:pPr>
      <w:r>
        <w:t>2. Magrinelli F, et al. Basal ganglia calcification: “Fahr’s disease”. Practical Neurology. 2025;25(6):520-526. DOI: 10.1136/pn-2024-004258.</w:t>
      </w:r>
    </w:p>
    <w:p>
      <w:pPr>
        <w:pStyle w:val="SmallRef"/>
        <w:spacing w:line="252" w:lineRule="auto"/>
      </w:pPr>
      <w:r>
        <w:t>3. Bollerslev J, et al. Revised European Society of Endocrinology Clinical Practice Guideline: Treatment of Chronic Hypoparathyroidism in Adults. European Journal of Endocrinology. 2025;193(5):G83-G112. DOI: 10.1093/ejendo/lvaf222.</w:t>
      </w:r>
    </w:p>
    <w:p>
      <w:pPr>
        <w:pStyle w:val="SmallRef"/>
        <w:spacing w:line="252" w:lineRule="auto"/>
      </w:pPr>
      <w:r>
        <w:t>4. Khan AA, et al. Evaluation and Management of Hypoparathyroidism: Summary Statement and Guidelines from the Second International Workshop. J Bone Miner Res. 2022;37(12):2568-2585. DOI: 10.1002/jbmr.4691.</w:t>
      </w:r>
    </w:p>
    <w:p>
      <w:pPr>
        <w:pStyle w:val="SmallRef"/>
        <w:spacing w:line="252" w:lineRule="auto"/>
      </w:pPr>
      <w:r>
        <w:t>5. Turner J, Gittoes N, Selby P; Society for Endocrinology. Emergency management of acute hypocalcaemia in adult patients. Endocr Connect. 2016;5(5):G7-G8. DOI: 10.1530/EC-16-0056.</w:t>
      </w:r>
    </w:p>
    <w:p>
      <w:pPr>
        <w:pStyle w:val="SmallRef"/>
        <w:spacing w:line="252" w:lineRule="auto"/>
      </w:pPr>
      <w:r>
        <w:t>6. Maeda SS, et al. Diagnosis and treatment of hypoparathyroidism: a position statement from the Brazilian Society of Endocrinology and Metabolism. Arch Endocrinol Metab. 2018;62(1):106-124. DOI: 10.20945/2359-3997000000015.</w:t>
      </w:r>
    </w:p>
    <w:p>
      <w:pPr>
        <w:pStyle w:val="SmallRef"/>
        <w:spacing w:line="252" w:lineRule="auto"/>
      </w:pPr>
      <w:r>
        <w:t>7. Goswami R, et al. Prevalence and progression of basal ganglia calcification and its pathogenic mechanism in patients with idiopathic hypoparathyroidism. Clin Endocrinol (Oxf). 2012;77(2):200-206. DOI: 10.1111/j.1365-2265.2012.04353.x.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512"/>
            <w:shd w:fill="EEF7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TurboCallout"/>
            </w:pPr>
            <w:r>
              <w:rPr>
                <w:b/>
                <w:color w:val="177D6B"/>
              </w:rPr>
              <w:t xml:space="preserve">ATUALIZAÇÃO  </w:t>
            </w:r>
            <w:r>
              <w:rPr>
                <w:b w:val="0"/>
                <w:color w:val="232323"/>
              </w:rPr>
              <w:t>Documento elaborado em 11/09/2026 com base em consenso internacional de calcificação cerebral (2026), revisão de Practical Neurology (2025), ESE (2025), International Workshop on Hypoparathyroidism (2022), Society for Endocrinology e SBEM.</w:t>
            </w:r>
          </w:p>
        </w:tc>
      </w:tr>
    </w:tbl>
    <w:p>
      <w:pPr>
        <w:spacing w:after="0"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Material de estudo clínico — Síndrome de Fahr / Hipocalcemia — atualizado em 11/09/2026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65F7D"/>
        <w:sz w:val="17"/>
      </w:rPr>
      <w:t>TURBO TEMI 360X  |  Clínica Médica • Emergência • UTI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6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7D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B3A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A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urboCallout">
    <w:name w:val="Turbo Callout"/>
    <w:pPr>
      <w:spacing w:after="80" w:before="80"/>
    </w:pPr>
    <w:rPr>
      <w:rFonts w:ascii="Aptos" w:hAnsi="Aptos"/>
      <w:b/>
      <w:color w:val="143F64"/>
      <w:sz w:val="20"/>
    </w:rPr>
  </w:style>
  <w:style w:type="paragraph" w:customStyle="1" w:styleId="SmallRef">
    <w:name w:val="Small Ref"/>
    <w:rPr>
      <w:rFonts w:ascii="Aptos" w:hAnsi="Aptos"/>
      <w:color w:val="4646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Turbo TEMI 360X — Síndrome de Fahr e Hipocalcemia</dc:title>
  <dc:subject>Clínica Médica, Emergência, Terapia Intensiva, Hipoparatireoidismo, Calcificação cerebral</dc:subject>
  <dc:creator>OpenAI — material técnico estruturado para estudo clínico</dc:creator>
  <cp:keywords>Fahr; hipocalcemia; hipoparatireoidismo; núcleos da base; TEMI; PTH; fósforo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