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" w:hAnsi="Aptos"/>
          <w:b/>
          <w:i w:val="0"/>
          <w:color w:val="0B3558"/>
          <w:sz w:val="56"/>
        </w:rPr>
        <w:t>GUIA TURBO TEMI 360x</w:t>
      </w:r>
    </w:p>
    <w:p>
      <w:pPr>
        <w:jc w:val="center"/>
      </w:pPr>
      <w:r>
        <w:rPr>
          <w:rFonts w:ascii="Aptos" w:hAnsi="Aptos"/>
          <w:b/>
          <w:i w:val="0"/>
          <w:color w:val="0D6EAF"/>
          <w:sz w:val="42"/>
        </w:rPr>
        <w:t>Hemocultura positiva para Acinetobacter baumannii / CRAB</w:t>
      </w:r>
    </w:p>
    <w:p>
      <w:pPr>
        <w:jc w:val="center"/>
      </w:pPr>
      <w:r>
        <w:rPr>
          <w:rFonts w:ascii="Aptos" w:hAnsi="Aptos"/>
          <w:b w:val="0"/>
          <w:i w:val="0"/>
          <w:color w:val="475467"/>
          <w:sz w:val="23"/>
        </w:rPr>
        <w:t>Diagnóstico • colonização x infecção • antibiograma • resistência • controle de foco • stewardship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0D6EAF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5F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0D6EAF"/>
                <w:sz w:val="22"/>
              </w:rPr>
              <w:t>OBJETIVO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Material autossuficiente para organizar o raciocínio clínico diante de A. baumannii em hemocultura, especialmente em pacientes internados ou recentemente egressos da UTI, com foco em significância clínica, interpretação microbiológica, risco de CRAB, controle de foco e reavaliação segura.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E67E22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FF3CD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E67E22"/>
                <w:sz w:val="22"/>
              </w:rPr>
              <w:t>LIMITE DO MATERIAL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Este guia não traz doses, esquemas ou comparações práticas de uso de medicamentos. A seleção e administração de antimicrobianos deve seguir protocolo institucional atualizado, infectologia/farmácia clínica e dados completos de susceptibilidade.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/>
          <w:b/>
          <w:i w:val="0"/>
          <w:color w:val="5B3FA6"/>
          <w:sz w:val="21"/>
        </w:rPr>
        <w:t>TDAH-friendly: blocos curtos, algoritmo, casos de 60 s, quiz, flashcards e revisão final.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B355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MAPA DO GUIA</w:t>
            </w:r>
          </w:p>
          <w:p>
            <w:r>
              <w:rPr>
                <w:rFonts w:ascii="Aptos" w:hAnsi="Aptos"/>
                <w:b w:val="0"/>
                <w:i w:val="0"/>
                <w:color w:val="D8EAF7"/>
                <w:sz w:val="18"/>
              </w:rPr>
              <w:t>Use como índice rápido no plantão e roteiro para revisão ativa.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Bloco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 que resolve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1. Significância da hemocultura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Como separar bacteremia verdadeira, contaminação/pseudobacteremia e colonização de outros sítios.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2. Resultado pós-alta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Como reavaliar um resultado liberado depois da alta da UTI/hospital.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3. CRAB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O que significa o fenótipo resistente a carbapenêmicos e por que muda o risco clínico.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4. Antibiograma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Como ler MIC, método, coerência do fenótipo e quando discutir o resultado com microbiologia.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5. Resistência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OXA, ADC, porinas, efluxo, alterações de alvo e biofilme.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6. Foco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CVC, pulmão, urina, abdome, pele/partes moles, próteses e endovascular.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7. Monitorização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Quando repetir hemoculturas, como documentar clearance e sinais de falha.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8. Stewardship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Evitar tratamento de colonização, reavaliar necessidade e duração com base no foco.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9. Aprendizagem ativa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Casos de 60 segundos, quiz e flashcards.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MEMÓRIA-MÃE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SANGUE é sítio estéril: leve A. baumannii a sério até esclarecer o contexto. CRAB é um marcador de alta complexidade microbiológica. Cultura de sítio não estéril não é sinônimo de infecção. Controle de foco é tão importante quanto a escolha do antimicrobiano.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B355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1 | HEMOCULTURA POSITIVA: INFECÇÃO, COLONIZAÇÃO OU CONTAMINAÇÃO?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C62828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DECE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C62828"/>
                <w:sz w:val="22"/>
              </w:rPr>
              <w:t>RESPOSTA DIRETA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A. baumannii em sangue deve ser interpretado como potencialmente significativo até que a revisão do contexto sustente o contrário. Colonização é muito mais comum em sítios não estéreis, como secreções respiratórias, feridas e urina em pacientes com dispositivos.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mocultura_positiva_guia_clínico_vi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667085"/>
          <w:sz w:val="16"/>
        </w:rPr>
        <w:t>Imagem 1. Bacteremia verdadeira x colonização x contaminação/pseudobacteremia.</w:t>
      </w: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Checklist de significância clínica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Número de sets e frascos positivos, e se o mesmo microrganismo apareceu em mais de uma coleta.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Origem da amostra: periférica, CVC ou ambas; revisar qualidade da coleta.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Tempo para positividade e coerência com possível foco intravascular.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Sinais de síndrome infecciosa: febre, calafrios, hipotensão, disfunção orgânica e alterações inflamatórias.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Dispositivos presentes: CVC, prótese, dreno, cateter urinário, traqueostomia ou outros.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Hemoculturas repetidas e evolução clínica: persistência microbiológica aumenta a suspeita de foco não controlado.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E67E22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FF3CD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E67E22"/>
                <w:sz w:val="22"/>
              </w:rPr>
              <w:t>ARMADILHA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Não use a palavra “colonização” como sinônimo de “o paciente está melhor”. Colonização descreve a relação microrganismo-sítio sem doença invasiva; sangue não é um sítio colonizado habitual.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D6EA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2 | RESULTADO LIBERADO APÓS ALTA DA UTI/HOSPITAL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uta_após_hemocultura_positi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667085"/>
          <w:sz w:val="16"/>
        </w:rPr>
        <w:t>Imagem 2. Conduta organizada quando a hemocultura positiva é liberada após a alta.</w:t>
      </w: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Sequência operacional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Confirmar espécie, data da coleta, número de frascos/sets positivos e origem da amostra.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Contatar o paciente/responsável e organizar reavaliação clínica rápida.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Pesquisar sintomas atuais e sinais de deterioração; instabilidade exige avaliação urgente.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Revisar dispositivos que estavam presentes na internação e se ainda permanecem.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Investigar foco provável e necessidade de novas culturas antes de qualquer mudança terapêutica, quando isso puder ser feito com segurança.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Rever o antibiograma completo e discutir resultados discordantes ou incomuns com microbiologia/infectologia.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C62828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DECE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C62828"/>
                <w:sz w:val="22"/>
              </w:rPr>
              <w:t>SINAIS DE ALTO RISCO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Hipotensão, hipoxemia, alteração do sensório, disfunção renal aguda, neutropenia importante, bacteremia persistente, suspeita endovascular ou dispositivo intravascular associado elevam o risco e justificam reavaliação imediata.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5B3FA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3 | CRAB: O QUE O FENÓTIPO REALMENTE QUER DIZER?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0D6EAF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5F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0D6EAF"/>
                <w:sz w:val="22"/>
              </w:rPr>
              <w:t>DEFINIÇÃO OPERACIONAL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CRAB significa carbapenem-resistant Acinetobacter baumannii. É um fenótipo associado a múltiplos mecanismos de resistência, opções terapêuticas limitadas e maior risco de inadequação do tratamento empírico.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O que muda no raciocínio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Domínio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Implicação prática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Probabilidade pré-teste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História de UTI, ventilação mecânica, internação prolongada, dispositivos e exposição antimicrobiana aumentam a probabilidade de CRAB.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Microbiologia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Não basta ler “R”. Confirme espécie, método, coerência do antibiograma e, quando necessário, MIC e teste de confirmação.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Foco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Sítio anatômico e controle de foco passam a ter peso ainda maior, pois farmacologia e biofilme influenciam desfechos.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Stewardship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Evitar tratar colonização reduz pressão seletiva e toxicidade; tratar infecção invasiva de forma adequada reduz atraso terapêutico.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Equipe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Casos invasivos, persistentes ou com padrão de resistência complexo merecem discussão precoce com infectologia, microbiologia e farmácia clínica.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5B3FA6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0EC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5B3FA6"/>
                <w:sz w:val="22"/>
              </w:rPr>
              <w:t>MEMÓRIA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CRAB não é “um germe com uma resistência”. É um pacote de mecanismos que pode envolver enzimas, entrada reduzida, efluxo, alteração de alvo e biofilme.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D6EA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4 | COMO LER O ANTIBIOGRAMA COM SENSO CRÍTICO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E67E22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FF3CD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E67E22"/>
                <w:sz w:val="22"/>
              </w:rPr>
              <w:t>REGRA DE OURO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O antibiograma é um dado de laboratório, não uma prescrição automática. A decisão clínica exige integrar método, MIC/categoria interpretativa, sítio da infecção, função orgânica, foco e evolução.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Perguntas que valem mais do que decorar uma tabela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O método de susceptibilidade é apropriado para A. baumannii e para o antimicrobiano testado?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O fenótipo é coerente entre classes ou há combinação improvável que mereça confirmação?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O laboratório reportou MIC real ou apenas categoria interpretativa?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Os pontos de corte usados são atuais e compatíveis com o padrão adotado pelo laboratório?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Há discrepância entre identificação automatizada, MALDI-TOF, cultura repetida ou quadro clínico?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O resultado foi obtido de sangue ou de sítio não estéril onde colonização é frequente?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QUANDO LIGAR PARA A MICROBIOLOGIA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Resultado inesperado, padrão de resistência incoerente, divergência entre culturas, suspeita de erro pré-analítico, persistência de bacteremia ou decisão clínica de alto impacto.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C6282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5 | POR QUE O CRAB É TÃO RESISTENTE?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ismos_de_resistência_do_cr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667085"/>
          <w:sz w:val="16"/>
        </w:rPr>
        <w:t>Imagem 3. Mecanismos de resistência que se somam no CRAB.</w:t>
      </w: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Mecanismo → consequência clínica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Mecanismo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Por que importa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Carbapenemases OXA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Inativação de beta-lactâmicos e forte contribuição para resistência a carbapenêmicos.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Cefalosporinases ADC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Ampliação da resistência a beta-lactâmicos.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Perda/alteração de porinas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Menor entrada de moléculas na célula bacteriana.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Bombas de efluxo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Redução da concentração intracelular de múltiplas classes.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Alterações de alvo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Mudanças em proteínas-alvo podem reduzir atividade de diferentes classes.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Biofilme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Persistência em superfícies e dispositivos; aumenta a importância de retirada/troca de foco quando indicado.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5B3FA6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0EC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5B3FA6"/>
                <w:sz w:val="22"/>
              </w:rPr>
              <w:t>CORRELAÇÃO FACILITADORA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Enzima destrói; porina fecha a porta; efluxo expulsa; alvo muda; biofilme protege. CRAB combina várias dessas barreiras ao mesmo tempo.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168B4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6 | CONTROLE DE FOCO: O ANTIBIOGRAMA NÃO RESOLVE UM DISPOSITIVO INFECTADO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_de_foco_na_bacterem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667085"/>
          <w:sz w:val="16"/>
        </w:rPr>
        <w:t>Imagem 4. Principais focos a investigar em bacteremia por A. baumannii.</w:t>
      </w: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Focos prioritários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Foco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Pergunta prática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CVC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Revisar sinais locais, temporalidade, culturas periféricas x cateter e necessidade de retirada/troca.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Pulmão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Distinguir pneumonia verdadeira de colonização do trato respiratório; integrar imagem e síndrome clínica.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Urina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Diferenciar ITU de bacteriúria associada a cateter e procurar obstrução.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Abdome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Pesquisar coleções, perfuração, peritonite ou foco que necessite drenagem/intervenção.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Pele/partes moles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Avaliar ferida, abscesso, necrose e necessidade de desbridamento.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Prótese/dispositivo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Considerar biofilme e possibilidade de foco persistente/endovascular.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MEMÓRIA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Se a hemocultura não clareia, pergunte antes de tudo: “Existe algo que eu ainda não removi, drenei ou identifiquei?”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B355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7 | HEMOCULTURA DE CONTROLE E MONITORIZAÇÃO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Quando a repetição é especialmente útil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Bacteremia persistente ou ausência de melhora clínica.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Suspeita de foco endovascular.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Dispositivo intravascular possivelmente envolvido.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Prótese ou material implantável.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Quando documentar clearance muda investigação, duração ou decisão de controle de foco.</w:t>
      </w: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Metas de resposta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Meta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 que observar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Clínica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Estabilidade hemodinâmica, melhora do estado geral, redução de sinais sistêmicos e recuperação de disfunções.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Microbiológica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Ausência de bacteremia persistente quando culturas de controle são indicadas.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Foco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Dispositivo/foco tratado ou removido quando necessário.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Toxicidade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Monitorização renal/hepática e eventos adversos conforme o tratamento instituído pela equipe.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Stewardship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Revisão diária da necessidade, adequação e duração da terapia antimicrobiana.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C62828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DECE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C62828"/>
                <w:sz w:val="22"/>
              </w:rPr>
              <w:t>FALHA TERAPÊUTICA NÃO É APENAS “ANTIBIÓTICO ERRADO”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Pense em foco não controlado, coleta inadequada, diagnóstico alternativo, dispositivo colonizado/infectado, resistência emergente, exposição farmacológica insuficiente ou imunossupressão importante.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E67E2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8 | DIFERENCIAIS E ARMADILHAS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Diagnósticos/situações que confundem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Situação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Como separar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Colonização respiratória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Cultura positiva sem critérios clínico-radiológicos de pneumonia.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Bacteriúria associada a sonda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Cultura positiva sem síndrome urinária/infecciosa.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Pseudobacteremia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Contaminação ou problema de coleta/processamento; considerar se quadro é incompatível e culturas repetidas são negativas.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Infecção de CVC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Pode se apresentar com poucos sinais locais; correlação de culturas e dispositivo é fundamental.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Endovascular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Suspeitar em bacteremia persistente, material intravascular, prótese ou ausência de foco claro.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Foco profundo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Coleção abdominal, osteoarticular ou partes moles pode sustentar bacteremia apesar de melhora parcial.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Principais erros a evitar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Tratar cultura de sítio não estéril sem síndrome infecciosa.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Ignorar hemocultura positiva porque o paciente “já está bem”.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Basear toda a decisão apenas em S/I/R sem olhar método, MIC e contexto.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Não procurar CVC, prótese, abscesso, obstrução ou outro foco controlável.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Não repetir culturas quando a persistência microbiológica mudaria a conduta.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Prolongar tratamento apenas porque o microrganismo é resistente, sem reavaliar foco e resposta.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1D2939"/>
          <w:sz w:val="20"/>
        </w:rPr>
        <w:t>Não envolver microbiologia/infectologia diante de padrão de resistência complexo ou discordante.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5B3FA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APRENDIZAGEM ATIVA | CASOS DE 60 SEGUNDOS</w:t>
            </w:r>
          </w:p>
          <w:p>
            <w:r>
              <w:rPr>
                <w:rFonts w:ascii="Aptos" w:hAnsi="Aptos"/>
                <w:b w:val="0"/>
                <w:i w:val="0"/>
                <w:color w:val="D8EAF7"/>
                <w:sz w:val="18"/>
              </w:rPr>
              <w:t>Responda antes de ler a solução.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CASO 1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Paciente pós-UTI, afebril, um único frasco coletado de CVC cresce A. baumannii; culturas periféricas repetidas são negativas e não há foco clínico.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RESPOSTA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Pseudobacteremia/contaminação ou evento relacionado ao cateter tornam-se hipóteses mais plausíveis. Rever coleta, tempo para positividade, dispositivo e contexto antes de assumir bacteremia verdadeira.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CASO 2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Traqueostomizado sem febre, sem nova infiltração e sem piora ventilatória tem aspirado traqueal com CRAB.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RESPOSTA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O achado isolado favorece colonização respiratória. Diagnóstico de pneumonia requer síndrome clínica/radiológica, não apenas cultura positiva.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CASO 3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Hemoculturas continuam positivas apesar de melhora parcial da febre.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RESPOSTA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Procure foco não controlado, especialmente CVC, material intravascular, endovascular, coleção profunda ou prótese. Persistência microbiológica é um sinal de alerta.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CASO 4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Resultado positivo aparece após a alta e o paciente relata calafrios e fraqueza.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RESPOSTA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Organizar reavaliação urgente. Revisar origem da coleta, dispositivos, foco e necessidade de novas hemoculturas e investigação clínica.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CASO 5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O antibiograma mostra um padrão pouco coerente com a identificação e com culturas anteriores.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RESPOSTA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Não force uma interpretação. Confirme identificação, método, MIC, pontos de corte e discuta com microbiologia antes de uma decisão de alto impacto.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B355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QUIZ TEMI | 8 QUESTÕES DE FIXAÇÃO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1. Em qual sítio a colonização por A. baumannii é mais plausível?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Secreção respiratória de paciente traqueostomizado sem síndrome de pneumonia.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2. O que torna uma hemocultura persistente mais preocupante?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Sugere foco não controlado, dispositivo/endovascular ou falha de estratégia diagnóstica/terapêutica.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3. O que significa CRAB?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A. baumannii resistente a carbapenêmicos.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4. Qual é o maior erro ao ler antibiograma?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Transformar S/I/R em prescrição automática sem integrar método, sítio, MIC e quadro clínico.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5. Por que biofilme importa?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Favorece persistência em dispositivos e pode tornar o controle de foco indispensável.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6. Quando chamar microbiologia?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Fenótipo incoerente, resultado inesperado, persistência de bacteremia, discordância entre culturas ou decisão de alto impacto.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7. O que fazer com resultado positivo liberado após alta?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Reavaliar rapidamente o paciente e o contexto da coleta/foco; não ignorar o resultado.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8. Resistência por si só define duração mais longa?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Não. Duração depende do foco, controle de fonte, resposta, complicações e contexto do hospedeiro.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168B4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FLASHCARDS | REPETIÇÃO ESPAÇADA</w:t>
            </w:r>
          </w:p>
          <w:p>
            <w:r>
              <w:rPr>
                <w:rFonts w:ascii="Aptos" w:hAnsi="Aptos"/>
                <w:b w:val="0"/>
                <w:i w:val="0"/>
                <w:color w:val="D8EAF7"/>
                <w:sz w:val="18"/>
              </w:rPr>
              <w:t>Revisar em 1, 3, 7 e 21 dias.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1. Sangue é sítio estéril?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Sim; A. baumannii em hemocultura merece investigação como possível bacteremia verdadeira.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2. Colonização é comum onde?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Trato respiratório, feridas e urina associada a dispositivos são cenários típicos.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3. CRAB quer dizer?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A. baumannii resistente a carbapenêmicos.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4. Qual o “segundo tratamento” além do antimicrobiano?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Controle de foco.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5. Persistência de hemocultura lembra o quê?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Dispositivo, endovascular ou foco profundo não controlado.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6. Biofilme = 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Comunidade bacteriana protegida em superfícies/dispositivos que favorece persistência.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7. Antibiograma sozinho decide tratamento?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Não; precisa de método, MIC/categoria, sítio, quadro e hospedeiro.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8. Resultado pós-alta pode ser ignorado se paciente está bem?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Não; precisa de reavaliação contextualizada.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9. Secreção traqueal positiva = pneumonia?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Não necessariamente; pode ser colonização.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270"/>
            <w:shd w:fill="EAF5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0B3558"/>
                <w:sz w:val="19"/>
              </w:rPr>
              <w:t>10. Resistência implica curso mais longo?</w:t>
            </w:r>
          </w:p>
        </w:tc>
        <w:tc>
          <w:tcPr>
            <w:tcW w:type="dxa" w:w="5270"/>
            <w:shd w:fill="EAF8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D2939"/>
                <w:sz w:val="19"/>
              </w:rPr>
              <w:t>Não automaticamente; duração é guiada pelo foco e resposta.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C6282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EM 30 SEGUNDOS NO PLANTÃO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0D6EAF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5F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0D6EAF"/>
                <w:sz w:val="22"/>
              </w:rPr>
              <w:t>1. CONFIRME O CONTEXTO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Número de sets, origem da coleta, tempo para positividade, sinais clínicos e dispositivos.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0D6EAF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5FC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0D6EAF"/>
                <w:sz w:val="22"/>
              </w:rPr>
              <w:t>2. DEFINA SE HÁ INFECÇÃO INVASIVA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Sangue é sítio estéril; cultura de secreção/ferida/urina pode representar colonização.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E67E22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FF3CD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E67E22"/>
                <w:sz w:val="22"/>
              </w:rPr>
              <w:t>3. IDENTIFIQUE CRAB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Resistência a carbapenêmicos = fenótipo de alta complexidade.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5B3FA6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0EC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5B3FA6"/>
                <w:sz w:val="22"/>
              </w:rPr>
              <w:t>4. LEIA O ANTIBIOGRAMA CRITICAMENTE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Método, MIC/categoria, coerência do fenótipo e discussão com microbiologia quando necessário.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5. PROCURE O FOCO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CVC, pulmão, urina, abdome, pele, próteses e endovascular.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168B4B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EAF8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68B4B"/>
                <w:sz w:val="22"/>
              </w:rPr>
              <w:t>6. DOCUMENTE RESPOSTA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Clínica + clearance quando indicado + controle de foco + toxicidade + stewardship diário.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10" w:color="0B3558"/>
        </w:pBdr>
      </w:pPr>
      <w:r>
        <w:rPr>
          <w:rFonts w:ascii="Aptos" w:hAnsi="Aptos"/>
          <w:b/>
          <w:i w:val="0"/>
          <w:color w:val="0B3558"/>
          <w:sz w:val="28"/>
        </w:rPr>
        <w:t>Checklist de passagem de plantão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5270"/>
            <w:shd w:fill="0D6EA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Registrar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Hemocultura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Data, número de sets positivos e origem.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Espécie/fenótipo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A. baumannii; CRAB sim/não; método/MIC quando relevante.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Foco provável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Definido, em investigação ou ausente.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Dispositivos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CVC, sonda, prótese, dreno, TQT e ações de controle de foco.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Culturas de controle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Indicadas? colhidas? resultado?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Evolução</w:t>
            </w:r>
          </w:p>
        </w:tc>
        <w:tc>
          <w:tcPr>
            <w:tcW w:type="dxa" w:w="6912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Hemodinâmica, respiratória, renal, inflamatória e neurológica.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/>
                <w:i w:val="0"/>
                <w:color w:val="1D2939"/>
                <w:sz w:val="18"/>
              </w:rPr>
              <w:t>Pendência crítica</w:t>
            </w:r>
          </w:p>
        </w:tc>
        <w:tc>
          <w:tcPr>
            <w:tcW w:type="dxa" w:w="69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color w:val="1D2939"/>
                <w:sz w:val="18"/>
              </w:rPr>
              <w:t>Microbiologia, infectologia, imagem, retirada de dispositivo ou investigação endovascular.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40"/>
            <w:shd w:fill="0B355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36"/>
              </w:rPr>
              <w:t>REFERÊNCIAS ESSENCIAIS E DOI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i w:val="0"/>
          <w:color w:val="0B3558"/>
          <w:sz w:val="19"/>
        </w:rPr>
        <w:t xml:space="preserve">1. </w:t>
      </w:r>
      <w:r>
        <w:rPr>
          <w:rFonts w:ascii="Aptos" w:hAnsi="Aptos"/>
          <w:b w:val="0"/>
          <w:i w:val="0"/>
          <w:color w:val="1D2939"/>
          <w:sz w:val="19"/>
        </w:rPr>
        <w:t xml:space="preserve">Tamma PD, Bonomo RA, Heil EL, et al. Infectious Diseases Society of America 2026 Guidance on the Treatment of Antimicrobial-Resistant Gram-Negative Infections. Clinical Infectious Diseases. 2026. </w:t>
      </w:r>
      <w:r>
        <w:rPr>
          <w:rFonts w:ascii="Aptos" w:hAnsi="Aptos"/>
          <w:b/>
          <w:i w:val="0"/>
          <w:color w:val="0D6EAF"/>
          <w:sz w:val="19"/>
        </w:rPr>
        <w:t>DOI: 10.1093/cid/ciag481</w:t>
      </w:r>
    </w:p>
    <w:p>
      <w:pPr>
        <w:spacing w:after="80"/>
      </w:pPr>
      <w:r>
        <w:rPr>
          <w:rFonts w:ascii="Aptos" w:hAnsi="Aptos"/>
          <w:b/>
          <w:i w:val="0"/>
          <w:color w:val="0B3558"/>
          <w:sz w:val="19"/>
        </w:rPr>
        <w:t xml:space="preserve">2. </w:t>
      </w:r>
      <w:r>
        <w:rPr>
          <w:rFonts w:ascii="Aptos" w:hAnsi="Aptos"/>
          <w:b w:val="0"/>
          <w:i w:val="0"/>
          <w:color w:val="1D2939"/>
          <w:sz w:val="19"/>
        </w:rPr>
        <w:t xml:space="preserve">Kaye KS, Shorr AF, Wunderink RG, et al. Phase 3 ATTACK trial in serious Acinetobacter baumannii-calcoaceticus complex infections. Lancet Infectious Diseases. 2023;23(9):1072-1084. </w:t>
      </w:r>
      <w:r>
        <w:rPr>
          <w:rFonts w:ascii="Aptos" w:hAnsi="Aptos"/>
          <w:b/>
          <w:i w:val="0"/>
          <w:color w:val="0D6EAF"/>
          <w:sz w:val="19"/>
        </w:rPr>
        <w:t>DOI: 10.1016/S1473-3099(23)00184-6</w:t>
      </w:r>
    </w:p>
    <w:p>
      <w:pPr>
        <w:spacing w:after="80"/>
      </w:pPr>
      <w:r>
        <w:rPr>
          <w:rFonts w:ascii="Aptos" w:hAnsi="Aptos"/>
          <w:b/>
          <w:i w:val="0"/>
          <w:color w:val="0B3558"/>
          <w:sz w:val="19"/>
        </w:rPr>
        <w:t xml:space="preserve">3. </w:t>
      </w:r>
      <w:r>
        <w:rPr>
          <w:rFonts w:ascii="Aptos" w:hAnsi="Aptos"/>
          <w:b w:val="0"/>
          <w:i w:val="0"/>
          <w:color w:val="1D2939"/>
          <w:sz w:val="19"/>
        </w:rPr>
        <w:t xml:space="preserve">Tsuji BT, Pogue JM, Zavascki AP, et al. International Consensus Guidelines for the Optimal Use of the Polymyxins. Pharmacotherapy. 2019;39(1):10-39. </w:t>
      </w:r>
      <w:r>
        <w:rPr>
          <w:rFonts w:ascii="Aptos" w:hAnsi="Aptos"/>
          <w:b/>
          <w:i w:val="0"/>
          <w:color w:val="0D6EAF"/>
          <w:sz w:val="19"/>
        </w:rPr>
        <w:t>DOI: 10.1002/phar.2209</w:t>
      </w:r>
    </w:p>
    <w:p>
      <w:pPr>
        <w:spacing w:after="80"/>
      </w:pPr>
      <w:r>
        <w:rPr>
          <w:rFonts w:ascii="Aptos" w:hAnsi="Aptos"/>
          <w:b/>
          <w:i w:val="0"/>
          <w:color w:val="0B3558"/>
          <w:sz w:val="19"/>
        </w:rPr>
        <w:t xml:space="preserve">4. </w:t>
      </w:r>
      <w:r>
        <w:rPr>
          <w:rFonts w:ascii="Aptos" w:hAnsi="Aptos"/>
          <w:b w:val="0"/>
          <w:i w:val="0"/>
          <w:color w:val="1D2939"/>
          <w:sz w:val="19"/>
        </w:rPr>
        <w:t xml:space="preserve">BALANCE Investigators. Antibiotic Treatment for 7 versus 14 Days in Patients with Bloodstream Infections. New England Journal of Medicine. 2025;392:1065-1078. </w:t>
      </w:r>
      <w:r>
        <w:rPr>
          <w:rFonts w:ascii="Aptos" w:hAnsi="Aptos"/>
          <w:b/>
          <w:i w:val="0"/>
          <w:color w:val="0D6EAF"/>
          <w:sz w:val="19"/>
        </w:rPr>
        <w:t>DOI: 10.1056/NEJMoa2404991</w:t>
      </w:r>
    </w:p>
    <w:p>
      <w:pPr>
        <w:spacing w:after="80"/>
      </w:pPr>
      <w:r>
        <w:rPr>
          <w:rFonts w:ascii="Aptos" w:hAnsi="Aptos"/>
          <w:b/>
          <w:i w:val="0"/>
          <w:color w:val="0B3558"/>
          <w:sz w:val="19"/>
        </w:rPr>
        <w:t xml:space="preserve">5. </w:t>
      </w:r>
      <w:r>
        <w:rPr>
          <w:rFonts w:ascii="Aptos" w:hAnsi="Aptos"/>
          <w:b w:val="0"/>
          <w:i w:val="0"/>
          <w:color w:val="1D2939"/>
          <w:sz w:val="19"/>
        </w:rPr>
        <w:t xml:space="preserve">Carbapenem-resistant Acinetobacter baumannii: Colonization, Infection and Current Treatment Options. Infectious Diseases and Therapy. 2022. </w:t>
      </w:r>
      <w:r>
        <w:rPr>
          <w:rFonts w:ascii="Aptos" w:hAnsi="Aptos"/>
          <w:b/>
          <w:i w:val="0"/>
          <w:color w:val="0D6EAF"/>
          <w:sz w:val="19"/>
        </w:rPr>
        <w:t>DOI: 10.1007/s40121-022-00597-w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66708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22"/>
              </w:rPr>
              <w:t>ATUALIZAÇÃO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A orientação IDSA 2026 foi publicada em agosto de 2026 e informa refletir evidência/consenso disponível até 01/03/2026. Resistência antimicrobiana é uma área dinâmica; protocolos locais e versões mais recentes devem ser conferidos.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64"/>
      </w:tblGrid>
      <w:tr>
        <w:tc>
          <w:tcPr>
            <w:tcW w:type="dxa" w:w="5270"/>
            <w:shd w:fill="E67E22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5270"/>
            <w:shd w:fill="FFF3CD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E67E22"/>
                <w:sz w:val="22"/>
              </w:rPr>
              <w:t>NOTA FINAL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D2939"/>
                <w:sz w:val="20"/>
              </w:rPr>
              <w:t>Material educacional de raciocínio clínico e stewardship. Decisões terapêuticas reais devem ser conduzidas por equipe assistente qualificada, protocolo institucional atualizado e suporte de infectologia/microbiologia/farmácia clínica nos casos complexos.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6"/>
      </w:rPr>
      <w:t>Turbo TEMI 360x | A. baumannii / CRAB | revisão 11/09/2026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