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Encefalite paraneoplásica</w:t>
      </w:r>
    </w:p>
    <w:p>
      <w:pPr>
        <w:pStyle w:val="Subtitle"/>
      </w:pPr>
      <w:r>
        <w:t>Prática + TEMI</w:t>
      </w:r>
    </w:p>
    <w:p>
      <w:pPr>
        <w:keepNext w:val="0"/>
        <w:spacing w:after="80" w:before="0"/>
      </w:pPr>
      <w:r>
        <w:rPr>
          <w:b w:val="0"/>
          <w:sz w:val="21"/>
        </w:rPr>
      </w:r>
      <w:r>
        <w:rPr>
          <w:b/>
          <w:sz w:val="21"/>
        </w:rPr>
        <w:t>Estudo principal 25 minutos</w:t>
      </w:r>
      <w:r>
        <w:rPr>
          <w:b w:val="0"/>
          <w:sz w:val="21"/>
        </w:rPr>
        <w:t xml:space="preserve">  |  Treino 20 minutos  |  Revisão 2 minutos</w:t>
      </w:r>
    </w:p>
    <w:p>
      <w:pPr>
        <w:keepNext w:val="0"/>
        <w:spacing w:after="100" w:before="0"/>
      </w:pPr>
      <w:r>
        <w:rPr>
          <w:b w:val="0"/>
        </w:rPr>
        <w:t>Reconheça uma encefalite tratável, proteja o cérebro e procure o tumor certo. O objetivo é decidir antes de ter todos os exames, preservando a distinção entre hipótese clínica e confirmação da causa.</w:t>
      </w:r>
    </w:p>
    <w:p>
      <w:pPr>
        <w:keepNext w:val="0"/>
        <w:spacing w:after="100" w:before="0"/>
      </w:pPr>
      <w:r>
        <w:rPr>
          <w:b w:val="0"/>
        </w:rPr>
      </w:r>
      <w:r>
        <w:rPr>
          <w:b/>
        </w:rPr>
        <w:t>Ao terminar:</w:t>
      </w:r>
      <w:r>
        <w:rPr>
          <w:b w:val="0"/>
        </w:rPr>
        <w:t xml:space="preserve"> 1 reconhecer o padrão límbico; 2 cruzar anticorpo, fenótipo e órgão; 3 organizar investigação e tratamento em paralelo.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1" name="Picture 1" descr="Figura 1. A suspeita começa pela síndrome. Os critérios de possível encefalite autoimune abrem a investigação; não comprovam origem paraneoplásica. [1,2]" title="QUANDO SUSPEITA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uando_suspei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1. A suspeita começa pela síndrome. Os critérios de possível encefalite autoimune abrem a investigação; não comprovam origem paraneoplásica. [1,2]</w:t>
      </w:r>
    </w:p>
    <w:p>
      <w:pPr>
        <w:pStyle w:val="Heading2"/>
      </w:pPr>
      <w:r>
        <w:t>Mapa de 60 segundos</w:t>
      </w:r>
    </w:p>
    <w:p>
      <w:pPr>
        <w:keepNext w:val="0"/>
        <w:spacing w:after="80" w:before="0"/>
      </w:pPr>
      <w:r>
        <w:rPr>
          <w:b w:val="0"/>
          <w:sz w:val="21"/>
        </w:rPr>
      </w:r>
      <w:r>
        <w:rPr>
          <w:b/>
          <w:sz w:val="21"/>
        </w:rPr>
        <w:t>Síndrome</w:t>
      </w:r>
      <w:r>
        <w:rPr>
          <w:b w:val="0"/>
          <w:sz w:val="21"/>
        </w:rPr>
        <w:t xml:space="preserve"> → memória, comportamento, crises e cronologia. </w:t>
      </w:r>
      <w:r>
        <w:rPr>
          <w:b/>
          <w:sz w:val="21"/>
        </w:rPr>
        <w:t>Cérebro</w:t>
      </w:r>
      <w:r>
        <w:rPr>
          <w:b w:val="0"/>
          <w:sz w:val="21"/>
        </w:rPr>
        <w:t xml:space="preserve"> → ressonância magnética (RM), eletroencefalograma (EEG) e líquido cefalorraquidiano (LCR). </w:t>
      </w:r>
      <w:r>
        <w:rPr>
          <w:b/>
          <w:sz w:val="21"/>
        </w:rPr>
        <w:t>Causa</w:t>
      </w:r>
      <w:r>
        <w:rPr>
          <w:b w:val="0"/>
          <w:sz w:val="21"/>
        </w:rPr>
        <w:t xml:space="preserve"> → excluir infecção e mimetizadores; integrar anticorpos. </w:t>
      </w:r>
      <w:r>
        <w:rPr>
          <w:b/>
          <w:sz w:val="21"/>
        </w:rPr>
        <w:t>Tumor</w:t>
      </w:r>
      <w:r>
        <w:rPr>
          <w:b w:val="0"/>
          <w:sz w:val="21"/>
        </w:rPr>
        <w:t xml:space="preserve"> → busca geral e dirigida. </w:t>
      </w:r>
      <w:r>
        <w:rPr>
          <w:b/>
          <w:sz w:val="21"/>
        </w:rPr>
        <w:t>Resposta</w:t>
      </w:r>
      <w:r>
        <w:rPr>
          <w:b w:val="0"/>
          <w:sz w:val="21"/>
        </w:rPr>
        <w:t xml:space="preserve"> → acompanhar função, crises e necessidade de suporte.</w:t>
      </w:r>
    </w:p>
    <w:p>
      <w:pPr>
        <w:pStyle w:val="Heading2"/>
      </w:pPr>
      <w:r>
        <w:t>Aprenda em 2 minutos</w:t>
      </w:r>
    </w:p>
    <w:p>
      <w:pPr>
        <w:keepNext w:val="0"/>
        <w:spacing w:after="80" w:before="0"/>
      </w:pPr>
      <w:r>
        <w:rPr>
          <w:b w:val="0"/>
          <w:sz w:val="21"/>
        </w:rPr>
        <w:t xml:space="preserve">A resposta imune desencadeada por um tumor pode reconhecer proteínas do sistema nervoso. Isso explica sintomas neurológicos antes de a neoplasia ser visível. Nas formas intracelulares, células T predominam; nas de superfície, o anticorpo pode alterar a sinapse. </w:t>
      </w:r>
      <w:r>
        <w:rPr>
          <w:b/>
          <w:sz w:val="21"/>
        </w:rPr>
        <w:t>Tratar inflamação e tumor são decisões complementares.</w:t>
      </w:r>
      <w:r>
        <w:rPr>
          <w:b w:val="0"/>
          <w:sz w:val="21"/>
        </w:rPr>
        <w:t xml:space="preserve"> [2–4]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Percurso rápido:</w:t>
      </w:r>
      <w:r>
        <w:rPr>
          <w:b w:val="0"/>
          <w:sz w:val="20"/>
        </w:rPr>
        <w:t xml:space="preserve"> compreensão e imagens pp. 1–6; aplicação p. 7; questões p. 8; correção e retenção p. 9; flashcards e fontes p. 10. Leia uma pergunta de cada vez e tente responder antes de consultar.</w:t>
      </w:r>
    </w:p>
    <w:p>
      <w:pPr>
        <w:keepNext w:val="0"/>
        <w:spacing w:after="80" w:before="0"/>
      </w:pPr>
      <w:r>
        <w:rPr>
          <w:b w:val="0"/>
          <w:sz w:val="18"/>
        </w:rPr>
      </w:r>
      <w:r>
        <w:rPr>
          <w:b/>
          <w:sz w:val="18"/>
        </w:rPr>
        <w:t>Siglas de consulta:</w:t>
      </w:r>
      <w:r>
        <w:rPr>
          <w:b w:val="0"/>
          <w:sz w:val="18"/>
        </w:rPr>
        <w:t xml:space="preserve"> TC = tomografia computadorizada; PET-FDG = tomografia por emissão de pósitrons com fluorodesoxiglicose; IgG = imunoglobulina G; PCR = reação em cadeia da polimerase; EV/IV = via intravenosa; PNS-Care = critérios de síndromes neurológicas paraneoplásicas.</w:t>
      </w:r>
    </w:p>
    <w:p>
      <w:pPr>
        <w:keepNext w:val="0"/>
        <w:spacing w:after="0" w:before="0"/>
      </w:pPr>
      <w:r>
        <w:rPr>
          <w:b w:val="0"/>
          <w:sz w:val="17"/>
        </w:rPr>
        <w:t>Adultos • Conteúdo educacional em revisão médica especializada • Fontes verificadas em 11/09/2026. As questões são originais e não reproduzem uma prova oficial.</w:t>
      </w:r>
    </w:p>
    <w:p>
      <w:pPr>
        <w:sectPr>
          <w:headerReference w:type="default" r:id="rId9"/>
          <w:footerReference w:type="default" r:id="rId10"/>
          <w:pgSz w:w="11906" w:h="16838"/>
          <w:pgMar w:top="737" w:right="794" w:bottom="737" w:left="794" w:header="283" w:footer="283" w:gutter="0"/>
          <w:cols w:space="380" w:num="1"/>
          <w:docGrid w:linePitch="360"/>
        </w:sectPr>
      </w:pPr>
    </w:p>
    <w:p>
      <w:pPr>
        <w:pStyle w:val="Heading1"/>
      </w:pPr>
      <w:r>
        <w:t>02 Entender o mecanismo e localizar o tumor</w:t>
      </w:r>
    </w:p>
    <w:p>
      <w:pPr>
        <w:keepNext w:val="0"/>
        <w:spacing w:after="80" w:before="0"/>
      </w:pPr>
      <w:r>
        <w:rPr>
          <w:b w:val="0"/>
          <w:sz w:val="21"/>
        </w:rPr>
        <w:t xml:space="preserve">O alvo do anticorpo ajuda a estimar o mecanismo e a resposta esperada. </w:t>
      </w:r>
      <w:r>
        <w:rPr>
          <w:b/>
          <w:sz w:val="21"/>
        </w:rPr>
        <w:t>Intracelular não é sinônimo de irreversível</w:t>
      </w:r>
      <w:r>
        <w:rPr>
          <w:b w:val="0"/>
          <w:sz w:val="21"/>
        </w:rPr>
        <w:t>, mas sugere maior participação celular e recuperação menos previsível. A prioridade é impedir perda neuronal adicional. [2–4]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2" name="Picture 2" descr="Figura 2. As categorias de associação tumoral não são a probabilidade individual do paciente. NMDAR, GABA-BR e AMPAR designam receptores sinápticos; o risco depende também do fenótipo. [2,3]" title="Mecanismos e risco tumo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canismos_e_ris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2. As categorias de associação tumoral não são a probabilidade individual do paciente. NMDAR, GABA-BR e AMPAR designam receptores sinápticos; o risco depende também do fenótipo. [2,3]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3" name="Picture 3" descr="Figura 3. O sinal que foge da memória ajuda a localizar: Ma2 envolve diencéfalo/tronco; KLHL11 costuma envolver tronco/cerebelo. As associações são prioritárias, não exclusivas. [5–8]" title="Anticorpos intracelulares e tumo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ticorpos_intracelula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3. O sinal que foge da memória ajuda a localizar: Ma2 envolve diencéfalo/tronco; KLHL11 costuma envolver tronco/cerebelo. As associações são prioritárias, não exclusivas. [5–8]</w:t>
      </w:r>
    </w:p>
    <w:p>
      <w:pPr>
        <w:keepNext w:val="0"/>
        <w:spacing w:after="0" w:before="0"/>
      </w:pPr>
      <w:r>
        <w:rPr>
          <w:b w:val="0"/>
          <w:sz w:val="20"/>
        </w:rPr>
      </w:r>
      <w:r>
        <w:rPr>
          <w:b/>
          <w:sz w:val="20"/>
        </w:rPr>
        <w:t>Raciocínio de prova:</w:t>
      </w:r>
      <w:r>
        <w:rPr>
          <w:b w:val="0"/>
          <w:sz w:val="20"/>
        </w:rPr>
        <w:t xml:space="preserve"> homem jovem com sonolência e paresia do olhar pede atenção a Ma2 e testículo. Ataxia com hipoacusia sugere KLHL11 e seminoma. Hu com disautonomia/neuronopatia exige busca cuidadosa de pequenas células do pulmão.</w:t>
      </w:r>
    </w:p>
    <w:p>
      <w:pPr>
        <w:sectPr>
          <w:pgSz w:w="11906" w:h="16838"/>
          <w:pgMar w:top="737" w:right="794" w:bottom="737" w:left="794" w:header="283" w:footer="283" w:gutter="0"/>
          <w:cols w:space="380" w:num="1"/>
          <w:docGrid w:linePitch="360"/>
        </w:sectPr>
      </w:pPr>
    </w:p>
    <w:p>
      <w:pPr>
        <w:pStyle w:val="Heading1"/>
      </w:pPr>
      <w:r>
        <w:t>03 Relacionar síndrome sináptica e neoplasia</w:t>
      </w:r>
    </w:p>
    <w:p>
      <w:pPr>
        <w:keepNext w:val="0"/>
        <w:spacing w:after="80" w:before="0"/>
      </w:pPr>
      <w:r>
        <w:rPr>
          <w:b w:val="0"/>
          <w:sz w:val="21"/>
        </w:rPr>
        <w:t>GABA-B participa da inibição; AMPA e NMDA, da transmissão glutamatérgica. Alterar receptores pode desorganizar circuitos sem destruir todos os neurônios, o que ajuda a explicar a recuperação com imunoterapia. A melhora pode levar tempo. [3,9–11]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4" name="Picture 4" descr="Figura 4. Crises proeminentes tornam GABA-BR uma pista importante, sobretudo no tabagista. AMPAR amplia a busca para pulmão, timo e mama. Um sintoma isolado não identifica o anticorpo. [9,10]" title="GABA-BR e AMP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aba_b_e_amp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4. Crises proeminentes tornam GABA-BR uma pista importante, sobretudo no tabagista. AMPAR amplia a busca para pulmão, timo e mama. Um sintoma isolado não identifica o anticorpo. [9,10]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5" name="Picture 5" descr="Figura 5. Na síndrome anti-NMDAR, comportamento, fala, movimento e controle autonômico podem se combinar. A pesquisa de IgG anti-GluN1 no LCR evita depender de resultado sérico isolado. [11,15]" title="Anti-NMDAR e teratoma ovaria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mdar_e_terato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5. Na síndrome anti-NMDAR, comportamento, fala, movimento e controle autonômico podem se combinar. A pesquisa de IgG anti-GluN1 no LCR evita depender de resultado sérico isolado. [11,15]</w:t>
      </w:r>
    </w:p>
    <w:p>
      <w:pPr>
        <w:keepNext w:val="0"/>
        <w:spacing w:after="0" w:before="0"/>
      </w:pPr>
      <w:r>
        <w:rPr>
          <w:b w:val="0"/>
          <w:sz w:val="20"/>
        </w:rPr>
      </w:r>
      <w:r>
        <w:rPr>
          <w:b/>
          <w:sz w:val="20"/>
        </w:rPr>
        <w:t>Não confunda:</w:t>
      </w:r>
      <w:r>
        <w:rPr>
          <w:b w:val="0"/>
          <w:sz w:val="20"/>
        </w:rPr>
        <w:t xml:space="preserve"> teratoma maduro pode ser benigno e ainda desencadear anti-NMDAR. Portanto, “neoplasia associada” não significa necessariamente carcinoma. PET corporal negativo não substitui ultrassom ou RM pélvica. [3,11]</w:t>
      </w:r>
    </w:p>
    <w:p>
      <w:pPr>
        <w:sectPr>
          <w:pgSz w:w="11906" w:h="16838"/>
          <w:pgMar w:top="737" w:right="794" w:bottom="737" w:left="794" w:header="283" w:footer="283" w:gutter="0"/>
          <w:cols w:space="380" w:num="1"/>
          <w:docGrid w:linePitch="360"/>
        </w:sectPr>
      </w:pPr>
    </w:p>
    <w:p>
      <w:pPr>
        <w:pStyle w:val="Heading1"/>
      </w:pPr>
      <w:r>
        <w:t>04 Reconhecer padrões sem perder urgências</w:t>
      </w:r>
    </w:p>
    <w:p>
      <w:pPr>
        <w:keepNext w:val="0"/>
        <w:spacing w:after="80" w:before="0"/>
      </w:pPr>
      <w:r>
        <w:rPr>
          <w:b w:val="0"/>
          <w:sz w:val="21"/>
        </w:rPr>
        <w:t xml:space="preserve">O fenótipo refina o risco: </w:t>
      </w:r>
      <w:r>
        <w:rPr>
          <w:b/>
          <w:sz w:val="21"/>
        </w:rPr>
        <w:t>CASPR2 com Morvan</w:t>
      </w:r>
      <w:r>
        <w:rPr>
          <w:b w:val="0"/>
          <w:sz w:val="21"/>
        </w:rPr>
        <w:t xml:space="preserve"> não tem a mesma associação tumoral de CASPR2 límbico isolado. Em LGI1, crises faciobraquiais distônicas são uma pista mais específica que hiponatremia isolada. [2,12–14]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6" name="Picture 6" descr="Figura 6. GABA-AR e GABA-BR são receptores diferentes. Lesões multifocais e status sugerem GABA-AR; síndrome límbica com crises marcantes sugere GABA-BR, sem exclusividade. [9,13]" title="Outros anticorpos e diferenç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utros_anticorpos_nao_confun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6. GABA-AR e GABA-BR são receptores diferentes. Lesões multifocais e status sugerem GABA-AR; síndrome límbica com crises marcantes sugere GABA-BR, sem exclusividade. [9,13]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7" name="Picture 7" descr="Figura 7. Faça as trilhas em paralelo. EEG procura uma ameaça elétrica ativa; RM caracteriza a lesão; LCR procura inflamação, infecção e infiltração neoplásica. [1,4,17]" title="Primeiras horas: investigação parale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vestigacao_primeiras_hor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7. Faça as trilhas em paralelo. EEG procura uma ameaça elétrica ativa; RM caracteriza a lesão; LCR procura inflamação, infecção e infiltração neoplásica. [1,4,17]</w:t>
      </w:r>
    </w:p>
    <w:p>
      <w:pPr>
        <w:keepNext w:val="0"/>
        <w:spacing w:after="0" w:before="0"/>
      </w:pPr>
      <w:r>
        <w:rPr>
          <w:b w:val="0"/>
          <w:sz w:val="20"/>
        </w:rPr>
      </w:r>
      <w:r>
        <w:rPr>
          <w:b/>
          <w:sz w:val="20"/>
        </w:rPr>
        <w:t>Prioridade consolidada:</w:t>
      </w:r>
      <w:r>
        <w:rPr>
          <w:b w:val="0"/>
          <w:sz w:val="20"/>
        </w:rPr>
        <w:t xml:space="preserve"> estabilizar e tratar crises. Se herpes simples (HSV) ainda for plausível, iniciar aciclovir sem esperar o painel ou uma punção atrasada. Se também houver suspeita de meningite bacteriana, acrescentar cobertura apropriada. [4,17]</w:t>
      </w:r>
    </w:p>
    <w:p>
      <w:pPr>
        <w:sectPr>
          <w:pgSz w:w="11906" w:h="16838"/>
          <w:pgMar w:top="737" w:right="794" w:bottom="737" w:left="794" w:header="283" w:footer="283" w:gutter="0"/>
          <w:cols w:space="380" w:num="1"/>
          <w:docGrid w:linePitch="360"/>
        </w:sectPr>
      </w:pPr>
    </w:p>
    <w:p>
      <w:pPr>
        <w:pStyle w:val="Heading1"/>
      </w:pPr>
      <w:r>
        <w:t>05 Investigar com uma hipótese verificável</w:t>
      </w:r>
    </w:p>
    <w:p>
      <w:pPr>
        <w:keepNext w:val="0"/>
        <w:spacing w:after="80" w:before="0"/>
      </w:pPr>
      <w:r>
        <w:rPr>
          <w:b w:val="0"/>
          <w:sz w:val="21"/>
        </w:rPr>
        <w:t xml:space="preserve">Um painel grande aumenta a chance de achados incidentais. O resultado só ajuda quando combina com síndrome, amostra e método. </w:t>
      </w:r>
      <w:r>
        <w:rPr>
          <w:b/>
          <w:sz w:val="21"/>
        </w:rPr>
        <w:t>Soro e LCR se complementam</w:t>
      </w:r>
      <w:r>
        <w:rPr>
          <w:b w:val="0"/>
          <w:sz w:val="21"/>
        </w:rPr>
        <w:t>; resultado inesperado precisa de revisão e, quando indicado, confirmação em laboratório de referência. [4,15,16]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8" name="Picture 8" descr="Figura 8. Colha antes de imunoglobulina ou plasmaférese quando viável; o cuidado urgente não deve esperar. Painel negativo não autoriza, por si só, nem descartar nem confirmar autoimunidade. [4,15,16]" title="Coleta e interpretação de anticorp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o_pedir_e_interpretar_anticorp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8. Colha antes de imunoglobulina ou plasmaférese quando viável; o cuidado urgente não deve esperar. Painel negativo não autoriza, por si só, nem descartar nem confirmar autoimunidade. [4,15,16]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9" name="Picture 9" descr="Figura 9. A tomografia inicial deve ser completada pelos exames que melhor enxergam o órgão suspeito. Lesão suspeita exige confirmação apropriada; uma adenopatia não prova câncer. [2–4]" title="Mapa oncológico e exames por sít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pa_oncologico_e_exa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9. A tomografia inicial deve ser completada pelos exames que melhor enxergam o órgão suspeito. Lesão suspeita exige confirmação apropriada; uma adenopatia não prova câncer. [2–4]</w:t>
      </w:r>
    </w:p>
    <w:p>
      <w:pPr>
        <w:keepNext w:val="0"/>
        <w:spacing w:after="0" w:before="0"/>
      </w:pPr>
      <w:r>
        <w:rPr>
          <w:b w:val="0"/>
          <w:sz w:val="20"/>
        </w:rPr>
      </w:r>
      <w:r>
        <w:rPr>
          <w:b/>
          <w:sz w:val="20"/>
        </w:rPr>
        <w:t>Próxima decisão:</w:t>
      </w:r>
      <w:r>
        <w:rPr>
          <w:b w:val="0"/>
          <w:sz w:val="20"/>
        </w:rPr>
        <w:t xml:space="preserve"> TC negativa com risco persistente → revisar exames dirigidos e considerar PET-FDG corporal. PET cerebral investiga metabolismo encefálico e é inespecífico. Se o tumor encontrado não combina com o fenótipo/anticorpo, considerar segunda neoplasia. [2,4]</w:t>
      </w:r>
    </w:p>
    <w:p>
      <w:pPr>
        <w:sectPr>
          <w:pgSz w:w="11906" w:h="16838"/>
          <w:pgMar w:top="737" w:right="794" w:bottom="737" w:left="794" w:header="283" w:footer="283" w:gutter="0"/>
          <w:cols w:space="380" w:num="1"/>
          <w:docGrid w:linePitch="360"/>
        </w:sectPr>
      </w:pPr>
    </w:p>
    <w:p>
      <w:pPr>
        <w:pStyle w:val="Heading1"/>
      </w:pPr>
      <w:r>
        <w:t>06 Tratar em paralelo e planejar o seguimento</w:t>
      </w:r>
    </w:p>
    <w:p>
      <w:pPr>
        <w:keepNext w:val="0"/>
        <w:spacing w:after="80" w:before="0"/>
      </w:pPr>
      <w:r>
        <w:rPr>
          <w:b w:val="0"/>
          <w:sz w:val="21"/>
        </w:rPr>
      </w:r>
      <w:r>
        <w:rPr>
          <w:b/>
          <w:sz w:val="21"/>
        </w:rPr>
        <w:t>Não espere semanas pelo painel</w:t>
      </w:r>
      <w:r>
        <w:rPr>
          <w:b w:val="0"/>
          <w:sz w:val="21"/>
        </w:rPr>
        <w:t xml:space="preserve"> quando há suspeita sustentada e exclusão razoável dos mimetizadores. Discuta com neurologia; trate a neoplasia relacionada em paralelo com oncologia. O objetivo é controlar crises, recuperar função e evitar nova lesão. [3,4]</w:t>
      </w:r>
    </w:p>
    <w:p>
      <w:pPr>
        <w:keepNext/>
        <w:spacing w:after="20" w:befor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336000" cy="3565895"/>
            <wp:docPr id="10" name="Picture 10" descr="Figura 10. A vigilância é uma decisão de risco. PNS-Care e consenso canadense usam populações e intervalos diferentes; a extensão até 5 anos no anti-Hu vem de coorte observacional. [2,3,8]" title="Rastreio negativo e seguimento estratég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astreio_negativo_e_segui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6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before="0"/>
        <w:jc w:val="left"/>
      </w:pPr>
      <w:r>
        <w:rPr>
          <w:b w:val="0"/>
          <w:sz w:val="18"/>
        </w:rPr>
        <w:t>Figura 10. A vigilância é uma decisão de risco. PNS-Care e consenso canadense usam populações e intervalos diferentes; a extensão até 5 anos no anti-Hu vem de coorte observacional. [2,3,8]</w:t>
      </w:r>
    </w:p>
    <w:p>
      <w:pPr>
        <w:pStyle w:val="Heading2"/>
      </w:pPr>
      <w:r>
        <w:t>Faixas terapêuticas educacionais no adulto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4762"/>
      </w:tblGrid>
      <w:tr>
        <w:trPr>
          <w:cantSplit/>
          <w:tblHeader/>
        </w:trPr>
        <w:tc>
          <w:tcPr>
            <w:tcW w:type="dxa" w:w="1984"/>
            <w:vAlign w:val="center"/>
            <w:shd w:fill="173B50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Opção</w:t>
            </w:r>
          </w:p>
        </w:tc>
        <w:tc>
          <w:tcPr>
            <w:tcW w:type="dxa" w:w="3572"/>
            <w:vAlign w:val="center"/>
            <w:shd w:fill="173B50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Exemplo de esquema</w:t>
            </w:r>
          </w:p>
        </w:tc>
        <w:tc>
          <w:tcPr>
            <w:tcW w:type="dxa" w:w="4762"/>
            <w:vAlign w:val="center"/>
            <w:shd w:fill="173B50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Segurança decisiva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Metilprednisolona EV</w:t>
            </w:r>
          </w:p>
        </w:tc>
        <w:tc>
          <w:tcPr>
            <w:tcW w:type="dxa" w:w="35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1 g/dia por 5 dias no consenso canadense.</w:t>
            </w:r>
          </w:p>
        </w:tc>
        <w:tc>
          <w:tcPr>
            <w:tcW w:type="dxa" w:w="476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Infusão controlada; nunca bolus rápido. Vigiar pressão, glicemia, eletrólitos, ritmo e comportamento.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Imunoglobulina IV</w:t>
            </w:r>
          </w:p>
        </w:tc>
        <w:tc>
          <w:tcPr>
            <w:tcW w:type="dxa" w:w="3572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2 g/kg no total em 2–5 dias.</w:t>
            </w:r>
          </w:p>
        </w:tc>
        <w:tc>
          <w:tcPr>
            <w:tcW w:type="dxa" w:w="4762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Não são 2 g/kg/dia. Ponderar rim, trombose e sobrecarga. Velocidade depende do produto.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Plasmaférese</w:t>
            </w:r>
          </w:p>
        </w:tc>
        <w:tc>
          <w:tcPr>
            <w:tcW w:type="dxa" w:w="35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Exemplo: 5 trocas em dias alternados.</w:t>
            </w:r>
          </w:p>
        </w:tc>
        <w:tc>
          <w:tcPr>
            <w:tcW w:type="dxa" w:w="476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Avaliar acesso, coagulação e hemodinâmica. Coordenar com fármacos removidos pela troca.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Aciclovir EV se HSV plausível</w:t>
            </w:r>
          </w:p>
        </w:tc>
        <w:tc>
          <w:tcPr>
            <w:tcW w:type="dxa" w:w="3572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10 mg/kg a cada 8 h se função renal preservada; infundir em ≥1 h.</w:t>
            </w:r>
          </w:p>
        </w:tc>
        <w:tc>
          <w:tcPr>
            <w:tcW w:type="dxa" w:w="4762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Ajustar ao rim; confirmar peso de dose na obesidade. Hidratação compatível, creatinina e diurese. Nunca bolus.</w:t>
            </w:r>
          </w:p>
        </w:tc>
      </w:tr>
    </w:tbl>
    <w:p>
      <w:pPr>
        <w:keepNext w:val="0"/>
        <w:spacing w:after="20" w:before="0"/>
      </w:pPr>
      <w:r>
        <w:rPr>
          <w:b w:val="0"/>
          <w:sz w:val="4"/>
        </w:rPr>
      </w:r>
    </w:p>
    <w:p>
      <w:pPr>
        <w:keepNext w:val="0"/>
        <w:spacing w:after="80" w:before="0"/>
      </w:pPr>
      <w:r>
        <w:rPr>
          <w:b w:val="0"/>
          <w:sz w:val="19"/>
        </w:rPr>
      </w:r>
      <w:r>
        <w:rPr>
          <w:b/>
          <w:sz w:val="19"/>
        </w:rPr>
        <w:t>Consenso, com evidência limitada:</w:t>
      </w:r>
      <w:r>
        <w:rPr>
          <w:b w:val="0"/>
          <w:sz w:val="19"/>
        </w:rPr>
        <w:t xml:space="preserve"> doença grave pode justificar corticoide + imunoglobulina ou plasmaférese desde o início. Diluição e velocidade devem seguir apresentação, farmácia e protocolo local. Suspeita real de linfoma do sistema nervoso central exige discutir biópsia antes de corticoide. [3,4,18,19]</w:t>
      </w:r>
    </w:p>
    <w:p>
      <w:pPr>
        <w:keepNext w:val="0"/>
        <w:spacing w:after="0" w:before="0"/>
      </w:pPr>
      <w:r>
        <w:rPr>
          <w:b w:val="0"/>
          <w:sz w:val="19"/>
        </w:rPr>
      </w:r>
      <w:r>
        <w:rPr>
          <w:b/>
          <w:sz w:val="19"/>
        </w:rPr>
        <w:t>Escalar e medir:</w:t>
      </w:r>
      <w:r>
        <w:rPr>
          <w:b w:val="0"/>
          <w:sz w:val="19"/>
        </w:rPr>
        <w:t xml:space="preserve"> piora exige revisar infecção, status, diagnóstico e complicações. Segunda linha é especializada: rituximabe é frequente nas formas de superfície; ciclofosfamida pode ser considerada nas intracelulares. Acompanhe diariamente crises/EEG, vigília, memória, autonomia e ventilação. Título isolado não decide resposta. [3,4,15]</w:t>
      </w:r>
    </w:p>
    <w:p>
      <w:pPr>
        <w:sectPr>
          <w:pgSz w:w="11906" w:h="16838"/>
          <w:pgMar w:top="737" w:right="794" w:bottom="737" w:left="794" w:header="283" w:footer="283" w:gutter="0"/>
          <w:cols w:space="380" w:num="1"/>
          <w:docGrid w:linePitch="360"/>
        </w:sectPr>
      </w:pPr>
    </w:p>
    <w:p>
      <w:pPr>
        <w:pStyle w:val="Heading1"/>
      </w:pPr>
      <w:r>
        <w:t>07 Aplicar no plantão</w:t>
      </w:r>
    </w:p>
    <w:p>
      <w:pPr>
        <w:pStyle w:val="Heading2"/>
      </w:pPr>
      <w:r>
        <w:t>Caso progressivo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Caso fictício.</w:t>
      </w:r>
      <w:r>
        <w:rPr>
          <w:b w:val="0"/>
          <w:sz w:val="20"/>
        </w:rPr>
        <w:t xml:space="preserve"> Pare em cada pergunta e responda em voz alta.</w:t>
      </w:r>
    </w:p>
    <w:p>
      <w:pPr>
        <w:keepNext w:val="0"/>
        <w:spacing w:after="60" w:before="0"/>
      </w:pPr>
      <w:r>
        <w:rPr>
          <w:b w:val="0"/>
          <w:sz w:val="20"/>
        </w:rPr>
      </w:r>
      <w:r>
        <w:rPr>
          <w:b/>
          <w:sz w:val="20"/>
        </w:rPr>
        <w:t>Etapa 1.</w:t>
      </w:r>
      <w:r>
        <w:rPr>
          <w:b w:val="0"/>
          <w:sz w:val="20"/>
        </w:rPr>
        <w:t xml:space="preserve"> Homem, 67 anos, tabagista, com 18 dias de amnésia e mudança de comportamento. Hoje apresentou crises focais repetidas e mantém rebaixamento.</w:t>
      </w:r>
    </w:p>
    <w:p>
      <w:pPr>
        <w:keepNext w:val="0"/>
        <w:spacing w:after="60" w:before="0"/>
      </w:pPr>
      <w:r>
        <w:rPr>
          <w:b w:val="0"/>
          <w:sz w:val="20"/>
        </w:rPr>
      </w:r>
      <w:r>
        <w:rPr>
          <w:b/>
          <w:sz w:val="20"/>
        </w:rPr>
        <w:t>Decida:</w:t>
      </w:r>
      <w:r>
        <w:rPr>
          <w:b w:val="0"/>
          <w:sz w:val="20"/>
        </w:rPr>
        <w:t xml:space="preserve"> O que precisa acontecer antes do resultado dos anticorpos?</w:t>
      </w:r>
    </w:p>
    <w:p>
      <w:pPr>
        <w:keepNext w:val="0"/>
        <w:spacing w:after="120" w:before="0"/>
      </w:pPr>
      <w:r>
        <w:rPr>
          <w:b w:val="0"/>
          <w:sz w:val="20"/>
        </w:rPr>
      </w:r>
      <w:r>
        <w:rPr>
          <w:b/>
          <w:sz w:val="20"/>
        </w:rPr>
        <w:t>Raciocínio:</w:t>
      </w:r>
      <w:r>
        <w:rPr>
          <w:b w:val="0"/>
          <w:sz w:val="20"/>
        </w:rPr>
        <w:t xml:space="preserve"> Estabilizar, tratar crises, avaliar EEG urgente/contínuo, cobrir HSV se plausível e obter RM + LCR seguro. Encefalite límbica é uma hipótese sindrômica; ainda não é diagnóstico etiológico.</w:t>
      </w:r>
    </w:p>
    <w:p>
      <w:pPr>
        <w:keepNext w:val="0"/>
        <w:spacing w:after="60" w:before="0"/>
      </w:pPr>
      <w:r>
        <w:rPr>
          <w:b w:val="0"/>
          <w:sz w:val="20"/>
        </w:rPr>
      </w:r>
      <w:r>
        <w:rPr>
          <w:b/>
          <w:sz w:val="20"/>
        </w:rPr>
        <w:t>Etapa 2.</w:t>
      </w:r>
      <w:r>
        <w:rPr>
          <w:b w:val="0"/>
          <w:sz w:val="20"/>
        </w:rPr>
        <w:t xml:space="preserve"> RM: hipersinal temporal mesial bilateral. LCR discretamente inflamatório. Investigação infecciosa não sustenta infecção ativa. Soro/LCR mostram anti-GABA-BR compatível; TC detecta adenopatia hilar.</w:t>
      </w:r>
    </w:p>
    <w:p>
      <w:pPr>
        <w:keepNext w:val="0"/>
        <w:spacing w:after="60" w:before="0"/>
      </w:pPr>
      <w:r>
        <w:rPr>
          <w:b w:val="0"/>
          <w:sz w:val="20"/>
        </w:rPr>
      </w:r>
      <w:r>
        <w:rPr>
          <w:b/>
          <w:sz w:val="20"/>
        </w:rPr>
        <w:t>Decida:</w:t>
      </w:r>
      <w:r>
        <w:rPr>
          <w:b w:val="0"/>
          <w:sz w:val="20"/>
        </w:rPr>
        <w:t xml:space="preserve"> Qual elo integra cérebro e tórax?</w:t>
      </w:r>
    </w:p>
    <w:p>
      <w:pPr>
        <w:keepNext w:val="0"/>
        <w:spacing w:after="120" w:before="0"/>
      </w:pPr>
      <w:r>
        <w:rPr>
          <w:b w:val="0"/>
          <w:sz w:val="20"/>
        </w:rPr>
      </w:r>
      <w:r>
        <w:rPr>
          <w:b/>
          <w:sz w:val="20"/>
        </w:rPr>
        <w:t>Raciocínio:</w:t>
      </w:r>
      <w:r>
        <w:rPr>
          <w:b w:val="0"/>
          <w:sz w:val="20"/>
        </w:rPr>
        <w:t xml:space="preserve"> GABA-BR associa crises proeminentes à encefalite límbica e ao carcinoma de pequenas células do pulmão. Prosseguir à confirmação histológica/estadiamento e discutir imunoterapia. Adenopatia isolada não prova câncer.</w:t>
      </w:r>
    </w:p>
    <w:p>
      <w:pPr>
        <w:keepNext w:val="0"/>
        <w:spacing w:after="60" w:before="0"/>
      </w:pPr>
      <w:r>
        <w:rPr>
          <w:b w:val="0"/>
          <w:sz w:val="20"/>
        </w:rPr>
      </w:r>
      <w:r>
        <w:rPr>
          <w:b/>
          <w:sz w:val="20"/>
        </w:rPr>
        <w:t>Etapa 3.</w:t>
      </w:r>
      <w:r>
        <w:rPr>
          <w:b w:val="0"/>
          <w:sz w:val="20"/>
        </w:rPr>
        <w:t xml:space="preserve"> Biópsia confirma carcinoma de pequenas células. As crises melhoram, mas a memória permanece comprometida.</w:t>
      </w:r>
    </w:p>
    <w:p>
      <w:pPr>
        <w:keepNext w:val="0"/>
        <w:spacing w:after="60" w:before="0"/>
      </w:pPr>
      <w:r>
        <w:rPr>
          <w:b w:val="0"/>
          <w:sz w:val="20"/>
        </w:rPr>
      </w:r>
      <w:r>
        <w:rPr>
          <w:b/>
          <w:sz w:val="20"/>
        </w:rPr>
        <w:t>Decida:</w:t>
      </w:r>
      <w:r>
        <w:rPr>
          <w:b w:val="0"/>
          <w:sz w:val="20"/>
        </w:rPr>
        <w:t xml:space="preserve"> O tratamento funcionou? O que deve seguir?</w:t>
      </w:r>
    </w:p>
    <w:p>
      <w:pPr>
        <w:keepNext w:val="0"/>
        <w:spacing w:after="120" w:before="0"/>
      </w:pPr>
      <w:r>
        <w:rPr>
          <w:b w:val="0"/>
          <w:sz w:val="20"/>
        </w:rPr>
      </w:r>
      <w:r>
        <w:rPr>
          <w:b/>
          <w:sz w:val="20"/>
        </w:rPr>
        <w:t>Raciocínio:</w:t>
      </w:r>
      <w:r>
        <w:rPr>
          <w:b w:val="0"/>
          <w:sz w:val="20"/>
        </w:rPr>
        <w:t xml:space="preserve"> Avaliar resposta por domínio: EEG/crises, cognição e função. Não exigir recuperação simultânea. Prosseguir com tratamento oncológico e plano neurológico, reabilitação e revisão de complicações. Persistência de déficit não prova, isoladamente, inflamação ativa.</w:t>
      </w:r>
    </w:p>
    <w:p>
      <w:pPr>
        <w:pStyle w:val="Heading2"/>
      </w:pPr>
      <w:r>
        <w:t>Checklist de plantão</w:t>
      </w:r>
    </w:p>
    <w:p>
      <w:pPr>
        <w:keepNext w:val="0"/>
        <w:spacing w:after="60" w:before="0"/>
      </w:pPr>
      <w:r>
        <w:rPr>
          <w:b w:val="0"/>
          <w:sz w:val="20"/>
        </w:rPr>
        <w:t>☐ Reconheci uma síndrome compatível e registrei a cronologia?</w:t>
      </w:r>
    </w:p>
    <w:p>
      <w:pPr>
        <w:keepNext w:val="0"/>
        <w:spacing w:after="60" w:before="0"/>
      </w:pPr>
      <w:r>
        <w:rPr>
          <w:b w:val="0"/>
          <w:sz w:val="20"/>
        </w:rPr>
        <w:t>☐ Estabilizei via aérea, crises, glicemia e disautonomia?</w:t>
      </w:r>
    </w:p>
    <w:p>
      <w:pPr>
        <w:keepNext w:val="0"/>
        <w:spacing w:after="60" w:before="0"/>
      </w:pPr>
      <w:r>
        <w:rPr>
          <w:b w:val="0"/>
          <w:sz w:val="20"/>
        </w:rPr>
        <w:t>☐ Cobri HSV quando ainda plausível?</w:t>
      </w:r>
    </w:p>
    <w:p>
      <w:pPr>
        <w:keepNext w:val="0"/>
        <w:spacing w:after="60" w:before="0"/>
      </w:pPr>
      <w:r>
        <w:rPr>
          <w:b w:val="0"/>
          <w:sz w:val="20"/>
        </w:rPr>
        <w:t>☐ Planejei RM, EEG e LCR seguro?</w:t>
      </w:r>
    </w:p>
    <w:p>
      <w:pPr>
        <w:keepNext w:val="0"/>
        <w:spacing w:after="60" w:before="0"/>
      </w:pPr>
      <w:r>
        <w:rPr>
          <w:b w:val="0"/>
          <w:sz w:val="20"/>
        </w:rPr>
        <w:t>☐ Colhi soro + LCR antes da imunoterapia, quando viável?</w:t>
      </w:r>
    </w:p>
    <w:p>
      <w:pPr>
        <w:keepNext w:val="0"/>
        <w:spacing w:after="60" w:before="0"/>
      </w:pPr>
      <w:r>
        <w:rPr>
          <w:b w:val="0"/>
          <w:sz w:val="20"/>
        </w:rPr>
        <w:t>☐ Confrontei resultado do anticorpo com fenótipo e método?</w:t>
      </w:r>
    </w:p>
    <w:p>
      <w:pPr>
        <w:keepNext w:val="0"/>
        <w:spacing w:after="60" w:before="0"/>
      </w:pPr>
      <w:r>
        <w:rPr>
          <w:b w:val="0"/>
          <w:sz w:val="20"/>
        </w:rPr>
        <w:t>☐ Iniciei busca tumoral geral e por órgão-alvo?</w:t>
      </w:r>
    </w:p>
    <w:p>
      <w:pPr>
        <w:keepNext w:val="0"/>
        <w:spacing w:after="60" w:before="0"/>
      </w:pPr>
      <w:r>
        <w:rPr>
          <w:b w:val="0"/>
          <w:sz w:val="20"/>
        </w:rPr>
        <w:t>☐ Discuti imunoterapia e tratamento tumoral em paralelo?</w:t>
      </w:r>
    </w:p>
    <w:p>
      <w:pPr>
        <w:keepNext w:val="0"/>
        <w:spacing w:after="60" w:before="0"/>
      </w:pPr>
      <w:r>
        <w:rPr>
          <w:b w:val="0"/>
          <w:sz w:val="20"/>
        </w:rPr>
        <w:t>☐ Registrei uma medida objetiva de resposta?</w:t>
      </w:r>
    </w:p>
    <w:p>
      <w:pPr>
        <w:keepNext w:val="0"/>
        <w:spacing w:after="60" w:before="0"/>
      </w:pPr>
      <w:r>
        <w:rPr>
          <w:b w:val="0"/>
          <w:sz w:val="20"/>
        </w:rPr>
        <w:t>☐ Deixei responsável e data para reavaliar tumor inicialmente oculto?</w:t>
      </w:r>
    </w:p>
    <w:p>
      <w:pPr>
        <w:pStyle w:val="Heading2"/>
      </w:pPr>
      <w:r>
        <w:t>Erros que custam pontos ou pacientes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Prova:</w:t>
      </w:r>
      <w:r>
        <w:rPr>
          <w:b w:val="0"/>
          <w:sz w:val="20"/>
        </w:rPr>
        <w:t xml:space="preserve"> Confundir GABA-A com GABA-B troca o padrão clínico e a prioridade tumoral.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Raciocínio:</w:t>
      </w:r>
      <w:r>
        <w:rPr>
          <w:b w:val="0"/>
          <w:sz w:val="20"/>
        </w:rPr>
        <w:t xml:space="preserve"> Rotular pela positividade sérica ignora mimetizadores e falsos resultados. Reaplique os critérios.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Execução:</w:t>
      </w:r>
      <w:r>
        <w:rPr>
          <w:b w:val="0"/>
          <w:sz w:val="20"/>
        </w:rPr>
        <w:t xml:space="preserve"> Esperar anticorpos atrasa controle de crises, cobertura de HSV e decisões imunológicas fundamentadas.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Monitorização:</w:t>
      </w:r>
      <w:r>
        <w:rPr>
          <w:b w:val="0"/>
          <w:sz w:val="20"/>
        </w:rPr>
        <w:t xml:space="preserve"> Seguir apenas títulos pode ocultar status, toxicidade e déficit residual. Registre função e EEG.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Investigação:</w:t>
      </w:r>
      <w:r>
        <w:rPr>
          <w:b w:val="0"/>
          <w:sz w:val="20"/>
        </w:rPr>
        <w:t xml:space="preserve"> Encerrar a busca após TC negativa perde tumores pequenos. Complete os órgãos prioritários.</w:t>
      </w:r>
    </w:p>
    <w:p>
      <w:pPr>
        <w:pStyle w:val="Heading2"/>
      </w:pPr>
      <w:r>
        <w:t>Não confunda os principais mimetizadores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402"/>
      </w:tblGrid>
      <w:tr>
        <w:trPr>
          <w:cantSplit/>
          <w:tblHeader/>
        </w:trPr>
        <w:tc>
          <w:tcPr>
            <w:tcW w:type="dxa" w:w="1474"/>
            <w:vAlign w:val="center"/>
            <w:shd w:fill="173B50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Possibilidade</w:t>
            </w:r>
          </w:p>
        </w:tc>
        <w:tc>
          <w:tcPr>
            <w:tcW w:type="dxa" w:w="3402"/>
            <w:vAlign w:val="center"/>
            <w:shd w:fill="173B50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Exame ou pista que muda a decisão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HSV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PCR precoce negativa não encerra hipótese forte; repetir LCR/PCR em 3–7 dias.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Status não convulsivo</w:t>
            </w:r>
          </w:p>
        </w:tc>
        <w:tc>
          <w:tcPr>
            <w:tcW w:type="dxa" w:w="3402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EEG quando consciência não recupera; RM normal não exclui.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Tóxico metabólica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Revisar sódio, glicose, função orgânica, fármacos e risco de deficiência de tiamina.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Glioma ou linfoma</w:t>
            </w:r>
          </w:p>
        </w:tc>
        <w:tc>
          <w:tcPr>
            <w:tcW w:type="dxa" w:w="3402"/>
            <w:vAlign w:val="center"/>
            <w:shd w:fill="EDF4F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18"/>
              </w:rPr>
              <w:t>Lesão expansiva/atípica exige revisão da imagem e possível diagnóstico tecidual.</w:t>
            </w:r>
          </w:p>
        </w:tc>
      </w:tr>
    </w:tbl>
    <w:p>
      <w:pPr>
        <w:keepNext w:val="0"/>
        <w:spacing w:after="20" w:before="0"/>
      </w:pPr>
      <w:r>
        <w:rPr>
          <w:b w:val="0"/>
          <w:sz w:val="4"/>
        </w:rPr>
      </w:r>
    </w:p>
    <w:p>
      <w:pPr>
        <w:keepNext w:val="0"/>
        <w:spacing w:after="0" w:before="0"/>
      </w:pPr>
      <w:r>
        <w:rPr>
          <w:b w:val="0"/>
          <w:sz w:val="19"/>
        </w:rPr>
      </w:r>
      <w:r>
        <w:rPr>
          <w:b/>
          <w:sz w:val="19"/>
        </w:rPr>
        <w:t>UTI:</w:t>
      </w:r>
      <w:r>
        <w:rPr>
          <w:b w:val="0"/>
          <w:sz w:val="19"/>
        </w:rPr>
        <w:t xml:space="preserve"> vigiar hipoventilação, disfagia/aspiração, arritmias e oscilação pressórica; revisar sedativos, nutrição, tromboprofilaxia e mobilização. Discinesia não equivale automaticamente a crise. [3,4,16,17]</w:t>
      </w:r>
    </w:p>
    <w:p>
      <w:pPr>
        <w:sectPr>
          <w:pgSz w:w="11906" w:h="16838"/>
          <w:pgMar w:top="737" w:right="794" w:bottom="737" w:left="794" w:header="283" w:footer="283" w:gutter="0"/>
          <w:cols w:space="380" w:num="2"/>
          <w:docGrid w:linePitch="360"/>
        </w:sectPr>
      </w:pPr>
    </w:p>
    <w:p>
      <w:pPr>
        <w:pStyle w:val="Heading1"/>
      </w:pPr>
      <w:r>
        <w:t>08 Testar com 20 questões</w:t>
      </w:r>
    </w:p>
    <w:p>
      <w:pPr>
        <w:keepNext w:val="0"/>
        <w:spacing w:after="140" w:before="0"/>
      </w:pPr>
      <w:r>
        <w:rPr>
          <w:b w:val="0"/>
          <w:sz w:val="20"/>
        </w:rPr>
        <w:t>Originais no estilo TEMI. Marque uma alternativa. Resolva sem consultar; gabarito na página 9.</w:t>
      </w:r>
    </w:p>
    <w:p>
      <w:pPr>
        <w:sectPr>
          <w:pgSz w:w="11906" w:h="16838"/>
          <w:pgMar w:top="737" w:right="794" w:bottom="737" w:left="794" w:header="283" w:footer="283" w:gutter="0"/>
          <w:cols w:space="380" w:num="1"/>
          <w:docGrid w:linePitch="360"/>
        </w:sectPr>
      </w:pP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01.</w:t>
      </w:r>
      <w:r>
        <w:rPr>
          <w:b w:val="0"/>
          <w:sz w:val="20"/>
        </w:rPr>
        <w:t xml:space="preserve"> Amnésia e crise nova há três semanas, RM normal, alternativas razoavelmente excluídas. Qual interpretação?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RM exclui etiologia autoimune.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Possível encefalite autoimune.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Origem paraneoplásica confirmada.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Exigir três meses de evolução.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02.</w:t>
      </w:r>
      <w:r>
        <w:rPr>
          <w:b w:val="0"/>
          <w:sz w:val="20"/>
        </w:rPr>
        <w:t xml:space="preserve"> Febre, lesão temporal, PCR-HSV precoce negativa e suspeita alta: conduta?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Suspender aciclovir; repetir PCR.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Iniciar apenas imunoterapia.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Aguardar nova RM sem antiviral.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Manter aciclovir; repetir PCR em 3–7 dias.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03.</w:t>
      </w:r>
      <w:r>
        <w:rPr>
          <w:b w:val="0"/>
          <w:sz w:val="20"/>
        </w:rPr>
        <w:t xml:space="preserve"> Tabagista idoso, amnésia, estado de mal e anti-GABA-BR confirmado: tumor prioritário?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Pequenas células do pulmão.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Seminoma.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Linfoma de Hodgkin.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Timoma.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04.</w:t>
      </w:r>
      <w:r>
        <w:rPr>
          <w:b w:val="0"/>
          <w:sz w:val="20"/>
        </w:rPr>
        <w:t xml:space="preserve"> Anti-Hu com encefalite, neuronopatia sensitiva e disautonomia: qual mecanismo orienta a abordagem?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Disfunção sináptica sem dano neuronal.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Invasão cerebral obrigatória por metástases.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Lesão por células T; controle tumoral central.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Toxicidade direta exclusiva do anticorpo.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05.</w:t>
      </w:r>
      <w:r>
        <w:rPr>
          <w:b w:val="0"/>
          <w:sz w:val="20"/>
        </w:rPr>
        <w:t xml:space="preserve"> Homem jovem, amnésia, sonolência, alteração oculomotora e anti-Ma2: investigação dirigida?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Somente marcadores tumorais.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Exclusivamente TC torácica.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PET corporal substituindo avaliação gonadal.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Ultrassom testicular: tumor germinativo.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06.</w:t>
      </w:r>
      <w:r>
        <w:rPr>
          <w:b w:val="0"/>
          <w:sz w:val="20"/>
        </w:rPr>
        <w:t xml:space="preserve"> Perda auditiva, diplopia, ataxia e anti-KLHL11: associação prioritária?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Timoma.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Seminoma; considerar germinativo extragonadal.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Linfoma de Hodgkin.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Pequenas células do pulmão.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07.</w:t>
      </w:r>
      <w:r>
        <w:rPr>
          <w:b w:val="0"/>
          <w:sz w:val="20"/>
        </w:rPr>
        <w:t xml:space="preserve"> Encefalomielite, neuropatia e anti-CRMP5/CV2: quais neoplasias priorizar?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Mama e Hodgkin.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Seminoma e teratoma.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Pequenas células do pulmão e timoma.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Melanoma e carcinoma renal.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08.</w:t>
      </w:r>
      <w:r>
        <w:rPr>
          <w:b w:val="0"/>
          <w:sz w:val="20"/>
        </w:rPr>
        <w:t xml:space="preserve"> Encefalite límbica com anti-AMPAR: quais sítios merecem investigação?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Pulmão, timo e mama.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Somente ovário.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Somente linfonodos.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Somente sistema nervoso central.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09.</w:t>
      </w:r>
      <w:r>
        <w:rPr>
          <w:b w:val="0"/>
          <w:sz w:val="20"/>
        </w:rPr>
        <w:t xml:space="preserve"> Psicose, discinesias, disautonomia e hipoventilação: teste especialmente relevante para anti-NMDAR?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IgM anti-NMDAR sérica isolada.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IgA anti-NMDAR sérica isolada.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IgG anti-GluN1 liquórica; soro pareado.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IgG anti-NMDAR sérica, dispensando líquor.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10.</w:t>
      </w:r>
      <w:r>
        <w:rPr>
          <w:b w:val="0"/>
          <w:sz w:val="20"/>
        </w:rPr>
        <w:t xml:space="preserve"> Anti-NMDAR, PET negativo e teratoma ovariano maduro: qual interpretação?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Teratoma benigno pode desencadear encefalite.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A associação exige tumor maligno.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PET negativo invalida o ultrassom.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Ressecção dispensa tratamento neurológico.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11.</w:t>
      </w:r>
      <w:r>
        <w:rPr>
          <w:b w:val="0"/>
          <w:sz w:val="20"/>
        </w:rPr>
        <w:t xml:space="preserve"> Anti-CASPR2, insônia intensa, disautonomia e hiperexcitabilidade muscular: associação?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Ofélia–Hodgkin.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Síndrome límbica–teratoma.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Síndrome diencefálica–seminoma.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Morvan–timoma.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12.</w:t>
      </w:r>
      <w:r>
        <w:rPr>
          <w:b w:val="0"/>
          <w:sz w:val="20"/>
        </w:rPr>
        <w:t xml:space="preserve"> Crises faciobraquiais distônicas, amnésia, hiponatremia e anti-LGI1: interpretação oncológica?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Pequenas células praticamente confirmado.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Associação rara; não presumir paraneoplasia.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Teratoma é associação obrigatória.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Aplicar sempre seguimento de anti-Hu.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13.</w:t>
      </w:r>
      <w:r>
        <w:rPr>
          <w:b w:val="0"/>
          <w:sz w:val="20"/>
        </w:rPr>
        <w:t xml:space="preserve"> Imunoterapia iminente por forte suspeita autoimune: como coletar anticorpos?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Soro/líquor antes de imunoglobulina/plasmaférese, se viável.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Somente soro para todos os alvos.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Preferencialmente após plasmaférese.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Aguardar resultados antes do cuidado urgente.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14.</w:t>
      </w:r>
      <w:r>
        <w:rPr>
          <w:b w:val="0"/>
          <w:sz w:val="20"/>
        </w:rPr>
        <w:t xml:space="preserve"> Anticorpo sérico em baixo título; fenótipo incompatível: conduta?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Confirmar paraneoplasia.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Escalar terapia pelo título.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Rever hipótese; confirmar por outro método.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Repetir apenas o mesmo teste.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15.</w:t>
      </w:r>
      <w:r>
        <w:rPr>
          <w:b w:val="0"/>
          <w:sz w:val="20"/>
        </w:rPr>
        <w:t xml:space="preserve"> Consciência não recupera após convulsões; RM normal. Exame prioritário?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PET corporal.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EEG; contínuo se indicado.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Painel neuronal sérico.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Somente nova RM.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16.</w:t>
      </w:r>
      <w:r>
        <w:rPr>
          <w:b w:val="0"/>
          <w:sz w:val="20"/>
        </w:rPr>
        <w:t xml:space="preserve"> Fenótipo/anticorpo de alto risco confirmados, TC corporal negativa: estratégia?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Encerrar rastreio.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Trocar imagens por marcadores.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Substituir busca por PET cerebral.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Exames dirigidos; considerar PET-FDG corporal.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17.</w:t>
      </w:r>
      <w:r>
        <w:rPr>
          <w:b w:val="0"/>
          <w:sz w:val="20"/>
        </w:rPr>
        <w:t xml:space="preserve"> Busca negativa; fenótipo e anticorpo de alto risco. Calendário PNS-Care 2021?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Anual por 2 anos.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Só com novos sintomas.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Cada 4–6 meses por 6 meses.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Cada 4–6 meses por 2 anos.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18.</w:t>
      </w:r>
      <w:r>
        <w:rPr>
          <w:b w:val="0"/>
          <w:sz w:val="20"/>
        </w:rPr>
        <w:t xml:space="preserve"> Anti-Hu e busca negativa: como interpretar vigilância prolongada?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Dois anos excluem tumor futuro.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Coorte de 2023 apoia considerar até 5 anos.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Cinco anos para todo anticorpo.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PET negativo encerra seguimento.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19.</w:t>
      </w:r>
      <w:r>
        <w:rPr>
          <w:b w:val="0"/>
          <w:sz w:val="20"/>
        </w:rPr>
        <w:t xml:space="preserve"> Suspeita autoimune alta, amostras colhidas e mimetizadores excluídos. Painel pendente: conduta?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Esperar resultado do painel.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Aguardar tumor para tratar.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Discutir imunoterapia; busca tumoral em paralelo.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Tratar apenas crises.</w:t>
      </w:r>
    </w:p>
    <w:p>
      <w:pPr>
        <w:keepNext/>
        <w:spacing w:after="40" w:before="0" w:line="224" w:lineRule="exact"/>
      </w:pPr>
      <w:r>
        <w:rPr>
          <w:b w:val="0"/>
          <w:sz w:val="20"/>
        </w:rPr>
      </w:r>
      <w:r>
        <w:rPr>
          <w:b/>
          <w:sz w:val="20"/>
        </w:rPr>
        <w:t>20.</w:t>
      </w:r>
      <w:r>
        <w:rPr>
          <w:b w:val="0"/>
          <w:sz w:val="20"/>
        </w:rPr>
        <w:t xml:space="preserve"> I: anti-mGluR5 neuropsiquiátrico. II: anti-GABA-AR, crises e lesões multifocais. Associações?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A)</w:t>
      </w:r>
      <w:r>
        <w:rPr>
          <w:b w:val="0"/>
          <w:sz w:val="19"/>
        </w:rPr>
        <w:t xml:space="preserve"> I: Hodgkin; II: considerar timoma.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B)</w:t>
      </w:r>
      <w:r>
        <w:rPr>
          <w:b w:val="0"/>
          <w:sz w:val="19"/>
        </w:rPr>
        <w:t xml:space="preserve"> I: seminoma; II: teratoma.</w:t>
      </w:r>
    </w:p>
    <w:p>
      <w:pPr>
        <w:keepNext/>
        <w:spacing w:after="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C)</w:t>
      </w:r>
      <w:r>
        <w:rPr>
          <w:b w:val="0"/>
          <w:sz w:val="19"/>
        </w:rPr>
        <w:t xml:space="preserve"> I: timoma; II: carcinoma mamário.</w:t>
      </w:r>
    </w:p>
    <w:p>
      <w:pPr>
        <w:keepNext w:val="0"/>
        <w:spacing w:after="80" w:before="0" w:line="216" w:lineRule="exact"/>
      </w:pPr>
      <w:r>
        <w:rPr>
          <w:b w:val="0"/>
          <w:sz w:val="19"/>
        </w:rPr>
      </w:r>
      <w:r>
        <w:rPr>
          <w:b/>
          <w:sz w:val="19"/>
        </w:rPr>
        <w:t>D)</w:t>
      </w:r>
      <w:r>
        <w:rPr>
          <w:b w:val="0"/>
          <w:sz w:val="19"/>
        </w:rPr>
        <w:t xml:space="preserve"> I: teratoma; II: obrigatoriamente pequenas células.</w:t>
      </w:r>
    </w:p>
    <w:p>
      <w:pPr>
        <w:sectPr>
          <w:type w:val="continuous"/>
          <w:pgSz w:w="11906" w:h="16838"/>
          <w:pgMar w:top="737" w:right="794" w:bottom="737" w:left="794" w:header="283" w:footer="283" w:gutter="0"/>
          <w:cols w:space="380" w:num="3"/>
          <w:docGrid w:linePitch="360"/>
        </w:sectPr>
      </w:pPr>
    </w:p>
    <w:p>
      <w:pPr>
        <w:pStyle w:val="Heading1"/>
      </w:pPr>
      <w:r>
        <w:t>09 Corrigir e consolidar</w:t>
      </w:r>
    </w:p>
    <w:p>
      <w:pPr>
        <w:keepNext w:val="0"/>
        <w:spacing w:after="100" w:before="0"/>
      </w:pPr>
      <w:r>
        <w:rPr>
          <w:b w:val="0"/>
          <w:sz w:val="20"/>
        </w:rPr>
        <w:t>Corrija o motivo do erro: associação, critério, sequência ou interpretação de exame.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01  B.</w:t>
      </w:r>
      <w:r>
        <w:rPr>
          <w:b w:val="0"/>
          <w:sz w:val="20"/>
        </w:rPr>
        <w:t xml:space="preserve"> Evolução subaguda, alteração cognitiva e crise nova sustentam possível encefalite autoimune. RM normal não exclui; esse enquadramento não comprova tumor.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02  D.</w:t>
      </w:r>
      <w:r>
        <w:rPr>
          <w:b w:val="0"/>
          <w:sz w:val="20"/>
        </w:rPr>
        <w:t xml:space="preserve"> Uma PCR muito precoce pode ser falsamente negativa. Com suspeita persistente, manter cobertura e repetir o exame; não substituir a investigação infecciosa pelo painel neuronal.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03  A.</w:t>
      </w:r>
      <w:r>
        <w:rPr>
          <w:b w:val="0"/>
          <w:sz w:val="20"/>
        </w:rPr>
        <w:t xml:space="preserve"> GABA-BR associa encefalite límbica com crises marcantes à busca de pequenas células do pulmão. Seminoma sugere sobretudo KLHL11; Hodgkin, mGluR5.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04  C.</w:t>
      </w:r>
      <w:r>
        <w:rPr>
          <w:b w:val="0"/>
          <w:sz w:val="20"/>
        </w:rPr>
        <w:t xml:space="preserve"> Hu reconhece alvo intracelular e funciona principalmente como marcador de imunidade celular. A lesão pode ser pouco reversível; síndrome paraneoplásica não exige metástase cerebral.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05  D.</w:t>
      </w:r>
      <w:r>
        <w:rPr>
          <w:b w:val="0"/>
          <w:sz w:val="20"/>
        </w:rPr>
        <w:t xml:space="preserve"> Ma2 combina acometimento límbico, diencefálico e de tronco com tumor germinativo testicular em homens jovens. Marcadores isolados não encerram a busca.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06  B.</w:t>
      </w:r>
      <w:r>
        <w:rPr>
          <w:b w:val="0"/>
          <w:sz w:val="20"/>
        </w:rPr>
        <w:t xml:space="preserve"> KLHL11 aponta para síndrome de tronco/cerebelo e forte associação com seminoma. A ausência de padrão límbico não afasta essa hipótese paraneoplásica.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07  C.</w:t>
      </w:r>
      <w:r>
        <w:rPr>
          <w:b w:val="0"/>
          <w:sz w:val="20"/>
        </w:rPr>
        <w:t xml:space="preserve"> CRMP5 associa-se a pequenas células do pulmão e timoma, frequentemente com acometimento neurológico multifocal. As associações orientam prioridades, sem tornar a lista exclusiva.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08  A.</w:t>
      </w:r>
      <w:r>
        <w:rPr>
          <w:b w:val="0"/>
          <w:sz w:val="20"/>
        </w:rPr>
        <w:t xml:space="preserve"> AMPAR associa-se a tumores pulmonares, timoma e carcinoma mamário. A investigação combina busca corporal abrangente e exames dirigidos pelo contexto.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09  C.</w:t>
      </w:r>
      <w:r>
        <w:rPr>
          <w:b w:val="0"/>
          <w:sz w:val="20"/>
        </w:rPr>
        <w:t xml:space="preserve"> IgG contra GluN1 no líquor é central para anti-NMDAR. IgM/IgA séricas não equivalem ao anticorpo relevante; o soro isolado não substitui a avaliação liquórica.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10  A.</w:t>
      </w:r>
      <w:r>
        <w:rPr>
          <w:b w:val="0"/>
          <w:sz w:val="20"/>
        </w:rPr>
        <w:t xml:space="preserve"> Teratoma maduro, frequentemente benigno, pode estar associado à anti-NMDAR. PET negativo não substitui imagem pélvica; manejo neurológico e tumoral devem ser coordenados.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11  D.</w:t>
      </w:r>
      <w:r>
        <w:rPr>
          <w:b w:val="0"/>
          <w:sz w:val="20"/>
        </w:rPr>
        <w:t xml:space="preserve"> A combinação sugere Morvan, contexto em que CASPR2 se relaciona especialmente a timoma. CASPR2 com fenótipo límbico isolado tem associação tumoral menor.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12  B.</w:t>
      </w:r>
      <w:r>
        <w:rPr>
          <w:b w:val="0"/>
          <w:sz w:val="20"/>
        </w:rPr>
        <w:t xml:space="preserve"> Esse padrão é característico de LGI1, geralmente sem neoplasia. A busca inicial depende do contexto; o calendário de anticorpos de alto risco não se aplica automaticamente.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13  A.</w:t>
      </w:r>
      <w:r>
        <w:rPr>
          <w:b w:val="0"/>
          <w:sz w:val="20"/>
        </w:rPr>
        <w:t xml:space="preserve"> Amostras pareadas antes dessas intervenções reduzem interferências, sem atrasar cuidado urgente. O melhor compartimento depende do anticorpo; para NMDAR, o líquor é essencial.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14  C.</w:t>
      </w:r>
      <w:r>
        <w:rPr>
          <w:b w:val="0"/>
          <w:sz w:val="20"/>
        </w:rPr>
        <w:t xml:space="preserve"> Positividade inesperada exige coerência clínica e confirmação por método complementar. Repetir isoladamente o mesmo ensaio não resolve possível reatividade inespecífica.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15  B.</w:t>
      </w:r>
      <w:r>
        <w:rPr>
          <w:b w:val="0"/>
          <w:sz w:val="20"/>
        </w:rPr>
        <w:t xml:space="preserve"> Persistência do rebaixamento exige investigar crises não convulsivas com EEG. A RM normal não exclui atividade epiléptica nem encefalite autoimune.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16  D.</w:t>
      </w:r>
      <w:r>
        <w:rPr>
          <w:b w:val="0"/>
          <w:sz w:val="20"/>
        </w:rPr>
        <w:t xml:space="preserve"> TC negativa não encerra a busca quando o risco persiste. PET corporal pode complementar, mas não substitui investigação gonadal dirigida; lesão suspeita requer avaliação para confirmação tecidual.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17  D.</w:t>
      </w:r>
      <w:r>
        <w:rPr>
          <w:b w:val="0"/>
          <w:sz w:val="20"/>
        </w:rPr>
        <w:t xml:space="preserve"> PNS-Care propõe 4–6 meses por dois anos para essa combinação de riscos. A pergunta especifica esse consenso; outros documentos e contextos podem justificar adaptação.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18  B.</w:t>
      </w:r>
      <w:r>
        <w:rPr>
          <w:b w:val="0"/>
          <w:sz w:val="20"/>
        </w:rPr>
        <w:t xml:space="preserve"> A extensão até cinco anos em anti-Hu decorre de evidência observacional. Deve ser individualizada; não converte todos os casos de encefalite em rastreio obrigatório prolongado.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19  C.</w:t>
      </w:r>
      <w:r>
        <w:rPr>
          <w:b w:val="0"/>
          <w:sz w:val="20"/>
        </w:rPr>
        <w:t xml:space="preserve"> A decisão de imunoterapia pode preceder o painel quando a avaliação clínica sustenta a hipótese e afasta razoavelmente alternativas. Busca tumoral e cuidados de suporte prosseguem em paralelo.</w:t>
      </w:r>
    </w:p>
    <w:p>
      <w:pPr>
        <w:keepNext w:val="0"/>
        <w:spacing w:after="80" w:before="0"/>
      </w:pPr>
      <w:r>
        <w:rPr>
          <w:b w:val="0"/>
          <w:sz w:val="20"/>
        </w:rPr>
      </w:r>
      <w:r>
        <w:rPr>
          <w:b/>
          <w:sz w:val="20"/>
        </w:rPr>
        <w:t>20  A.</w:t>
      </w:r>
      <w:r>
        <w:rPr>
          <w:b w:val="0"/>
          <w:sz w:val="20"/>
        </w:rPr>
        <w:t xml:space="preserve"> mGluR5 tem associação clássica com Hodgkin, chamada síndrome de Ofélia. GABA-AR pode associar-se a timoma e difere de GABA-BR no alvo e no padrão clínico-radiológico.</w:t>
      </w:r>
    </w:p>
    <w:p>
      <w:pPr>
        <w:pStyle w:val="Heading2"/>
      </w:pPr>
      <w:r>
        <w:t>Dez frases essenciais</w:t>
      </w:r>
    </w:p>
    <w:p>
      <w:pPr>
        <w:keepNext w:val="0"/>
        <w:spacing w:after="20" w:before="0"/>
      </w:pPr>
      <w:r>
        <w:rPr>
          <w:b w:val="0"/>
          <w:sz w:val="19"/>
        </w:rPr>
        <w:t>1. A síndrome precede o nome do anticorpo.</w:t>
      </w:r>
    </w:p>
    <w:p>
      <w:pPr>
        <w:keepNext w:val="0"/>
        <w:spacing w:after="20" w:before="0"/>
      </w:pPr>
      <w:r>
        <w:rPr>
          <w:b w:val="0"/>
          <w:sz w:val="19"/>
        </w:rPr>
        <w:t>2. Autoimune não significa necessariamente paraneoplásica.</w:t>
      </w:r>
    </w:p>
    <w:p>
      <w:pPr>
        <w:keepNext w:val="0"/>
        <w:spacing w:after="20" w:before="0"/>
      </w:pPr>
      <w:r>
        <w:rPr>
          <w:b w:val="0"/>
          <w:sz w:val="19"/>
        </w:rPr>
        <w:t>3. RM e LCR normais não excluem todas as formas.</w:t>
      </w:r>
    </w:p>
    <w:p>
      <w:pPr>
        <w:keepNext w:val="0"/>
        <w:spacing w:after="20" w:before="0"/>
      </w:pPr>
      <w:r>
        <w:rPr>
          <w:b w:val="0"/>
          <w:sz w:val="19"/>
        </w:rPr>
        <w:t>4. Alvo intracelular sugere resposta predominantemente celular.</w:t>
      </w:r>
    </w:p>
    <w:p>
      <w:pPr>
        <w:keepNext w:val="0"/>
        <w:spacing w:after="20" w:before="0"/>
      </w:pPr>
      <w:r>
        <w:rPr>
          <w:b w:val="0"/>
          <w:sz w:val="19"/>
        </w:rPr>
        <w:t>5. Hu e GABA-BR tornam o pulmão prioritário.</w:t>
      </w:r>
    </w:p>
    <w:p>
      <w:pPr>
        <w:keepNext w:val="0"/>
        <w:spacing w:after="20" w:before="0"/>
      </w:pPr>
      <w:r>
        <w:rPr>
          <w:b w:val="0"/>
          <w:sz w:val="19"/>
        </w:rPr>
        <w:t>6. Ma2 e KLHL11 justificam investigação germinativa dirigida.</w:t>
      </w:r>
    </w:p>
    <w:p>
      <w:pPr>
        <w:keepNext w:val="0"/>
        <w:spacing w:after="20" w:before="0"/>
      </w:pPr>
      <w:r>
        <w:rPr>
          <w:b w:val="0"/>
          <w:sz w:val="19"/>
        </w:rPr>
        <w:t>7. NMDAR pode associar-se a teratoma benigno.</w:t>
      </w:r>
    </w:p>
    <w:p>
      <w:pPr>
        <w:keepNext w:val="0"/>
        <w:spacing w:after="20" w:before="0"/>
      </w:pPr>
      <w:r>
        <w:rPr>
          <w:b w:val="0"/>
          <w:sz w:val="19"/>
        </w:rPr>
        <w:t>8. CASPR2 com Morvan tem risco distinto do límbico isolado.</w:t>
      </w:r>
    </w:p>
    <w:p>
      <w:pPr>
        <w:keepNext w:val="0"/>
        <w:spacing w:after="20" w:before="0"/>
      </w:pPr>
      <w:r>
        <w:rPr>
          <w:b w:val="0"/>
          <w:sz w:val="19"/>
        </w:rPr>
        <w:t>9. Painel positivo precisa combinar com a clínica.</w:t>
      </w:r>
    </w:p>
    <w:p>
      <w:pPr>
        <w:keepNext w:val="0"/>
        <w:spacing w:after="20" w:before="0"/>
      </w:pPr>
      <w:r>
        <w:rPr>
          <w:b w:val="0"/>
          <w:sz w:val="19"/>
        </w:rPr>
        <w:t>10. Tumor e encefalite exigem planos em paralelo.</w:t>
      </w:r>
    </w:p>
    <w:p>
      <w:pPr>
        <w:pStyle w:val="Heading2"/>
      </w:pPr>
      <w:r>
        <w:t>Cinco números para memorizar</w:t>
      </w:r>
    </w:p>
    <w:p>
      <w:pPr>
        <w:keepNext w:val="0"/>
        <w:spacing w:after="80" w:before="0"/>
      </w:pPr>
      <w:r>
        <w:rPr>
          <w:b w:val="0"/>
          <w:sz w:val="19"/>
        </w:rPr>
      </w:r>
      <w:r>
        <w:rPr>
          <w:b/>
          <w:sz w:val="19"/>
        </w:rPr>
        <w:t>&lt;3 meses:</w:t>
      </w:r>
      <w:r>
        <w:rPr>
          <w:b w:val="0"/>
          <w:sz w:val="19"/>
        </w:rPr>
        <w:t xml:space="preserve"> progressão típica. </w:t>
      </w:r>
      <w:r>
        <w:rPr>
          <w:b/>
          <w:sz w:val="19"/>
        </w:rPr>
        <w:t>&gt;5 leucócitos/mm³:</w:t>
      </w:r>
      <w:r>
        <w:rPr>
          <w:b w:val="0"/>
          <w:sz w:val="19"/>
        </w:rPr>
        <w:t xml:space="preserve"> pleocitose nos critérios. </w:t>
      </w:r>
      <w:r>
        <w:rPr>
          <w:b/>
          <w:sz w:val="19"/>
        </w:rPr>
        <w:t>3–7 dias:</w:t>
      </w:r>
      <w:r>
        <w:rPr>
          <w:b w:val="0"/>
          <w:sz w:val="19"/>
        </w:rPr>
        <w:t xml:space="preserve"> repetir PCR-HSV com suspeita persistente. </w:t>
      </w:r>
      <w:r>
        <w:rPr>
          <w:b/>
          <w:sz w:val="19"/>
        </w:rPr>
        <w:t>4–6 meses:</w:t>
      </w:r>
      <w:r>
        <w:rPr>
          <w:b w:val="0"/>
          <w:sz w:val="19"/>
        </w:rPr>
        <w:t xml:space="preserve"> intervalo PNS-Care no alto risco. </w:t>
      </w:r>
      <w:r>
        <w:rPr>
          <w:b/>
          <w:sz w:val="19"/>
        </w:rPr>
        <w:t>2 anos:</w:t>
      </w:r>
      <w:r>
        <w:rPr>
          <w:b w:val="0"/>
          <w:sz w:val="19"/>
        </w:rPr>
        <w:t xml:space="preserve"> horizonte inicial desse rastreio, individualizável. [1,2,17]</w:t>
      </w:r>
    </w:p>
    <w:p>
      <w:pPr>
        <w:pStyle w:val="Heading2"/>
      </w:pPr>
      <w:r>
        <w:t>Três decisões críticas</w:t>
      </w:r>
    </w:p>
    <w:p>
      <w:pPr>
        <w:keepNext w:val="0"/>
        <w:spacing w:after="80" w:before="0"/>
      </w:pPr>
      <w:r>
        <w:rPr>
          <w:b w:val="0"/>
          <w:sz w:val="19"/>
        </w:rPr>
        <w:t>1 Proteger cérebro e cobrir HSV quando indicado. 2 Decidir imunoterapia após avaliação razoável de alternativas. 3 Escolher órgão e data da reavaliação tumoral.</w:t>
      </w:r>
    </w:p>
    <w:p>
      <w:pPr>
        <w:pStyle w:val="Heading2"/>
      </w:pPr>
      <w:r>
        <w:t>Revise em 30 segundos</w:t>
      </w:r>
    </w:p>
    <w:p>
      <w:pPr>
        <w:keepNext w:val="0"/>
        <w:spacing w:after="0" w:before="0"/>
      </w:pPr>
      <w:r>
        <w:rPr>
          <w:b w:val="0"/>
          <w:sz w:val="19"/>
        </w:rPr>
        <w:t>Síndrome → estabilizar/cobrir HSV → RM + EEG + LCR/soro → excluir alternativas → imunoterapia e busca/tratamento tumoral → medir resposta e reavaliar.</w:t>
      </w:r>
    </w:p>
    <w:p>
      <w:pPr>
        <w:sectPr>
          <w:pgSz w:w="11906" w:h="16838"/>
          <w:pgMar w:top="737" w:right="794" w:bottom="737" w:left="794" w:header="283" w:footer="283" w:gutter="0"/>
          <w:cols w:space="380" w:num="2"/>
          <w:docGrid w:linePitch="360"/>
        </w:sectPr>
      </w:pPr>
    </w:p>
    <w:p>
      <w:pPr>
        <w:pStyle w:val="Heading1"/>
      </w:pPr>
      <w:r>
        <w:t>10 Recuperar da memória e aprofundar</w:t>
      </w:r>
    </w:p>
    <w:p>
      <w:pPr>
        <w:keepNext w:val="0"/>
        <w:spacing w:after="80" w:before="0"/>
      </w:pPr>
      <w:r>
        <w:rPr>
          <w:b w:val="0"/>
          <w:sz w:val="19"/>
        </w:rPr>
        <w:t>Cubra as respostas. Marque apenas o que errou para a próxima revisão.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01 Tríade que localiza a síndrome límbica?</w:t>
      </w:r>
      <w:r>
        <w:rPr>
          <w:b w:val="0"/>
          <w:sz w:val="18"/>
        </w:rPr>
        <w:t xml:space="preserve"> Amnésia recente, crises e alteração comportamental.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02 Cronologia típica da possível encefalite autoimune?</w:t>
      </w:r>
      <w:r>
        <w:rPr>
          <w:b w:val="0"/>
          <w:sz w:val="18"/>
        </w:rPr>
        <w:t xml:space="preserve"> Progressão subaguda, geralmente inferior a 3 meses.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03 RM normal exclui encefalite autoimune?</w:t>
      </w:r>
      <w:r>
        <w:rPr>
          <w:b w:val="0"/>
          <w:sz w:val="18"/>
        </w:rPr>
        <w:t xml:space="preserve"> Não; integrar síndrome, LCR, EEG e anticorpos.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04 LCR sem pleocitose exclui?</w:t>
      </w:r>
      <w:r>
        <w:rPr>
          <w:b w:val="0"/>
          <w:sz w:val="18"/>
        </w:rPr>
        <w:t xml:space="preserve"> Não; alguns subtipos apresentam LCR pouco inflamatório.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05 O que distingue paraneoplásica de metástase?</w:t>
      </w:r>
      <w:r>
        <w:rPr>
          <w:b w:val="0"/>
          <w:sz w:val="18"/>
        </w:rPr>
        <w:t xml:space="preserve"> Mecanismo imune remoto, sem invasão tumoral direta como explicação.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06 Anti-Hu direciona primeiro a qual tumor?</w:t>
      </w:r>
      <w:r>
        <w:rPr>
          <w:b w:val="0"/>
          <w:sz w:val="18"/>
        </w:rPr>
        <w:t xml:space="preserve"> Carcinoma de pequenas células do pulmão.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07 Crises intensas + encefalite límbica: anticorpo-chave?</w:t>
      </w:r>
      <w:r>
        <w:rPr>
          <w:b w:val="0"/>
          <w:sz w:val="18"/>
        </w:rPr>
        <w:t xml:space="preserve"> GABA-BR; investigar especialmente carcinoma pulmonar de pequenas células.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08 GABA-AR e GABA-BR são intercambiáveis?</w:t>
      </w:r>
      <w:r>
        <w:rPr>
          <w:b w:val="0"/>
          <w:sz w:val="18"/>
        </w:rPr>
        <w:t xml:space="preserve"> Não: receptores e associações clínicas/oncológicas diferentes.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09 Ma2 em homem jovem aponta para onde?</w:t>
      </w:r>
      <w:r>
        <w:rPr>
          <w:b w:val="0"/>
          <w:sz w:val="18"/>
        </w:rPr>
        <w:t xml:space="preserve"> Tumor germinativo testicular; pode atingir diencéfalo e tronco.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10 KLHL11 + ataxia/hipoacusia: procurar o quê?</w:t>
      </w:r>
      <w:r>
        <w:rPr>
          <w:b w:val="0"/>
          <w:sz w:val="18"/>
        </w:rPr>
        <w:t xml:space="preserve"> Seminoma, inclusive extragonadal.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11 CRMP5/CV2 associa-se prioritariamente a quê?</w:t>
      </w:r>
      <w:r>
        <w:rPr>
          <w:b w:val="0"/>
          <w:sz w:val="18"/>
        </w:rPr>
        <w:t xml:space="preserve"> Carcinoma pulmonar de pequenas células e timoma.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12 AMPAR: três sítios importantes?</w:t>
      </w:r>
      <w:r>
        <w:rPr>
          <w:b w:val="0"/>
          <w:sz w:val="18"/>
        </w:rPr>
        <w:t xml:space="preserve"> Pulmão, timo e mama.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13 NMDAR em mulher jovem: tumor clássico?</w:t>
      </w:r>
      <w:r>
        <w:rPr>
          <w:b w:val="0"/>
          <w:sz w:val="18"/>
        </w:rPr>
        <w:t xml:space="preserve"> Teratoma ovariano; associação depende de idade e sexo.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14 Anticorpo NMDAR de maior relevância diagnóstica?</w:t>
      </w:r>
      <w:r>
        <w:rPr>
          <w:b w:val="0"/>
          <w:sz w:val="18"/>
        </w:rPr>
        <w:t xml:space="preserve"> IgG anti-GluN1, com avaliação do LCR.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15 Morvan + CASPR2: neoplasia prioritária?</w:t>
      </w:r>
      <w:r>
        <w:rPr>
          <w:b w:val="0"/>
          <w:sz w:val="18"/>
        </w:rPr>
        <w:t xml:space="preserve"> Timoma.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16 mGluR5 lembra qual doença oncológica?</w:t>
      </w:r>
      <w:r>
        <w:rPr>
          <w:b w:val="0"/>
          <w:sz w:val="18"/>
        </w:rPr>
        <w:t xml:space="preserve"> Linfoma de Hodgkin.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17 LGI1 significa câncer provável?</w:t>
      </w:r>
      <w:r>
        <w:rPr>
          <w:b w:val="0"/>
          <w:sz w:val="18"/>
        </w:rPr>
        <w:t xml:space="preserve"> Não; sua associação tumoral é geralmente baixa.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18 Por que colher soro e LCR?</w:t>
      </w:r>
      <w:r>
        <w:rPr>
          <w:b w:val="0"/>
          <w:sz w:val="18"/>
        </w:rPr>
        <w:t xml:space="preserve"> Sensibilidade e especificidade variam conforme anticorpo e amostra.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19 Painel positivo confirma causalidade?</w:t>
      </w:r>
      <w:r>
        <w:rPr>
          <w:b w:val="0"/>
          <w:sz w:val="18"/>
        </w:rPr>
        <w:t xml:space="preserve"> Não; exigir coerência clínica e confirmação quando discordante.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20 O que não deve esperar pelo painel?</w:t>
      </w:r>
      <w:r>
        <w:rPr>
          <w:b w:val="0"/>
          <w:sz w:val="18"/>
        </w:rPr>
        <w:t xml:space="preserve"> Estabilização, cobertura infecciosa indicada e investigação sindrômica.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21 Imagem sugestiva de linfoma antes do corticoide?</w:t>
      </w:r>
      <w:r>
        <w:rPr>
          <w:b w:val="0"/>
          <w:sz w:val="18"/>
        </w:rPr>
        <w:t xml:space="preserve"> Discutir biópsia: corticoide pode reduzir rendimento diagnóstico.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22 Tumor encontrado: aguardar melhora neurológica?</w:t>
      </w:r>
      <w:r>
        <w:rPr>
          <w:b w:val="0"/>
          <w:sz w:val="18"/>
        </w:rPr>
        <w:t xml:space="preserve"> Planejar tratamento oncológico e neurológico em paralelo.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23 TC negativa encerra rastreio de alto risco?</w:t>
      </w:r>
      <w:r>
        <w:rPr>
          <w:b w:val="0"/>
          <w:sz w:val="18"/>
        </w:rPr>
        <w:t xml:space="preserve"> Não; completar busca dirigida e programar reavaliação.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24 Intervalo PNS-Care em fenótipo + anticorpo de alto risco?</w:t>
      </w:r>
      <w:r>
        <w:rPr>
          <w:b w:val="0"/>
          <w:sz w:val="18"/>
        </w:rPr>
        <w:t xml:space="preserve"> Repetir busca a cada 4–6 meses por 2 anos, individualizando.</w:t>
      </w:r>
    </w:p>
    <w:p>
      <w:pPr>
        <w:keepNext w:val="0"/>
        <w:spacing w:after="60" w:before="0"/>
      </w:pPr>
      <w:r>
        <w:rPr>
          <w:b w:val="0"/>
          <w:sz w:val="18"/>
        </w:rPr>
      </w:r>
      <w:r>
        <w:rPr>
          <w:b/>
          <w:sz w:val="18"/>
        </w:rPr>
        <w:t>25 Melhor parâmetro de resposta isolada: título ou clínica?</w:t>
      </w:r>
      <w:r>
        <w:rPr>
          <w:b w:val="0"/>
          <w:sz w:val="18"/>
        </w:rPr>
        <w:t xml:space="preserve"> Evolução clínica objetiva; título isolado não deve comandar tudo.</w:t>
      </w:r>
    </w:p>
    <w:p>
      <w:pPr>
        <w:pStyle w:val="Heading2"/>
      </w:pPr>
      <w:r>
        <w:t>Revisão espaçada</w:t>
      </w:r>
    </w:p>
    <w:p>
      <w:pPr>
        <w:keepNext w:val="0"/>
        <w:spacing w:after="80" w:before="0"/>
      </w:pPr>
      <w:r>
        <w:rPr>
          <w:b w:val="0"/>
          <w:sz w:val="18"/>
        </w:rPr>
      </w:r>
      <w:r>
        <w:rPr>
          <w:b/>
          <w:sz w:val="18"/>
        </w:rPr>
        <w:t>Hoje:</w:t>
      </w:r>
      <w:r>
        <w:rPr>
          <w:b w:val="0"/>
          <w:sz w:val="18"/>
        </w:rPr>
        <w:t xml:space="preserve"> explicar o algoritmo. </w:t>
      </w:r>
      <w:r>
        <w:rPr>
          <w:b/>
          <w:sz w:val="18"/>
        </w:rPr>
        <w:t>24 h:</w:t>
      </w:r>
      <w:r>
        <w:rPr>
          <w:b w:val="0"/>
          <w:sz w:val="18"/>
        </w:rPr>
        <w:t xml:space="preserve"> rever flashcards errados. </w:t>
      </w:r>
      <w:r>
        <w:rPr>
          <w:b/>
          <w:sz w:val="18"/>
        </w:rPr>
        <w:t>7 dias:</w:t>
      </w:r>
      <w:r>
        <w:rPr>
          <w:b w:val="0"/>
          <w:sz w:val="18"/>
        </w:rPr>
        <w:t xml:space="preserve"> refazer caso e mapa de tumores. </w:t>
      </w:r>
      <w:r>
        <w:rPr>
          <w:b/>
          <w:sz w:val="18"/>
        </w:rPr>
        <w:t>30 dias:</w:t>
      </w:r>
      <w:r>
        <w:rPr>
          <w:b w:val="0"/>
          <w:sz w:val="18"/>
        </w:rPr>
        <w:t xml:space="preserve"> aplicar checklist a outro caso.</w:t>
      </w:r>
    </w:p>
    <w:p>
      <w:pPr>
        <w:pStyle w:val="Heading2"/>
      </w:pPr>
      <w:r>
        <w:t>Mini mapa mental</w:t>
      </w:r>
    </w:p>
    <w:p>
      <w:pPr>
        <w:keepNext w:val="0"/>
        <w:spacing w:after="80" w:before="0"/>
      </w:pPr>
      <w:r>
        <w:rPr>
          <w:b w:val="0"/>
          <w:sz w:val="18"/>
        </w:rPr>
        <w:t>Síndrome → topografia → anticorpo → órgão → exame → tratamento → resposta → novo rastreio.</w:t>
      </w:r>
    </w:p>
    <w:p>
      <w:pPr>
        <w:pStyle w:val="Heading2"/>
      </w:pPr>
      <w:r>
        <w:t>Referências essenciais</w:t>
      </w:r>
    </w:p>
    <w:p>
      <w:pPr>
        <w:keepNext w:val="0"/>
        <w:spacing w:after="60" w:before="0"/>
      </w:pPr>
      <w:r>
        <w:rPr>
          <w:b w:val="0"/>
          <w:sz w:val="17"/>
        </w:rPr>
        <w:t>Números entre colchetes remetem às fontes abaixo; os títulos são links. Consensos não equivalem a ensaios comparativos.</w:t>
      </w:r>
    </w:p>
    <w:p>
      <w:pPr>
        <w:keepNext w:val="0"/>
        <w:spacing w:after="40" w:before="0"/>
      </w:pPr>
      <w:r>
        <w:rPr>
          <w:b w:val="0"/>
          <w:sz w:val="16"/>
        </w:rPr>
        <w:t xml:space="preserve">1 Graus 2016  </w:t>
      </w:r>
      <w:hyperlink r:id="rId21">
        <w:r>
          <w:rPr>
            <w:color w:val="07586D"/>
            <w:sz w:val="16"/>
          </w:rPr>
          <w:t>Critérios de encefalite autoimune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2 Graus 2021  </w:t>
      </w:r>
      <w:hyperlink r:id="rId22">
        <w:r>
          <w:rPr>
            <w:color w:val="07586D"/>
            <w:sz w:val="16"/>
          </w:rPr>
          <w:t>PNS-Care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3 Hahn 2024  </w:t>
      </w:r>
      <w:hyperlink r:id="rId23">
        <w:r>
          <w:rPr>
            <w:color w:val="07586D"/>
            <w:sz w:val="16"/>
          </w:rPr>
          <w:t>Consenso canadense em adultos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4 Abboud 2021  </w:t>
      </w:r>
      <w:hyperlink r:id="rId24">
        <w:r>
          <w:rPr>
            <w:color w:val="07586D"/>
            <w:sz w:val="16"/>
          </w:rPr>
          <w:t>Diagnóstico e manejo agudo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5 Dalmau 2004  </w:t>
      </w:r>
      <w:hyperlink r:id="rId25">
        <w:r>
          <w:rPr>
            <w:color w:val="07586D"/>
            <w:sz w:val="16"/>
          </w:rPr>
          <w:t>Coorte anti-Ma2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6 Yu 2001  </w:t>
      </w:r>
      <w:hyperlink r:id="rId26">
        <w:r>
          <w:rPr>
            <w:color w:val="07586D"/>
            <w:sz w:val="16"/>
          </w:rPr>
          <w:t>CRMP5 e neoplasias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7 Mandel-Brehm 2019  </w:t>
      </w:r>
      <w:hyperlink r:id="rId27">
        <w:r>
          <w:rPr>
            <w:color w:val="07586D"/>
            <w:sz w:val="16"/>
          </w:rPr>
          <w:t>KLHL11 e seminoma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8 Villagrán-García 2023  </w:t>
      </w:r>
      <w:hyperlink r:id="rId28">
        <w:r>
          <w:rPr>
            <w:color w:val="07586D"/>
            <w:sz w:val="16"/>
          </w:rPr>
          <w:t>Coorte anti-Hu e rastreio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9 Höftberger 2013  </w:t>
      </w:r>
      <w:hyperlink r:id="rId29">
        <w:r>
          <w:rPr>
            <w:color w:val="07586D"/>
            <w:sz w:val="16"/>
          </w:rPr>
          <w:t>Série GABA-BR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10 Höftberger 2015  </w:t>
      </w:r>
      <w:hyperlink r:id="rId30">
        <w:r>
          <w:rPr>
            <w:color w:val="07586D"/>
            <w:sz w:val="16"/>
          </w:rPr>
          <w:t>Série AMPAR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11 Titulaer 2013  </w:t>
      </w:r>
      <w:hyperlink r:id="rId31">
        <w:r>
          <w:rPr>
            <w:color w:val="07586D"/>
            <w:sz w:val="16"/>
          </w:rPr>
          <w:t>Coorte NMDAR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12 van Sonderen 2016  </w:t>
      </w:r>
      <w:hyperlink r:id="rId32">
        <w:r>
          <w:rPr>
            <w:color w:val="07586D"/>
            <w:sz w:val="16"/>
          </w:rPr>
          <w:t>Espectro CASPR2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13 Spatola 2017  </w:t>
      </w:r>
      <w:hyperlink r:id="rId33">
        <w:r>
          <w:rPr>
            <w:color w:val="07586D"/>
            <w:sz w:val="16"/>
          </w:rPr>
          <w:t>Série GABA-AR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14 Spatola 2018  </w:t>
      </w:r>
      <w:hyperlink r:id="rId34">
        <w:r>
          <w:rPr>
            <w:color w:val="07586D"/>
            <w:sz w:val="16"/>
          </w:rPr>
          <w:t>Série mGluR5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15 Gresa-Arribas 2014  </w:t>
      </w:r>
      <w:hyperlink r:id="rId35">
        <w:r>
          <w:rPr>
            <w:color w:val="07586D"/>
            <w:sz w:val="16"/>
          </w:rPr>
          <w:t>Anticorpos NMDAR em soro e LCR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16 Flanagan 2023  </w:t>
      </w:r>
      <w:hyperlink r:id="rId36">
        <w:r>
          <w:rPr>
            <w:color w:val="07586D"/>
            <w:sz w:val="16"/>
          </w:rPr>
          <w:t>Erros de diagnóstico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17 IDSA 2008  </w:t>
      </w:r>
      <w:hyperlink r:id="rId37">
        <w:r>
          <w:rPr>
            <w:color w:val="07586D"/>
            <w:sz w:val="16"/>
          </w:rPr>
          <w:t>Encefalite e HSV — referência histórica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18 DailyMed 2025  </w:t>
      </w:r>
      <w:hyperlink r:id="rId38">
        <w:r>
          <w:rPr>
            <w:color w:val="07586D"/>
            <w:sz w:val="16"/>
          </w:rPr>
          <w:t>Solu-Medrol — segurança de administração</w:t>
        </w:r>
      </w:hyperlink>
    </w:p>
    <w:p>
      <w:pPr>
        <w:keepNext w:val="0"/>
        <w:spacing w:after="40" w:before="0"/>
      </w:pPr>
      <w:r>
        <w:rPr>
          <w:b w:val="0"/>
          <w:sz w:val="16"/>
        </w:rPr>
        <w:t xml:space="preserve">19 DailyMed 2023  </w:t>
      </w:r>
      <w:hyperlink r:id="rId39">
        <w:r>
          <w:rPr>
            <w:color w:val="07586D"/>
            <w:sz w:val="16"/>
          </w:rPr>
          <w:t>Aciclovir EV — administração e ajuste</w:t>
        </w:r>
      </w:hyperlink>
    </w:p>
    <w:p>
      <w:pPr>
        <w:pStyle w:val="Heading2"/>
      </w:pPr>
      <w:r>
        <w:t>Aprofundamento por prioridade</w:t>
      </w:r>
    </w:p>
    <w:p>
      <w:pPr>
        <w:keepNext w:val="0"/>
        <w:spacing w:after="0" w:before="0"/>
      </w:pPr>
      <w:r>
        <w:rPr>
          <w:b w:val="0"/>
          <w:sz w:val="18"/>
        </w:rPr>
      </w:r>
      <w:r>
        <w:rPr>
          <w:b/>
          <w:sz w:val="18"/>
        </w:rPr>
        <w:t>Essencial:</w:t>
      </w:r>
      <w:r>
        <w:rPr>
          <w:b w:val="0"/>
          <w:sz w:val="18"/>
        </w:rPr>
        <w:t xml:space="preserve"> critérios e HSV [1,17]. </w:t>
      </w:r>
      <w:r>
        <w:rPr>
          <w:b/>
          <w:sz w:val="18"/>
        </w:rPr>
        <w:t>Intermediário:</w:t>
      </w:r>
      <w:r>
        <w:rPr>
          <w:b w:val="0"/>
          <w:sz w:val="18"/>
        </w:rPr>
        <w:t xml:space="preserve"> matriz fenótipo–anticorpo–tumor [2,3]. </w:t>
      </w:r>
      <w:r>
        <w:rPr>
          <w:b/>
          <w:sz w:val="18"/>
        </w:rPr>
        <w:t>Avançado:</w:t>
      </w:r>
      <w:r>
        <w:rPr>
          <w:b w:val="0"/>
          <w:sz w:val="18"/>
        </w:rPr>
        <w:t xml:space="preserve"> discordância soro/LCR, falsos positivos e vigilância anti-Hu [8,15,16].</w:t>
      </w:r>
    </w:p>
    <w:sectPr w:rsidR="00FC693F" w:rsidRPr="0006063C" w:rsidSect="00034616">
      <w:pgSz w:w="11906" w:h="16838"/>
      <w:pgMar w:top="737" w:right="794" w:bottom="737" w:left="794" w:header="283" w:footer="283" w:gutter="0"/>
      <w:cols w:space="38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Encefalite paraneoplásica   •   11/09/2026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MODO TURBO TEMI 360X   |   NEUROIMUNOLOGIA APLICADA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52" w:lineRule="auto"/>
    </w:pPr>
    <w:rPr>
      <w:rFonts w:ascii="Arial" w:hAnsi="Arial"/>
      <w:b w:val="0"/>
      <w:color w:val="000000"/>
      <w:sz w:val="22"/>
      <w:u w:val="none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52" w:lineRule="auto" w:before="0"/>
    </w:pPr>
    <w:rPr>
      <w:rFonts w:ascii="Arial" w:hAnsi="Arial"/>
      <w:b w:val="0"/>
      <w:color w:val="000000"/>
      <w:sz w:val="16"/>
      <w:u w:val="none"/>
      <w:lang w:val="pt-B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52" w:lineRule="auto" w:before="0"/>
    </w:pPr>
    <w:rPr>
      <w:rFonts w:ascii="Arial" w:hAnsi="Arial"/>
      <w:b w:val="0"/>
      <w:color w:val="000000"/>
      <w:sz w:val="16"/>
      <w:u w:val="none"/>
      <w:lang w:val="pt-B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20" w:line="252" w:lineRule="auto"/>
      <w:outlineLvl w:val="0"/>
    </w:pPr>
    <w:rPr>
      <w:rFonts w:ascii="Arial" w:hAnsi="Arial"/>
      <w:b/>
      <w:bCs/>
      <w:color w:val="000000"/>
      <w:sz w:val="32"/>
      <w:szCs w:val="28"/>
      <w:u w:val="none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80" w:line="252" w:lineRule="auto"/>
      <w:outlineLvl w:val="1"/>
    </w:pPr>
    <w:rPr>
      <w:rFonts w:ascii="Arial" w:hAnsi="Arial"/>
      <w:b/>
      <w:bCs/>
      <w:color w:val="000000"/>
      <w:sz w:val="23"/>
      <w:szCs w:val="26"/>
      <w:u w:val="none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00" w:after="60" w:line="252" w:lineRule="auto"/>
      <w:outlineLvl w:val="2"/>
    </w:pPr>
    <w:rPr>
      <w:rFonts w:ascii="Arial" w:hAnsi="Arial"/>
      <w:b/>
      <w:bCs/>
      <w:color w:val="000000"/>
      <w:sz w:val="21"/>
      <w:u w:val="none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52" w:lineRule="auto" w:before="0"/>
      <w:contextualSpacing/>
    </w:pPr>
    <w:rPr>
      <w:rFonts w:ascii="Arial" w:hAnsi="Arial"/>
      <w:b/>
      <w:color w:val="000000"/>
      <w:spacing w:val="5"/>
      <w:kern w:val="28"/>
      <w:sz w:val="50"/>
      <w:szCs w:val="52"/>
      <w:u w:val="none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20" w:before="0" w:line="252" w:lineRule="auto"/>
    </w:pPr>
    <w:rPr>
      <w:rFonts w:ascii="Arial" w:hAnsi="Arial"/>
      <w:b w:val="0"/>
      <w:i/>
      <w:iCs/>
      <w:color w:val="000000"/>
      <w:spacing w:val="15"/>
      <w:sz w:val="24"/>
      <w:szCs w:val="24"/>
      <w:u w:val="none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00" w:before="0"/>
    </w:pPr>
    <w:rPr>
      <w:rFonts w:ascii="Arial" w:hAnsi="Arial"/>
      <w:b w:val="0"/>
      <w:bCs/>
      <w:color w:val="000000"/>
      <w:sz w:val="18"/>
      <w:szCs w:val="18"/>
      <w:u w:val="none"/>
      <w:lang w:val="pt-BR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pubmed.ncbi.nlm.nih.gov/26906964/" TargetMode="External"/><Relationship Id="rId22" Type="http://schemas.openxmlformats.org/officeDocument/2006/relationships/hyperlink" Target="https://pmc.ncbi.nlm.nih.gov/articles/PMC8237398/" TargetMode="External"/><Relationship Id="rId23" Type="http://schemas.openxmlformats.org/officeDocument/2006/relationships/hyperlink" Target="https://pubmed.ncbi.nlm.nih.gov/38312020/" TargetMode="External"/><Relationship Id="rId24" Type="http://schemas.openxmlformats.org/officeDocument/2006/relationships/hyperlink" Target="https://pmc.ncbi.nlm.nih.gov/articles/PMC8223680/" TargetMode="External"/><Relationship Id="rId25" Type="http://schemas.openxmlformats.org/officeDocument/2006/relationships/hyperlink" Target="https://pubmed.ncbi.nlm.nih.gov/15215214/" TargetMode="External"/><Relationship Id="rId26" Type="http://schemas.openxmlformats.org/officeDocument/2006/relationships/hyperlink" Target="https://pubmed.ncbi.nlm.nih.gov/11220734/" TargetMode="External"/><Relationship Id="rId27" Type="http://schemas.openxmlformats.org/officeDocument/2006/relationships/hyperlink" Target="https://doi.org/10.1056/NEJMoa1816721" TargetMode="External"/><Relationship Id="rId28" Type="http://schemas.openxmlformats.org/officeDocument/2006/relationships/hyperlink" Target="https://pubmed.ncbi.nlm.nih.gov/37794924/" TargetMode="External"/><Relationship Id="rId29" Type="http://schemas.openxmlformats.org/officeDocument/2006/relationships/hyperlink" Target="https://pubmed.ncbi.nlm.nih.gov/24068784/" TargetMode="External"/><Relationship Id="rId30" Type="http://schemas.openxmlformats.org/officeDocument/2006/relationships/hyperlink" Target="https://pubmed.ncbi.nlm.nih.gov/25979696/" TargetMode="External"/><Relationship Id="rId31" Type="http://schemas.openxmlformats.org/officeDocument/2006/relationships/hyperlink" Target="https://pubmed.ncbi.nlm.nih.gov/23290630/" TargetMode="External"/><Relationship Id="rId32" Type="http://schemas.openxmlformats.org/officeDocument/2006/relationships/hyperlink" Target="https://repub.eur.nl/pub/96600" TargetMode="External"/><Relationship Id="rId33" Type="http://schemas.openxmlformats.org/officeDocument/2006/relationships/hyperlink" Target="https://doi.org/10.1212/WNL.0000000000003713" TargetMode="External"/><Relationship Id="rId34" Type="http://schemas.openxmlformats.org/officeDocument/2006/relationships/hyperlink" Target="https://doi.org/10.1212/WNL.0000000000005614" TargetMode="External"/><Relationship Id="rId35" Type="http://schemas.openxmlformats.org/officeDocument/2006/relationships/hyperlink" Target="https://pubmed.ncbi.nlm.nih.gov/24360484/" TargetMode="External"/><Relationship Id="rId36" Type="http://schemas.openxmlformats.org/officeDocument/2006/relationships/hyperlink" Target="https://doi.org/10.1001/jamaneurol.2022.4251" TargetMode="External"/><Relationship Id="rId37" Type="http://schemas.openxmlformats.org/officeDocument/2006/relationships/hyperlink" Target="https://www.idsociety.org/practice-guideline/encephalitis/" TargetMode="External"/><Relationship Id="rId38" Type="http://schemas.openxmlformats.org/officeDocument/2006/relationships/hyperlink" Target="https://dailymed.nlm.nih.gov/dailymed/drugInfo.cfm?setid=7271310c-7764-4812-aa30-a5e90987c7a9" TargetMode="External"/><Relationship Id="rId39" Type="http://schemas.openxmlformats.org/officeDocument/2006/relationships/hyperlink" Target="https://dailymed.nlm.nih.gov/dailymed/drugInfo.cfm?setid=889bccd1-3793-40ce-bca2-c8c9cf6b74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Encefalite paraneoplásica</dc:title>
  <dc:subject>Prática e preparação TEMI com aprendizagem ativa</dc:subject>
  <dc:creator/>
  <cp:keywords>encefalite; paraneoplásica; TEMI; anticorpos; investigação; terapia intensiva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