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500"/>
        <w:jc w:val="center"/>
      </w:pPr>
      <w:r>
        <w:t>POCUS da Bexiga Avaliação e Conteúdo Vesical</w:t>
      </w:r>
    </w:p>
    <w:p>
      <w:pPr>
        <w:spacing w:after="360"/>
        <w:jc w:val="center"/>
      </w:pPr>
      <w:r>
        <w:rPr>
          <w:rFonts w:ascii="Arial" w:hAnsi="Arial"/>
          <w:b/>
          <w:i w:val="0"/>
          <w:color w:val="12304A"/>
          <w:sz w:val="36"/>
        </w:rPr>
        <w:t>Manual prático interativo Turbo TEMI</w:t>
      </w:r>
    </w:p>
    <w:p>
      <w:pPr>
        <w:jc w:val="center"/>
      </w:pPr>
      <w:r>
        <w:rPr>
          <w:rFonts w:ascii="Arial" w:hAnsi="Arial"/>
          <w:b w:val="0"/>
          <w:i w:val="0"/>
          <w:color w:val="44546A"/>
          <w:sz w:val="26"/>
        </w:rPr>
        <w:t>Clínica Médica  Emergência  Terapia Intensiva</w:t>
      </w:r>
    </w:p>
    <w:p>
      <w:pPr>
        <w:spacing w:after="440"/>
      </w:pPr>
    </w:p>
    <w:p>
      <w:pPr>
        <w:spacing w:before="0" w:after="240" w:line="276" w:lineRule="auto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Finalidade: executar a aquisição suprapúbica, reconhecer a bexiga normal, estimar volume, interpretar conteúdo intravesical e transformar o achado em decisão clínica segura.</w:t>
      </w:r>
    </w:p>
    <w:p>
      <w:pPr>
        <w:spacing w:before="0" w:after="80" w:line="276" w:lineRule="auto"/>
        <w:jc w:val="center"/>
      </w:pPr>
      <w:r>
        <w:rPr>
          <w:rFonts w:ascii="Arial" w:hAnsi="Arial"/>
          <w:b w:val="0"/>
          <w:i w:val="0"/>
          <w:color w:val="000000"/>
          <w:sz w:val="21"/>
        </w:rPr>
        <w:t>Público-alvo: médicos e profissionais treinados em ultrassonografia à beira-leito.</w:t>
      </w:r>
    </w:p>
    <w:p>
      <w:pPr>
        <w:spacing w:before="0" w:after="400" w:line="276" w:lineRule="auto"/>
        <w:jc w:val="center"/>
      </w:pPr>
      <w:r>
        <w:rPr>
          <w:rFonts w:ascii="Arial" w:hAnsi="Arial"/>
          <w:b w:val="0"/>
          <w:i w:val="0"/>
          <w:color w:val="666666"/>
          <w:sz w:val="19"/>
        </w:rPr>
        <w:t>Versão 1.0  Atualização científica verificada em 11 de setembro de 2026</w:t>
      </w:r>
    </w:p>
    <w:p>
      <w:pPr>
        <w:spacing w:before="0" w:after="120" w:line="276" w:lineRule="auto"/>
        <w:jc w:val="center"/>
      </w:pPr>
      <w:r>
        <w:rPr>
          <w:rFonts w:ascii="Arial" w:hAnsi="Arial"/>
          <w:b w:val="0"/>
          <w:i/>
          <w:color w:val="555555"/>
          <w:sz w:val="19"/>
        </w:rPr>
        <w:t>As imagens são representações educacionais geradas para memorização e não substituem imagens reais, treinamento supervisionado, ultrassonografia diagnóstica formal ou protocolo institucional.</w:t>
      </w:r>
    </w:p>
    <w:p>
      <w:r>
        <w:br w:type="page"/>
      </w:r>
    </w:p>
    <w:p>
      <w:pPr>
        <w:pStyle w:val="Heading1"/>
        <w:keepNext/>
        <w:pageBreakBefore w:val="0"/>
      </w:pPr>
      <w:r>
        <w:t>Sumário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84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5400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Conteúdo</w:t>
            </w:r>
          </w:p>
        </w:tc>
        <w:tc>
          <w:tcPr>
            <w:tcW w:type="dxa" w:w="3096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Produto ativo</w:t>
            </w:r>
          </w:p>
        </w:tc>
      </w:tr>
      <w:tr>
        <w:tc>
          <w:tcPr>
            <w:tcW w:type="dxa" w:w="158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Resposta direta</w:t>
            </w:r>
          </w:p>
        </w:tc>
        <w:tc>
          <w:tcPr>
            <w:tcW w:type="dxa" w:w="540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Conduta, alertas, uso e objetivos</w:t>
            </w:r>
          </w:p>
        </w:tc>
        <w:tc>
          <w:tcPr>
            <w:tcW w:type="dxa" w:w="3096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Rota rápida</w:t>
            </w:r>
          </w:p>
        </w:tc>
      </w:tr>
      <w:tr>
        <w:tc>
          <w:tcPr>
            <w:tcW w:type="dxa" w:w="1584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40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Pergunta clínica e limites do POCUS</w:t>
            </w:r>
          </w:p>
        </w:tc>
        <w:tc>
          <w:tcPr>
            <w:tcW w:type="dxa" w:w="3096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Mapa de decisão</w:t>
            </w:r>
          </w:p>
        </w:tc>
      </w:tr>
      <w:tr>
        <w:tc>
          <w:tcPr>
            <w:tcW w:type="dxa" w:w="158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40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Preparação do aparelho e do paciente</w:t>
            </w:r>
          </w:p>
        </w:tc>
        <w:tc>
          <w:tcPr>
            <w:tcW w:type="dxa" w:w="3096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Checklist</w:t>
            </w:r>
          </w:p>
        </w:tc>
      </w:tr>
      <w:tr>
        <w:tc>
          <w:tcPr>
            <w:tcW w:type="dxa" w:w="1584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40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Aquisição em dois planos</w:t>
            </w:r>
          </w:p>
        </w:tc>
        <w:tc>
          <w:tcPr>
            <w:tcW w:type="dxa" w:w="3096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Figuras 2 a 4</w:t>
            </w:r>
          </w:p>
        </w:tc>
      </w:tr>
      <w:tr>
        <w:tc>
          <w:tcPr>
            <w:tcW w:type="dxa" w:w="158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40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Aparência normal e artefatos</w:t>
            </w:r>
          </w:p>
        </w:tc>
        <w:tc>
          <w:tcPr>
            <w:tcW w:type="dxa" w:w="3096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Figuras 5 a 7</w:t>
            </w:r>
          </w:p>
        </w:tc>
      </w:tr>
      <w:tr>
        <w:tc>
          <w:tcPr>
            <w:tcW w:type="dxa" w:w="1584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40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Volume e resíduo pós-miccional</w:t>
            </w:r>
          </w:p>
        </w:tc>
        <w:tc>
          <w:tcPr>
            <w:tcW w:type="dxa" w:w="3096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Fórmula e Figura 8</w:t>
            </w:r>
          </w:p>
        </w:tc>
      </w:tr>
      <w:tr>
        <w:tc>
          <w:tcPr>
            <w:tcW w:type="dxa" w:w="158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540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Conteúdo vesical e parede</w:t>
            </w:r>
          </w:p>
        </w:tc>
        <w:tc>
          <w:tcPr>
            <w:tcW w:type="dxa" w:w="3096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Matriz de padrões</w:t>
            </w:r>
          </w:p>
        </w:tc>
      </w:tr>
      <w:tr>
        <w:tc>
          <w:tcPr>
            <w:tcW w:type="dxa" w:w="1584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540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Armadilhas e resgate</w:t>
            </w:r>
          </w:p>
        </w:tc>
        <w:tc>
          <w:tcPr>
            <w:tcW w:type="dxa" w:w="3096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Figura 9</w:t>
            </w:r>
          </w:p>
        </w:tc>
      </w:tr>
      <w:tr>
        <w:tc>
          <w:tcPr>
            <w:tcW w:type="dxa" w:w="158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540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Algoritmo em 60 segundos</w:t>
            </w:r>
          </w:p>
        </w:tc>
        <w:tc>
          <w:tcPr>
            <w:tcW w:type="dxa" w:w="3096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Figura 10</w:t>
            </w:r>
          </w:p>
        </w:tc>
      </w:tr>
      <w:tr>
        <w:tc>
          <w:tcPr>
            <w:tcW w:type="dxa" w:w="1584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540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Registro interativo</w:t>
            </w:r>
          </w:p>
        </w:tc>
        <w:tc>
          <w:tcPr>
            <w:tcW w:type="dxa" w:w="3096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Campos editáveis</w:t>
            </w:r>
          </w:p>
        </w:tc>
      </w:tr>
      <w:tr>
        <w:tc>
          <w:tcPr>
            <w:tcW w:type="dxa" w:w="158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 e 11</w:t>
            </w:r>
          </w:p>
        </w:tc>
        <w:tc>
          <w:tcPr>
            <w:tcW w:type="dxa" w:w="540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Casos e questões TEMI</w:t>
            </w:r>
          </w:p>
        </w:tc>
        <w:tc>
          <w:tcPr>
            <w:tcW w:type="dxa" w:w="3096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Recuperação ativa</w:t>
            </w:r>
          </w:p>
        </w:tc>
      </w:tr>
      <w:tr>
        <w:tc>
          <w:tcPr>
            <w:tcW w:type="dxa" w:w="1584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 a 14</w:t>
            </w:r>
          </w:p>
        </w:tc>
        <w:tc>
          <w:tcPr>
            <w:tcW w:type="dxa" w:w="540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Memorex, SCALTS e referências</w:t>
            </w:r>
          </w:p>
        </w:tc>
        <w:tc>
          <w:tcPr>
            <w:tcW w:type="dxa" w:w="3096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Plano de retenção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Conceitos principais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A bexiga é procurada atrás do púbis, não no abdome superior.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Nenhum achado deve ser aceito sem confirmação transversal e longitudinal.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Urina simples é anecoica; ecos internos exigem ajuste do ganho e caracterização.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Volume requer três eixos internos ortogonais e o fator 0,52.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Bexiga cheia com Foley é falha de drenagem até prova em contrário.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Bexiga pequena em oligúria desloca o raciocínio para rim, trato alto e hemodinâmica.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Mobilidade, sombra e Doppler separam os principais conteúdos intravesicais.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POCUS responde uma pergunta focada e não exclui doença urológica relevante.</w:t>
      </w:r>
    </w:p>
    <w:p>
      <w:r>
        <w:br w:type="page"/>
      </w:r>
    </w:p>
    <w:p>
      <w:pPr>
        <w:pStyle w:val="Heading1"/>
        <w:keepNext/>
        <w:pageBreakBefore w:val="0"/>
      </w:pPr>
      <w:r>
        <w:t>Resposta direta</w:t>
      </w:r>
    </w:p>
    <w:p>
      <w:pPr>
        <w:spacing w:before="0" w:after="180" w:line="276" w:lineRule="auto"/>
      </w:pPr>
      <w:r>
        <w:rPr>
          <w:rFonts w:ascii="Arial" w:hAnsi="Arial"/>
          <w:b w:val="0"/>
          <w:i w:val="0"/>
          <w:color w:val="000000"/>
          <w:sz w:val="24"/>
        </w:rPr>
        <w:t>A avaliação da bexiga começa imediatamente acima da sínfise púbica com transdutor convexo de 2 a 5 MHz. Obtenha cortes transversal e longitudinal, centralize toda a bexiga, inspecione parede e conteúdo, confirme o balão da sonda quando presente e calcule o volume somente com três diâmetros internos ortogonais.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1. Paciente em decúbito dorsal e região suprapúbica exposta.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2. Corte transversal: marcador para a direita do paciente; incline o feixe caudalmente.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3. Varra todo o órgão e rode 90 graus para o corte longitudinal; marcador cranial.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4. Reconheça urina simples como conteúdo anecoico, homogêneo, com realce posterior.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5. Se necessário, meça largura, diâmetro anteroposterior e comprimento; volume aproximado igual ao produto dos três eixos multiplicado por 0,52.</w:t>
      </w:r>
    </w:p>
    <w:p>
      <w:pPr>
        <w:pStyle w:val="Heading2"/>
        <w:keepNext/>
        <w:pageBreakBefore w:val="0"/>
      </w:pPr>
      <w:r>
        <w:t>Alertas imediatos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Bexiga muito distendida, dolorosa e incapacidade de urinar sugerem retenção aguda e exigem descompressão sem atraso quando não há suspeita de lesão uretral.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Sangue no meato, trauma pélvico ou dificuldade importante de progressão contraindicam tentativas uretrais cegas; acione urologia e avalie uretrografia retrógrada conforme o cenário.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Bexiga distendida apesar de sonda vesical sugere dobra, obstrução por sedimento ou coágulo, balão mal posicionado ou falha do sistema.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Massa fixa, vascularizada ou espessamento focal irregular não deve ser rotulado como coágulo; requer investigação formal e avaliação urológica.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Gás na parede vesical ou no lúmen sem instrumentação recente, sobretudo em diabetes, imunossupressão ou sepse, exige investigação urgente de cistite enfisematosa.</w:t>
      </w:r>
    </w:p>
    <w:p>
      <w:pPr>
        <w:pStyle w:val="Heading2"/>
        <w:keepNext/>
        <w:pageBreakBefore w:val="0"/>
      </w:pPr>
      <w:r>
        <w:t>Como usar este manual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Trilha rápida: leia Resposta direta, Figura 10 e Memorex final.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Trilha operacional: execute cada checklist ao lado do aparelho e preencha o registro interativo.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Trilha TEMI: responda aos casos e às cinco questões antes de ler o comentário.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Trilha de domínio: pratique aquisição em pacientes reais sob supervisão e arquive imagens dos dois planos.</w:t>
      </w:r>
    </w:p>
    <w:p>
      <w:pPr>
        <w:pStyle w:val="Heading2"/>
        <w:keepNext/>
        <w:pageBreakBefore w:val="0"/>
      </w:pPr>
      <w:r>
        <w:t>Objetivos de aprendizagem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Adquirir cortes transversal e longitudinal completos em até 60 segundos.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Diferenciar bexiga cheia, bexiga vazia, ascite e alça intestinal.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Calcular volume vesical com três eixos e reconhecer quando o número é pouco confiável.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Distinguir urina simples, debris, coágulo, cálculo, massa vascularizada, gás e balão de Foley.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Registrar achados, limitações, conclusão focada e conduta decorrente.</w:t>
      </w:r>
    </w:p>
    <w:p>
      <w:r>
        <w:br w:type="page"/>
      </w:r>
    </w:p>
    <w:p>
      <w:pPr>
        <w:pStyle w:val="Heading1"/>
        <w:keepNext/>
        <w:pageBreakBefore w:val="0"/>
      </w:pPr>
      <w:r>
        <w:t>1 Pergunta clínica e limites do POCUS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POCUS é um exame focado para responder uma pergunta clínica imediata. Ele pode demonstrar distensão vesical, estimar volume, apoiar a avaliação de oligúria, verificar a posição funcional da sonda e identificar alterações que exigem investigação formal. Um exame limitado ou inconclusivo não exclui doença vesical.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Pergunta à beira-leito</w:t>
            </w:r>
          </w:p>
        </w:tc>
        <w:tc>
          <w:tcPr>
            <w:tcW w:type="dxa" w:w="3240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Achado-chave</w:t>
            </w:r>
          </w:p>
        </w:tc>
        <w:tc>
          <w:tcPr>
            <w:tcW w:type="dxa" w:w="3960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Próxima decisão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Há retenção?</w:t>
            </w:r>
          </w:p>
        </w:tc>
        <w:tc>
          <w:tcPr>
            <w:tcW w:type="dxa" w:w="324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Bexiga distendida e grande volume pós-miccional</w:t>
            </w:r>
          </w:p>
        </w:tc>
        <w:tc>
          <w:tcPr>
            <w:tcW w:type="dxa" w:w="396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Correlacionar com sintomas, débito, função renal e necessidade de drenagem.</w:t>
            </w:r>
          </w:p>
        </w:tc>
      </w:tr>
      <w:tr>
        <w:tc>
          <w:tcPr>
            <w:tcW w:type="dxa" w:w="288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oligúria é pós-renal baixa?</w:t>
            </w:r>
          </w:p>
        </w:tc>
        <w:tc>
          <w:tcPr>
            <w:tcW w:type="dxa" w:w="324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Bexiga cheia ou distendida</w:t>
            </w:r>
          </w:p>
        </w:tc>
        <w:tc>
          <w:tcPr>
            <w:tcW w:type="dxa" w:w="396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Procurar obstrução de saída; se pequena, ampliar avaliação renal e hemodinâmica.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Foley funciona?</w:t>
            </w:r>
          </w:p>
        </w:tc>
        <w:tc>
          <w:tcPr>
            <w:tcW w:type="dxa" w:w="324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Balão intravesical e bexiga colabada ou pouco repleta</w:t>
            </w:r>
          </w:p>
        </w:tc>
        <w:tc>
          <w:tcPr>
            <w:tcW w:type="dxa" w:w="396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 bexiga persistir cheia, revisar todo o sistema e obstrução.</w:t>
            </w:r>
          </w:p>
        </w:tc>
      </w:tr>
      <w:tr>
        <w:tc>
          <w:tcPr>
            <w:tcW w:type="dxa" w:w="288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 conteúdo é simples?</w:t>
            </w:r>
          </w:p>
        </w:tc>
        <w:tc>
          <w:tcPr>
            <w:tcW w:type="dxa" w:w="324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Lúmen anecoico e homogêneo</w:t>
            </w:r>
          </w:p>
        </w:tc>
        <w:tc>
          <w:tcPr>
            <w:tcW w:type="dxa" w:w="396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 ecos, massa, sombra ou gás, caracterizar em dois planos e com Doppler.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 exame respondeu?</w:t>
            </w:r>
          </w:p>
        </w:tc>
        <w:tc>
          <w:tcPr>
            <w:tcW w:type="dxa" w:w="324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Dois planos completos e correlação clínica coerente</w:t>
            </w:r>
          </w:p>
        </w:tc>
        <w:tc>
          <w:tcPr>
            <w:tcW w:type="dxa" w:w="396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 não, repetir técnica ou solicitar ultrassonografia formal.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Mapa de decisão em 20 segundos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1. Bexiga grande: pensar em retenção ou falha da drenagem.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2. Bexiga pequena com oligúria: buscar causa renal, perfusional ou obstrução alta.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3. Conteúdo anormal: definir mobilidade, sombra acústica e vascularidade.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4. Incerteza, hematuria macroscópica ou massa: complementar com imagem formal e urologia.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3628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b0f5ec5f-00f3-4978-a60f-7d13a058e6b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center"/>
      </w:pPr>
      <w:r>
        <w:rPr>
          <w:rFonts w:ascii="Arial" w:hAnsi="Arial"/>
          <w:b/>
          <w:i w:val="0"/>
          <w:color w:val="000000"/>
          <w:sz w:val="18"/>
        </w:rPr>
        <w:t>Figura 01 — Ponto de partida suprapúbico</w:t>
      </w:r>
    </w:p>
    <w:p>
      <w:pPr>
        <w:spacing w:after="140"/>
        <w:jc w:val="center"/>
      </w:pPr>
      <w:r>
        <w:rPr>
          <w:rFonts w:ascii="Arial" w:hAnsi="Arial"/>
          <w:b w:val="0"/>
          <w:i/>
          <w:color w:val="44546A"/>
          <w:sz w:val="17"/>
        </w:rPr>
        <w:t>Use esta imagem para lembrar: linha média logo acima do púbis, feixe dirigido para dentro da pelve e bexiga como janela preta.</w:t>
      </w:r>
    </w:p>
    <w:p>
      <w:r>
        <w:br w:type="page"/>
      </w:r>
    </w:p>
    <w:p>
      <w:pPr>
        <w:pStyle w:val="Heading1"/>
        <w:keepNext/>
        <w:pageBreakBefore w:val="0"/>
      </w:pPr>
      <w:r>
        <w:t>2 Preparação do aparelho e do paciente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Configuração prática</w:t>
            </w:r>
          </w:p>
        </w:tc>
        <w:tc>
          <w:tcPr>
            <w:tcW w:type="dxa" w:w="3960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Ajuste se a imagem falhar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Transdutor</w:t>
            </w:r>
          </w:p>
        </w:tc>
        <w:tc>
          <w:tcPr>
            <w:tcW w:type="dxa" w:w="432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Convexo 2 a 5 MHz; phased array é alternativa em janela difícil.</w:t>
            </w:r>
          </w:p>
        </w:tc>
        <w:tc>
          <w:tcPr>
            <w:tcW w:type="dxa" w:w="396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Linear apenas para parede anterior muito superficial.</w:t>
            </w:r>
          </w:p>
        </w:tc>
      </w:tr>
      <w:tr>
        <w:tc>
          <w:tcPr>
            <w:tcW w:type="dxa" w:w="180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Preset</w:t>
            </w:r>
          </w:p>
        </w:tc>
        <w:tc>
          <w:tcPr>
            <w:tcW w:type="dxa" w:w="432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Abdome ou renal.</w:t>
            </w:r>
          </w:p>
        </w:tc>
        <w:tc>
          <w:tcPr>
            <w:tcW w:type="dxa" w:w="396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Evite preset pulmonar e filtros que prejudiquem contraste de líquido.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Profundidade</w:t>
            </w:r>
          </w:p>
        </w:tc>
        <w:tc>
          <w:tcPr>
            <w:tcW w:type="dxa" w:w="432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Comece em 12 a 16 cm no adulto.</w:t>
            </w:r>
          </w:p>
        </w:tc>
        <w:tc>
          <w:tcPr>
            <w:tcW w:type="dxa" w:w="396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Ajuste para incluir parede posterior e tecidos profundos.</w:t>
            </w:r>
          </w:p>
        </w:tc>
      </w:tr>
      <w:tr>
        <w:tc>
          <w:tcPr>
            <w:tcW w:type="dxa" w:w="180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Ganho</w:t>
            </w:r>
          </w:p>
        </w:tc>
        <w:tc>
          <w:tcPr>
            <w:tcW w:type="dxa" w:w="432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Urina deve ficar preta, sem apagar paredes.</w:t>
            </w:r>
          </w:p>
        </w:tc>
        <w:tc>
          <w:tcPr>
            <w:tcW w:type="dxa" w:w="396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Reduza ganho se houver falsa pseudodebris; aumente se paredes desaparecerem.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Foco</w:t>
            </w:r>
          </w:p>
        </w:tc>
        <w:tc>
          <w:tcPr>
            <w:tcW w:type="dxa" w:w="432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Na parede posterior ou logo abaixo.</w:t>
            </w:r>
          </w:p>
        </w:tc>
        <w:tc>
          <w:tcPr>
            <w:tcW w:type="dxa" w:w="396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Reposicione o foco após mudar profundidade.</w:t>
            </w:r>
          </w:p>
        </w:tc>
      </w:tr>
      <w:tr>
        <w:tc>
          <w:tcPr>
            <w:tcW w:type="dxa" w:w="180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Paciente</w:t>
            </w:r>
          </w:p>
        </w:tc>
        <w:tc>
          <w:tcPr>
            <w:tcW w:type="dxa" w:w="432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Decúbito dorsal, relaxado, com região suprapúbica acessível.</w:t>
            </w:r>
          </w:p>
        </w:tc>
        <w:tc>
          <w:tcPr>
            <w:tcW w:type="dxa" w:w="396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Pequena mudança lateral pode ajudar diante de gás ou cicatriz.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Checklist antes de encostar o probe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☐ Confirme a pergunta clínica e se a medida será pré ou pós-miccional.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☐ Identifique o marcador do transdutor e o lado correspondente na tela.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☐ Selecione probe convexo e preset abdominal.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☐ Coloque gel suficiente para evitar ar entre pele e transdutor.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☐ Ajuste profundidade para ver a bexiga inteira e o plano posterior.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2304A"/>
          <w:sz w:val="22"/>
        </w:rPr>
        <w:t>Regra operacional:</w:t>
      </w:r>
      <w:r>
        <w:rPr>
          <w:rFonts w:ascii="Arial" w:hAnsi="Arial"/>
          <w:b w:val="0"/>
          <w:i w:val="0"/>
          <w:color w:val="12304A"/>
          <w:sz w:val="22"/>
        </w:rPr>
        <w:t xml:space="preserve"> o marcador pode variar conforme a convenção do equipamento, mas a orientação deve ser conferida e mantida de forma consistente antes da interpretação.</w:t>
      </w:r>
    </w:p>
    <w:p>
      <w:r>
        <w:br w:type="page"/>
      </w:r>
    </w:p>
    <w:p>
      <w:pPr>
        <w:pStyle w:val="Heading1"/>
        <w:keepNext/>
        <w:pageBreakBefore w:val="0"/>
      </w:pPr>
      <w:r>
        <w:t>3 Aquisição em dois planos</w:t>
      </w:r>
    </w:p>
    <w:p>
      <w:pPr>
        <w:pStyle w:val="Heading2"/>
        <w:keepNext/>
        <w:pageBreakBefore w:val="0"/>
      </w:pPr>
      <w:r>
        <w:t>3 1 Corte transversal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1. Coloque o probe horizontalmente na linha média, imediatamente acima da sínfise púbica.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2. Direcione o marcador para a direita do paciente.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3. Incline o feixe caudalmente, atrás do púbis, até surgir a estrutura anecoica.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4. Deslize e faça fan para mostrar a maior largura e toda a parede lateral.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5. Centralize a bexiga e salve uma imagem representativa.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3628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af41e09b-e97d-4499-84ac-060a2914c9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center"/>
      </w:pPr>
      <w:r>
        <w:rPr>
          <w:rFonts w:ascii="Arial" w:hAnsi="Arial"/>
          <w:b/>
          <w:i w:val="0"/>
          <w:color w:val="000000"/>
          <w:sz w:val="18"/>
        </w:rPr>
        <w:t>Figura 02 — Corte transversal</w:t>
      </w:r>
    </w:p>
    <w:p>
      <w:pPr>
        <w:spacing w:after="140"/>
        <w:jc w:val="center"/>
      </w:pPr>
      <w:r>
        <w:rPr>
          <w:rFonts w:ascii="Arial" w:hAnsi="Arial"/>
          <w:b w:val="0"/>
          <w:i/>
          <w:color w:val="44546A"/>
          <w:sz w:val="17"/>
        </w:rPr>
        <w:t>Use esta imagem para lembrar: marcador à direita do paciente, feixe caudal e bexiga central, preta e simétrica.</w:t>
      </w:r>
    </w:p>
    <w:p>
      <w:r>
        <w:br w:type="page"/>
      </w:r>
    </w:p>
    <w:p>
      <w:pPr>
        <w:pStyle w:val="Heading2"/>
        <w:keepNext/>
        <w:pageBreakBefore w:val="0"/>
      </w:pPr>
      <w:r>
        <w:t>3 2 Corte longitudinal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1. Mantendo a bexiga no centro, rode o probe 90 graus.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2. Direcione o marcador para a cabeça do paciente.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3. Faça fan lateral para garantir que o corte não é oblíquo.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4. Procure o maior comprimento craniocaudal e salve a imagem.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3628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4886b3e7-6e35-481c-aac9-d41c14790ba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center"/>
      </w:pPr>
      <w:r>
        <w:rPr>
          <w:rFonts w:ascii="Arial" w:hAnsi="Arial"/>
          <w:b/>
          <w:i w:val="0"/>
          <w:color w:val="000000"/>
          <w:sz w:val="18"/>
        </w:rPr>
        <w:t>Figura 03 — Corte longitudinal</w:t>
      </w:r>
    </w:p>
    <w:p>
      <w:pPr>
        <w:spacing w:after="140"/>
        <w:jc w:val="center"/>
      </w:pPr>
      <w:r>
        <w:rPr>
          <w:rFonts w:ascii="Arial" w:hAnsi="Arial"/>
          <w:b w:val="0"/>
          <w:i/>
          <w:color w:val="44546A"/>
          <w:sz w:val="17"/>
        </w:rPr>
        <w:t>Use esta imagem para lembrar: marcador cranial, bexiga alongada e parede posterior no campo profundo.</w:t>
      </w:r>
    </w:p>
    <w:p>
      <w:r>
        <w:br w:type="page"/>
      </w:r>
    </w:p>
    <w:p>
      <w:pPr>
        <w:pStyle w:val="Heading2"/>
        <w:keepNext/>
        <w:pageBreakBefore w:val="0"/>
      </w:pPr>
      <w:r>
        <w:t>3 3 Movimentos que corrigem a janela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Movimento</w:t>
            </w:r>
          </w:p>
        </w:tc>
        <w:tc>
          <w:tcPr>
            <w:tcW w:type="dxa" w:w="3960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Quando usar</w:t>
            </w:r>
          </w:p>
        </w:tc>
        <w:tc>
          <w:tcPr>
            <w:tcW w:type="dxa" w:w="4176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Efeito esperado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Deslizar</w:t>
            </w:r>
          </w:p>
        </w:tc>
        <w:tc>
          <w:tcPr>
            <w:tcW w:type="dxa" w:w="396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Bexiga não aparece ou está lateralizada.</w:t>
            </w:r>
          </w:p>
        </w:tc>
        <w:tc>
          <w:tcPr>
            <w:tcW w:type="dxa" w:w="4176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Move a janela pela pele sem mudar o ângulo principal.</w:t>
            </w:r>
          </w:p>
        </w:tc>
      </w:tr>
      <w:tr>
        <w:tc>
          <w:tcPr>
            <w:tcW w:type="dxa" w:w="1944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Inclinar</w:t>
            </w:r>
          </w:p>
        </w:tc>
        <w:tc>
          <w:tcPr>
            <w:tcW w:type="dxa" w:w="396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Feixe passa acima da pelve.</w:t>
            </w:r>
          </w:p>
        </w:tc>
        <w:tc>
          <w:tcPr>
            <w:tcW w:type="dxa" w:w="4176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Direciona o feixe caudalmente atrás do púbis.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Balançar ou fan</w:t>
            </w:r>
          </w:p>
        </w:tc>
        <w:tc>
          <w:tcPr>
            <w:tcW w:type="dxa" w:w="396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Bexiga parcial ou parede perdida.</w:t>
            </w:r>
          </w:p>
        </w:tc>
        <w:tc>
          <w:tcPr>
            <w:tcW w:type="dxa" w:w="4176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Varre o órgão sem deslocar a base do probe.</w:t>
            </w:r>
          </w:p>
        </w:tc>
      </w:tr>
      <w:tr>
        <w:tc>
          <w:tcPr>
            <w:tcW w:type="dxa" w:w="1944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Rodar 90 graus</w:t>
            </w:r>
          </w:p>
        </w:tc>
        <w:tc>
          <w:tcPr>
            <w:tcW w:type="dxa" w:w="396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Após concluir o primeiro plano.</w:t>
            </w:r>
          </w:p>
        </w:tc>
        <w:tc>
          <w:tcPr>
            <w:tcW w:type="dxa" w:w="4176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Obtém plano ortogonal e reduz erro de identificação.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Pressão leve</w:t>
            </w:r>
          </w:p>
        </w:tc>
        <w:tc>
          <w:tcPr>
            <w:tcW w:type="dxa" w:w="396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Contato ruim ou gás superficial.</w:t>
            </w:r>
          </w:p>
        </w:tc>
        <w:tc>
          <w:tcPr>
            <w:tcW w:type="dxa" w:w="4176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Melhora acoplamento; pressão excessiva deforma a bexiga.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36280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c62e5eb4-9afa-4068-a46a-5a9d2dfda19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center"/>
      </w:pPr>
      <w:r>
        <w:rPr>
          <w:rFonts w:ascii="Arial" w:hAnsi="Arial"/>
          <w:b/>
          <w:i w:val="0"/>
          <w:color w:val="000000"/>
          <w:sz w:val="18"/>
        </w:rPr>
        <w:t>Figura 04 — Encontre e centralize</w:t>
      </w:r>
    </w:p>
    <w:p>
      <w:pPr>
        <w:spacing w:after="140"/>
        <w:jc w:val="center"/>
      </w:pPr>
      <w:r>
        <w:rPr>
          <w:rFonts w:ascii="Arial" w:hAnsi="Arial"/>
          <w:b w:val="0"/>
          <w:i/>
          <w:color w:val="44546A"/>
          <w:sz w:val="17"/>
        </w:rPr>
        <w:t>Use esta imagem para lembrar: deslizar, inclinar, balançar e rodar até ver todo o órgão nos dois planos.</w:t>
      </w:r>
    </w:p>
    <w:p>
      <w:r>
        <w:br w:type="page"/>
      </w:r>
    </w:p>
    <w:p>
      <w:pPr>
        <w:pStyle w:val="Heading1"/>
        <w:keepNext/>
        <w:pageBreakBefore w:val="0"/>
      </w:pPr>
      <w:r>
        <w:t>4 Aparência normal da bexiga cheia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Lúmen predominantemente anecoico, homogêneo e preto.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Parede fina, lisa e regular quando adequadamente distendida.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Realce acústico posterior, porque o líquido atenua pouco o feixe.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Sombras de borda discretas podem ocorrer por refração.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Forma muda com enchimento, órgãos pélvicos adjacentes e pressão do probe.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B36B00"/>
          <w:sz w:val="22"/>
        </w:rPr>
        <w:t>A espessura da parede depende fortemente do enchimento.</w:t>
      </w:r>
      <w:r>
        <w:rPr>
          <w:rFonts w:ascii="Arial" w:hAnsi="Arial"/>
          <w:b w:val="0"/>
          <w:i w:val="0"/>
          <w:color w:val="B36B00"/>
          <w:sz w:val="22"/>
        </w:rPr>
        <w:t xml:space="preserve"> Uma bexiga subdistendida pode parecer falsamente espessada; não diagnostique cistite apenas pela espessura no POCUS.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36280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fee97fc7-6a32-4d99-8c68-50134a4a5b3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center"/>
      </w:pPr>
      <w:r>
        <w:rPr>
          <w:rFonts w:ascii="Arial" w:hAnsi="Arial"/>
          <w:b/>
          <w:i w:val="0"/>
          <w:color w:val="000000"/>
          <w:sz w:val="18"/>
        </w:rPr>
        <w:t>Figura 05 — Imagem esperada no corte transversal</w:t>
      </w:r>
    </w:p>
    <w:p>
      <w:pPr>
        <w:spacing w:after="140"/>
        <w:jc w:val="center"/>
      </w:pPr>
      <w:r>
        <w:rPr>
          <w:rFonts w:ascii="Arial" w:hAnsi="Arial"/>
          <w:b w:val="0"/>
          <w:i/>
          <w:color w:val="44546A"/>
          <w:sz w:val="17"/>
        </w:rPr>
        <w:t>Use esta imagem para lembrar: parede regular, conteúdo anecoico, lúmen homogêneo e realce posterior.</w:t>
      </w:r>
    </w:p>
    <w:p>
      <w:r>
        <w:br w:type="page"/>
      </w:r>
    </w:p>
    <w:p>
      <w:pPr>
        <w:pStyle w:val="Heading2"/>
        <w:keepNext/>
        <w:pageBreakBefore w:val="0"/>
      </w:pPr>
      <w:r>
        <w:t>4 1 Confirmação no eixo longitudinal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O maior eixo longitudinal reduz o risco de medir um corte truncado. A parede anterior fica próxima ao transdutor; a posterior, profunda. Sempre faça varredura lateral para provar que observou o centro real da bexiga.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36280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eb005edc-bdfa-4f01-857e-df24efde095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center"/>
      </w:pPr>
      <w:r>
        <w:rPr>
          <w:rFonts w:ascii="Arial" w:hAnsi="Arial"/>
          <w:b/>
          <w:i w:val="0"/>
          <w:color w:val="000000"/>
          <w:sz w:val="18"/>
        </w:rPr>
        <w:t>Figura 06 — Imagem esperada no corte longitudinal</w:t>
      </w:r>
    </w:p>
    <w:p>
      <w:pPr>
        <w:spacing w:after="140"/>
        <w:jc w:val="center"/>
      </w:pPr>
      <w:r>
        <w:rPr>
          <w:rFonts w:ascii="Arial" w:hAnsi="Arial"/>
          <w:b w:val="0"/>
          <w:i/>
          <w:color w:val="44546A"/>
          <w:sz w:val="17"/>
        </w:rPr>
        <w:t>Use esta imagem para lembrar: a maior extensão craniocaudal deve estar visível antes de medir o comprimento.</w:t>
      </w:r>
    </w:p>
    <w:p>
      <w:r>
        <w:br w:type="page"/>
      </w:r>
    </w:p>
    <w:p>
      <w:pPr>
        <w:pStyle w:val="Heading2"/>
        <w:keepNext/>
        <w:pageBreakBefore w:val="0"/>
      </w:pPr>
      <w:r>
        <w:t>4 2 Artefatos úteis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O realce acústico posterior favorece a presença de líquido. Sombras laterais estreitas podem surgir nas bordas curvas. Esses artefatos ajudam a reconhecer a bexiga, mas não substituem a confirmação anatômica em dois planos.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36280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ca8a0b2c-4439-4b14-8be1-412d9d5aae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center"/>
      </w:pPr>
      <w:r>
        <w:rPr>
          <w:rFonts w:ascii="Arial" w:hAnsi="Arial"/>
          <w:b/>
          <w:i w:val="0"/>
          <w:color w:val="000000"/>
          <w:sz w:val="18"/>
        </w:rPr>
        <w:t>Figura 07 — Realce posterior e sombra de borda</w:t>
      </w:r>
    </w:p>
    <w:p>
      <w:pPr>
        <w:spacing w:after="140"/>
        <w:jc w:val="center"/>
      </w:pPr>
      <w:r>
        <w:rPr>
          <w:rFonts w:ascii="Arial" w:hAnsi="Arial"/>
          <w:b w:val="0"/>
          <w:i/>
          <w:color w:val="44546A"/>
          <w:sz w:val="17"/>
        </w:rPr>
        <w:t>Use esta imagem para lembrar: líquido deixa mais brilho atrás da bexiga; sombra fina lateral é artefato, não necessariamente lesão.</w:t>
      </w:r>
    </w:p>
    <w:p>
      <w:r>
        <w:br w:type="page"/>
      </w:r>
    </w:p>
    <w:p>
      <w:pPr>
        <w:pStyle w:val="Heading1"/>
        <w:keepNext/>
        <w:pageBreakBefore w:val="0"/>
      </w:pPr>
      <w:r>
        <w:t>5 Estimativa do volume e resíduo pós miccional</w:t>
      </w:r>
    </w:p>
    <w:p>
      <w:pPr>
        <w:spacing w:before="80" w:after="200" w:line="276" w:lineRule="auto"/>
        <w:jc w:val="center"/>
      </w:pPr>
      <w:r>
        <w:rPr>
          <w:rFonts w:ascii="Arial" w:hAnsi="Arial"/>
          <w:b w:val="0"/>
          <w:i w:val="0"/>
          <w:color w:val="12304A"/>
          <w:sz w:val="28"/>
        </w:rPr>
        <w:t>Volume em mililitros aproximadamente igual a largura vezes diâmetro anteroposterior vezes comprimento vezes 0,52.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Meça de borda interna a borda interna.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Use a maior largura e o maior diâmetro anteroposterior no transversal.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Use o maior comprimento no longitudinal.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Garanta que os planos sejam ortogonais e não oblíquos.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Para resíduo pós-miccional, faça a medida logo após a micção; atrasos aumentam o volume por nova produção urinária.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36280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4acf1de5-4b6b-4a22-9ee5-31d1da6c265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center"/>
      </w:pPr>
      <w:r>
        <w:rPr>
          <w:rFonts w:ascii="Arial" w:hAnsi="Arial"/>
          <w:b/>
          <w:i w:val="0"/>
          <w:color w:val="000000"/>
          <w:sz w:val="18"/>
        </w:rPr>
        <w:t>Figura 08 — Volume vesical em três eixos</w:t>
      </w:r>
    </w:p>
    <w:p>
      <w:pPr>
        <w:spacing w:after="140"/>
        <w:jc w:val="center"/>
      </w:pPr>
      <w:r>
        <w:rPr>
          <w:rFonts w:ascii="Arial" w:hAnsi="Arial"/>
          <w:b w:val="0"/>
          <w:i/>
          <w:color w:val="44546A"/>
          <w:sz w:val="17"/>
        </w:rPr>
        <w:t>Use esta imagem para lembrar: três medidas internas ortogonais e fator elipsoide de 0,52.</w:t>
      </w:r>
    </w:p>
    <w:p>
      <w:pPr>
        <w:pStyle w:val="Heading2"/>
        <w:keepNext/>
        <w:pageBreakBefore w:val="0"/>
      </w:pPr>
      <w:r>
        <w:t>Exemplo resolvido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Largura 10 cm × anteroposterior 6 cm × comprimento 8 cm × 0,52 = aproximadamente 250 mL. Como 1 cm cúbico corresponde aproximadamente a 1 mL, o resultado sai diretamente em mililitros.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Resíduo pós-miccional</w:t>
            </w:r>
          </w:p>
        </w:tc>
        <w:tc>
          <w:tcPr>
            <w:tcW w:type="dxa" w:w="5112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Leitura prática no adulto</w:t>
            </w:r>
          </w:p>
        </w:tc>
        <w:tc>
          <w:tcPr>
            <w:tcW w:type="dxa" w:w="3024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Conduta inicial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Menor que 50 mL</w:t>
            </w:r>
          </w:p>
        </w:tc>
        <w:tc>
          <w:tcPr>
            <w:tcW w:type="dxa" w:w="511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Geralmente pequeno; costuma indicar esvaziamento adequado.</w:t>
            </w:r>
          </w:p>
        </w:tc>
        <w:tc>
          <w:tcPr>
            <w:tcW w:type="dxa" w:w="302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Correlacionar com sintomas e contexto.</w:t>
            </w:r>
          </w:p>
        </w:tc>
      </w:tr>
      <w:tr>
        <w:tc>
          <w:tcPr>
            <w:tcW w:type="dxa" w:w="1944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50 a 100 mL</w:t>
            </w:r>
          </w:p>
        </w:tc>
        <w:tc>
          <w:tcPr>
            <w:tcW w:type="dxa" w:w="511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Pode ser aceitável, sobretudo em pessoas idosas; não é diagnóstico isolado.</w:t>
            </w:r>
          </w:p>
        </w:tc>
        <w:tc>
          <w:tcPr>
            <w:tcW w:type="dxa" w:w="3024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Repetir se sintomas ou medida tecnicamente duvidosa.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100 a 200 mL</w:t>
            </w:r>
          </w:p>
        </w:tc>
        <w:tc>
          <w:tcPr>
            <w:tcW w:type="dxa" w:w="511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Elevado ou limítrofe conforme contexto.</w:t>
            </w:r>
          </w:p>
        </w:tc>
        <w:tc>
          <w:tcPr>
            <w:tcW w:type="dxa" w:w="302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Pesquisar drogas, constipação, obstrução e causa neurogênica.</w:t>
            </w:r>
          </w:p>
        </w:tc>
      </w:tr>
      <w:tr>
        <w:tc>
          <w:tcPr>
            <w:tcW w:type="dxa" w:w="1944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Maior que 200 mL</w:t>
            </w:r>
          </w:p>
        </w:tc>
        <w:tc>
          <w:tcPr>
            <w:tcW w:type="dxa" w:w="511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Favorece esvaziamento inadequado.</w:t>
            </w:r>
          </w:p>
        </w:tc>
        <w:tc>
          <w:tcPr>
            <w:tcW w:type="dxa" w:w="3024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Reavaliar, quantificar sintomas e risco de complicação.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300 mL ou mais</w:t>
            </w:r>
          </w:p>
        </w:tc>
        <w:tc>
          <w:tcPr>
            <w:tcW w:type="dxa" w:w="511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Retenção significativa; se persistente por seis meses e em duas medidas, atende à definição AUA de retenção crônica não neurogênica.</w:t>
            </w:r>
          </w:p>
        </w:tc>
        <w:tc>
          <w:tcPr>
            <w:tcW w:type="dxa" w:w="302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Investigar complicações, causa e necessidade de drenagem ou urologia.</w:t>
            </w:r>
          </w:p>
        </w:tc>
      </w:tr>
    </w:tbl>
    <w:p>
      <w:pPr>
        <w:spacing w:after="20"/>
      </w:pP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B3261E"/>
          <w:sz w:val="22"/>
        </w:rPr>
        <w:t>Não existe um único ponto de corte universal para cateterizar todos os pacientes.</w:t>
      </w:r>
      <w:r>
        <w:rPr>
          <w:rFonts w:ascii="Arial" w:hAnsi="Arial"/>
          <w:b w:val="0"/>
          <w:i w:val="0"/>
          <w:color w:val="B3261E"/>
          <w:sz w:val="22"/>
        </w:rPr>
        <w:t xml:space="preserve"> Dor, incapacidade de urinar, insuficiência renal aguda, hidronefrose, infecção, estado neurológico, pós-operatório e protocolo local pesam mais do que um número isolado.</w:t>
      </w:r>
    </w:p>
    <w:p>
      <w:pPr>
        <w:pStyle w:val="Heading1"/>
        <w:keepNext/>
        <w:pageBreakBefore w:val="0"/>
      </w:pPr>
      <w:r>
        <w:t>6 Conteúdo vesical e principais padrões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512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Padrão</w:t>
            </w:r>
          </w:p>
        </w:tc>
        <w:tc>
          <w:tcPr>
            <w:tcW w:type="dxa" w:w="2952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Aspecto no ultrassom</w:t>
            </w:r>
          </w:p>
        </w:tc>
        <w:tc>
          <w:tcPr>
            <w:tcW w:type="dxa" w:w="2952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Como diferenciar</w:t>
            </w:r>
          </w:p>
        </w:tc>
        <w:tc>
          <w:tcPr>
            <w:tcW w:type="dxa" w:w="2664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Ação prática</w:t>
            </w:r>
          </w:p>
        </w:tc>
      </w:tr>
      <w:tr>
        <w:tc>
          <w:tcPr>
            <w:tcW w:type="dxa" w:w="151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Urina simples</w:t>
            </w:r>
          </w:p>
        </w:tc>
        <w:tc>
          <w:tcPr>
            <w:tcW w:type="dxa" w:w="295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Anecoica, homogênea, sem material dependente.</w:t>
            </w:r>
          </w:p>
        </w:tc>
        <w:tc>
          <w:tcPr>
            <w:tcW w:type="dxa" w:w="295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Persiste como líquido em dois planos; realce posterior.</w:t>
            </w:r>
          </w:p>
        </w:tc>
        <w:tc>
          <w:tcPr>
            <w:tcW w:type="dxa" w:w="266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Interpretar volume e contexto clínico.</w:t>
            </w:r>
          </w:p>
        </w:tc>
      </w:tr>
      <w:tr>
        <w:tc>
          <w:tcPr>
            <w:tcW w:type="dxa" w:w="151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Debris</w:t>
            </w:r>
          </w:p>
        </w:tc>
        <w:tc>
          <w:tcPr>
            <w:tcW w:type="dxa" w:w="295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Ecos finos ou partículas móveis em suspensão ou dependentes.</w:t>
            </w:r>
          </w:p>
        </w:tc>
        <w:tc>
          <w:tcPr>
            <w:tcW w:type="dxa" w:w="295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Mude ganho e posição; correlacione com urina, sedimento, infecção ou sangramento.</w:t>
            </w:r>
          </w:p>
        </w:tc>
        <w:tc>
          <w:tcPr>
            <w:tcW w:type="dxa" w:w="2664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Urina tipo 1 e cultura quando indicadas; não diagnosticar infecção só pelo POCUS.</w:t>
            </w:r>
          </w:p>
        </w:tc>
      </w:tr>
      <w:tr>
        <w:tc>
          <w:tcPr>
            <w:tcW w:type="dxa" w:w="151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Coágulo</w:t>
            </w:r>
          </w:p>
        </w:tc>
        <w:tc>
          <w:tcPr>
            <w:tcW w:type="dxa" w:w="295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Massa ecogênica, frequentemente móvel, sem sombra e sem fluxo ao Doppler.</w:t>
            </w:r>
          </w:p>
        </w:tc>
        <w:tc>
          <w:tcPr>
            <w:tcW w:type="dxa" w:w="295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História de hematuria ou procedimento; observar mobilidade e avascularidade.</w:t>
            </w:r>
          </w:p>
        </w:tc>
        <w:tc>
          <w:tcPr>
            <w:tcW w:type="dxa" w:w="266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Avaliar retenção por coágulos; sonda calibrosa e irrigação conforme protocolo; urologia.</w:t>
            </w:r>
          </w:p>
        </w:tc>
      </w:tr>
      <w:tr>
        <w:tc>
          <w:tcPr>
            <w:tcW w:type="dxa" w:w="151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Cálculo</w:t>
            </w:r>
          </w:p>
        </w:tc>
        <w:tc>
          <w:tcPr>
            <w:tcW w:type="dxa" w:w="295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Foco hiperecogênico, móvel ou dependente, com sombra posterior; pode ter twinkle.</w:t>
            </w:r>
          </w:p>
        </w:tc>
        <w:tc>
          <w:tcPr>
            <w:tcW w:type="dxa" w:w="295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Sombra limpa e mobilidade favorecem cálculo.</w:t>
            </w:r>
          </w:p>
        </w:tc>
        <w:tc>
          <w:tcPr>
            <w:tcW w:type="dxa" w:w="2664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Urologia ou imagem formal conforme sintomas, obstrução e tamanho.</w:t>
            </w:r>
          </w:p>
        </w:tc>
      </w:tr>
      <w:tr>
        <w:tc>
          <w:tcPr>
            <w:tcW w:type="dxa" w:w="151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Tumor ou massa</w:t>
            </w:r>
          </w:p>
        </w:tc>
        <w:tc>
          <w:tcPr>
            <w:tcW w:type="dxa" w:w="295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Lesão focal aderida à parede, irregular e geralmente não móvel.</w:t>
            </w:r>
          </w:p>
        </w:tc>
        <w:tc>
          <w:tcPr>
            <w:tcW w:type="dxa" w:w="295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Fluxo interno ao Doppler favorece tecido sólido em relação ao coágulo.</w:t>
            </w:r>
          </w:p>
        </w:tc>
        <w:tc>
          <w:tcPr>
            <w:tcW w:type="dxa" w:w="266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Hematuria ou massa exigem avaliação urológica e investigação formal.</w:t>
            </w:r>
          </w:p>
        </w:tc>
      </w:tr>
      <w:tr>
        <w:tc>
          <w:tcPr>
            <w:tcW w:type="dxa" w:w="151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Fungus ball</w:t>
            </w:r>
          </w:p>
        </w:tc>
        <w:tc>
          <w:tcPr>
            <w:tcW w:type="dxa" w:w="295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Material ecogênico intraluminal, móvel e avascular.</w:t>
            </w:r>
          </w:p>
        </w:tc>
        <w:tc>
          <w:tcPr>
            <w:tcW w:type="dxa" w:w="295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Diabetes, imunossupressão, candidúria ou instrumentação aumentam suspeita.</w:t>
            </w:r>
          </w:p>
        </w:tc>
        <w:tc>
          <w:tcPr>
            <w:tcW w:type="dxa" w:w="2664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Urologia e infectologia conforme gravidade; excluir obstrução.</w:t>
            </w:r>
          </w:p>
        </w:tc>
      </w:tr>
      <w:tr>
        <w:tc>
          <w:tcPr>
            <w:tcW w:type="dxa" w:w="151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Gás</w:t>
            </w:r>
          </w:p>
        </w:tc>
        <w:tc>
          <w:tcPr>
            <w:tcW w:type="dxa" w:w="295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Focos brilhantes com reverberação, comet-tail ou sombra suja.</w:t>
            </w:r>
          </w:p>
        </w:tc>
        <w:tc>
          <w:tcPr>
            <w:tcW w:type="dxa" w:w="295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Perguntar sobre instrumentação recente; gás parietal é especialmente preocupante.</w:t>
            </w:r>
          </w:p>
        </w:tc>
        <w:tc>
          <w:tcPr>
            <w:tcW w:type="dxa" w:w="266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Sem explicação iatrogênica e com sepse ou diabetes, investigar cistite enfisematosa urgentemente.</w:t>
            </w:r>
          </w:p>
        </w:tc>
      </w:tr>
      <w:tr>
        <w:tc>
          <w:tcPr>
            <w:tcW w:type="dxa" w:w="151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Balão de Foley</w:t>
            </w:r>
          </w:p>
        </w:tc>
        <w:tc>
          <w:tcPr>
            <w:tcW w:type="dxa" w:w="295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Estrutura arredondada anecoica, com contorno ecogênico, dentro da bexiga.</w:t>
            </w:r>
          </w:p>
        </w:tc>
        <w:tc>
          <w:tcPr>
            <w:tcW w:type="dxa" w:w="295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Confirmar em dois planos e correlacionar com drenagem.</w:t>
            </w:r>
          </w:p>
        </w:tc>
        <w:tc>
          <w:tcPr>
            <w:tcW w:type="dxa" w:w="2664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Bexiga cheia apesar de Foley indica revisar tubo, bolsa, obstrução e posição.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Parede vesical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Espessamento difuso é inespecífico e pode ocorrer por subdistensão, obstrução crônica, bexiga neurogênica ou inflamação.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Trabeculação e divertículos sugerem aumento crônico da carga ou disfunção vesical.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Espessamento focal ou massa aderida à parede, especialmente com hematuria, merece investigação urológica mesmo sem vascularidade evidente.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POCUS não exclui tumor pequeno, carcinoma in situ ou cistite; o objetivo é triagem e decisão focada.</w:t>
      </w:r>
    </w:p>
    <w:p>
      <w:pPr>
        <w:pStyle w:val="Heading2"/>
        <w:keepNext/>
        <w:pageBreakBefore w:val="0"/>
      </w:pPr>
      <w:r>
        <w:t>Jatos ureterais como avaliação complementar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Use Doppler colorido sobre o trígono com caixa pequena, ganho ajustado e escala baixa.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Observe cada junção ureterovesical por alguns minutos; hidratação, débito urinário e técnica afetam a visualização.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Jato presente confirma fluxo naquele momento, mas não exclui obstrução parcial.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Ausência isolada de jato não confirma obstrução; correlacione com hidronefrose, dor, função renal e imagem formal.</w:t>
      </w:r>
    </w:p>
    <w:p>
      <w:pPr>
        <w:pStyle w:val="Heading2"/>
        <w:keepNext/>
        <w:pageBreakBefore w:val="0"/>
      </w:pPr>
      <w:r>
        <w:t>Sugestões extras de treino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Guardar pares de imagens transversal e longitudinal de dez exames supervisionados.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Comparar a estimativa ultrassonográfica com o volume drenado sem esperar concordância perfeita.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Montar um atlas pessoal de urina simples, debris, coágulo, cálculo, massa e Foley obstruída.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Treinar o protocolo verbal de 60 segundos até executá-lo sem consultar o documento.</w:t>
      </w:r>
    </w:p>
    <w:p>
      <w:r>
        <w:br w:type="page"/>
      </w:r>
    </w:p>
    <w:p>
      <w:pPr>
        <w:pStyle w:val="Heading1"/>
        <w:keepNext/>
        <w:pageBreakBefore w:val="0"/>
      </w:pPr>
      <w:r>
        <w:t>7 Armadilhas e resgate técnico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36280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b3444db7-9c42-4079-a39c-dc68916f939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center"/>
      </w:pPr>
      <w:r>
        <w:rPr>
          <w:rFonts w:ascii="Arial" w:hAnsi="Arial"/>
          <w:b/>
          <w:i w:val="0"/>
          <w:color w:val="000000"/>
          <w:sz w:val="18"/>
        </w:rPr>
        <w:t>Figura 09 — Armadilhas e correções</w:t>
      </w:r>
    </w:p>
    <w:p>
      <w:pPr>
        <w:spacing w:after="140"/>
        <w:jc w:val="center"/>
      </w:pPr>
      <w:r>
        <w:rPr>
          <w:rFonts w:ascii="Arial" w:hAnsi="Arial"/>
          <w:b w:val="0"/>
          <w:i/>
          <w:color w:val="44546A"/>
          <w:sz w:val="17"/>
        </w:rPr>
        <w:t>Use esta imagem para lembrar: probe baixo no púbis, feixe caudal, dois planos ortogonais e pressão leve.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6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Armadilha</w:t>
            </w:r>
          </w:p>
        </w:tc>
        <w:tc>
          <w:tcPr>
            <w:tcW w:type="dxa" w:w="3888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Por que engana</w:t>
            </w:r>
          </w:p>
        </w:tc>
        <w:tc>
          <w:tcPr>
            <w:tcW w:type="dxa" w:w="4176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Resgate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Ascite</w:t>
            </w:r>
          </w:p>
        </w:tc>
        <w:tc>
          <w:tcPr>
            <w:tcW w:type="dxa" w:w="388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Bladder scanner automático pode interpretar líquido livre como urina.</w:t>
            </w:r>
          </w:p>
        </w:tc>
        <w:tc>
          <w:tcPr>
            <w:tcW w:type="dxa" w:w="4176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Use B-mode em dois planos, identifique paredes vesicais e relação com órgãos pélvicos.</w:t>
            </w:r>
          </w:p>
        </w:tc>
      </w:tr>
      <w:tr>
        <w:tc>
          <w:tcPr>
            <w:tcW w:type="dxa" w:w="2016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Alça intestinal</w:t>
            </w:r>
          </w:p>
        </w:tc>
        <w:tc>
          <w:tcPr>
            <w:tcW w:type="dxa" w:w="3888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Líquido intraluminal pode parecer bexiga; gás cria sombra suja.</w:t>
            </w:r>
          </w:p>
        </w:tc>
        <w:tc>
          <w:tcPr>
            <w:tcW w:type="dxa" w:w="4176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Procure peristalse, camadas da parede, gás e continuidade com alça.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Cisto ou massa pélvica</w:t>
            </w:r>
          </w:p>
        </w:tc>
        <w:tc>
          <w:tcPr>
            <w:tcW w:type="dxa" w:w="388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Estrutura líquida pode ocupar a pelve.</w:t>
            </w:r>
          </w:p>
        </w:tc>
        <w:tc>
          <w:tcPr>
            <w:tcW w:type="dxa" w:w="4176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Confirme localização, continuidade uretral, forma e anatomia adjacente; solicite exame formal.</w:t>
            </w:r>
          </w:p>
        </w:tc>
      </w:tr>
      <w:tr>
        <w:tc>
          <w:tcPr>
            <w:tcW w:type="dxa" w:w="2016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Corte oblíquo</w:t>
            </w:r>
          </w:p>
        </w:tc>
        <w:tc>
          <w:tcPr>
            <w:tcW w:type="dxa" w:w="3888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Gera medidas que não representam os maiores eixos reais.</w:t>
            </w:r>
          </w:p>
        </w:tc>
        <w:tc>
          <w:tcPr>
            <w:tcW w:type="dxa" w:w="4176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Faça fan, encontre o centro e confirme plano ortogonal.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Ganho excessivo</w:t>
            </w:r>
          </w:p>
        </w:tc>
        <w:tc>
          <w:tcPr>
            <w:tcW w:type="dxa" w:w="388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Cria pseudodebris na urina.</w:t>
            </w:r>
          </w:p>
        </w:tc>
        <w:tc>
          <w:tcPr>
            <w:tcW w:type="dxa" w:w="4176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Reduza o ganho até o líquido ficar preto sem apagar paredes.</w:t>
            </w:r>
          </w:p>
        </w:tc>
      </w:tr>
      <w:tr>
        <w:tc>
          <w:tcPr>
            <w:tcW w:type="dxa" w:w="2016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Pressão excessiva</w:t>
            </w:r>
          </w:p>
        </w:tc>
        <w:tc>
          <w:tcPr>
            <w:tcW w:type="dxa" w:w="3888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Deforma a bexiga e altera medidas.</w:t>
            </w:r>
          </w:p>
        </w:tc>
        <w:tc>
          <w:tcPr>
            <w:tcW w:type="dxa" w:w="4176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Use pressão mínima necessária ao acoplamento.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Obesidade ou cicatriz</w:t>
            </w:r>
          </w:p>
        </w:tc>
        <w:tc>
          <w:tcPr>
            <w:tcW w:type="dxa" w:w="388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Atenuação e janela limitada.</w:t>
            </w:r>
          </w:p>
        </w:tc>
        <w:tc>
          <w:tcPr>
            <w:tcW w:type="dxa" w:w="4176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Reduza frequência, aumente profundidade, reposicione e use phased array se necessário.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Armadilha especial na UTI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Em pacientes com ascite, anasarca ou baixo débito urinário, a estimativa automática do bladder scanner pode ser falsamente alta. A ultrassonografia bidimensional permite confirmar diretamente as paredes vesicais e é especialmente útil antes de uma nova sondagem desnecessária.</w:t>
      </w:r>
    </w:p>
    <w:p>
      <w:pPr>
        <w:pStyle w:val="Heading2"/>
        <w:keepNext/>
        <w:pageBreakBefore w:val="0"/>
      </w:pPr>
      <w:r>
        <w:t>Simplificação do complexo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Em uma frase: encontre o tanque preto atrás do púbis e prove sua identidade em dois planos.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Para o plantão: diga se está grande ou pequena, se o conteúdo é simples ou anormal e se a drenagem funciona.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Para aprofundar: quantifique com três eixos, use mobilidade, sombra e Doppler e reconheça as limitações do método.</w:t>
      </w:r>
    </w:p>
    <w:p>
      <w:pPr>
        <w:pStyle w:val="Heading2"/>
        <w:keepNext/>
        <w:pageBreakBefore w:val="0"/>
      </w:pPr>
      <w:r>
        <w:t>Mapa mental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POCUS vesical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Aquisição → púbis → transversal → longitudinal → varredura completa.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Quantidade → largura → AP → comprimento → fator 0,52.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Qualidade → paredes → conteúdo → artefatos → limitações.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Drenagem → balão de Foley → patência do sistema → resposta após intervenção.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Decisão → retenção → oligúria → hematuria → massa ou gás → escalonamento.</w:t>
      </w:r>
    </w:p>
    <w:p>
      <w:pPr>
        <w:pStyle w:val="Heading2"/>
        <w:keepNext/>
        <w:pageBreakBefore w:val="0"/>
      </w:pPr>
      <w:r>
        <w:t>Aprofundamento e limites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A bexiga não é um elipsoide perfeito; deformidade, cirurgia pélvica, massa, pressão do probe e baixo volume reduzem a exatidão da fórmula.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A tendência seriada pode ser mais útil do que falsa precisão de uma única medida.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O Doppler ajuda a demonstrar vascularidade, mas ganho baixo, escala inadequada e fluxo lento podem produzir falso negativo.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Tumores pequenos e carcinoma in situ podem não ser vistos; hematuria persistente exige investigação urológica apropriada.</w:t>
      </w:r>
    </w:p>
    <w:p>
      <w:pPr>
        <w:pStyle w:val="Heading2"/>
        <w:keepNext/>
        <w:pageBreakBefore w:val="0"/>
      </w:pPr>
      <w:r>
        <w:t>Curiosidades nerd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O fator 0,52 não é arbitrário: ele aproxima π dividido por 6, ou 0,5236, que surge ao escrever o volume de um elipsoide usando os três diâmetros completos. A matemática funciona bem quando a forma vesical se aproxima de um elipsoide e perde precisão quando a anatomia está muito deformada.</w:t>
      </w:r>
    </w:p>
    <w:p>
      <w:pPr>
        <w:pStyle w:val="Heading2"/>
        <w:keepNext/>
        <w:pageBreakBefore w:val="0"/>
      </w:pPr>
      <w:r>
        <w:t>Mnemônicos e metáfora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PÚBIS → PRETO → 2 PLANOS → 3 EIXOS → DECISÃO. A bexiga é o tanque preto atrás do púbis; dois planos provam que é o tanque e três eixos estimam quanto há dentro.</w:t>
      </w:r>
    </w:p>
    <w:p>
      <w:pPr>
        <w:pStyle w:val="Heading2"/>
        <w:keepNext/>
        <w:pageBreakBefore w:val="0"/>
      </w:pPr>
      <w:r>
        <w:t>Relatos de casos e evidência aplicada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Em um estudo piloto na UTI, dois pacientes com suspeita de obstrução da Foley tiveram volumes muito baixos no scanner automático, mas volumes de 539 e 666 mL no ultrassom bidimensional; a drenagem após correção confirmou retenção relevante. Os exemplos ilustram por que a visualização direta da anatomia pode superar o número automático quando a clínica e o scanner discordam. DOI 10.1177/1751143717740805.</w:t>
      </w:r>
    </w:p>
    <w:p>
      <w:r>
        <w:br w:type="page"/>
      </w:r>
    </w:p>
    <w:p>
      <w:pPr>
        <w:pStyle w:val="Heading1"/>
        <w:keepNext/>
        <w:pageBreakBefore w:val="0"/>
      </w:pPr>
      <w:r>
        <w:t>8 Algoritmo operacional em 60 segundos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46520" cy="36280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84479285-da7f-4a3c-a7b9-858c049a2a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center"/>
      </w:pPr>
      <w:r>
        <w:rPr>
          <w:rFonts w:ascii="Arial" w:hAnsi="Arial"/>
          <w:b/>
          <w:i w:val="0"/>
          <w:color w:val="000000"/>
          <w:sz w:val="18"/>
        </w:rPr>
        <w:t>Figura 10 — POCUS vesical em 60 segundos</w:t>
      </w:r>
    </w:p>
    <w:p>
      <w:pPr>
        <w:spacing w:after="140"/>
        <w:jc w:val="center"/>
      </w:pPr>
      <w:r>
        <w:rPr>
          <w:rFonts w:ascii="Arial" w:hAnsi="Arial"/>
          <w:b w:val="0"/>
          <w:i/>
          <w:color w:val="44546A"/>
          <w:sz w:val="17"/>
        </w:rPr>
        <w:t>Use esta imagem para lembrar: púbis, preto, dois planos e volume quando ele muda a decisão.</w:t>
      </w:r>
    </w:p>
    <w:p>
      <w:pPr>
        <w:pStyle w:val="Heading2"/>
        <w:keepNext/>
        <w:pageBreakBefore w:val="0"/>
      </w:pPr>
      <w:r>
        <w:t>Se X faça Y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Se a bexiga estiver grande e o paciente não urinar: confirmar em dois planos, estimar volume e tratar retenção conforme sintomas, risco e contraindicações à sondagem.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Se a bexiga estiver grande apesar de Foley: revisar do paciente à bolsa, procurar dobra, clamp, nível da bolsa, sedimento e posição do balão; irrigar ou trocar conforme protocolo e situação clínica.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Se a bexiga estiver pequena com oligúria: não atribuir o quadro a retenção baixa; avaliar rins, hidronefrose, hemodinâmica, balanço, drogas e causas de lesão renal aguda.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Se houver coágulos ou hematuria com obstrução: priorizar drenagem adequada, possível sonda de três vias e avaliação urológica.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Se houver massa fixa, parede focal irregular ou gás sem instrumentação: não encerrar como achado benigno; solicitar investigação formal e especialista.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Se a imagem for inconclusiva ou discordar da clínica: repetir técnica, pedir ultrassonografia formal ou outra modalidade apropriada.</w:t>
      </w:r>
    </w:p>
    <w:p>
      <w:pPr>
        <w:pStyle w:val="Heading2"/>
        <w:keepNext/>
        <w:pageBreakBefore w:val="0"/>
      </w:pPr>
      <w:r>
        <w:t>Cinco condutas agora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1. Defina se a bexiga está grande ou pequena.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2. Confirme o achado em dois planos e verifique o marcador.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3. Caracterize parede, conteúdo e balão da Foley.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4. Calcule volume somente se a medida mudar a decisão.</w:t>
      </w:r>
    </w:p>
    <w:p>
      <w:pPr>
        <w:spacing w:after="60" w:line="259" w:lineRule="auto"/>
        <w:ind w:left="403" w:hanging="317"/>
      </w:pPr>
      <w:r>
        <w:rPr>
          <w:rFonts w:ascii="Arial" w:hAnsi="Arial"/>
          <w:b w:val="0"/>
          <w:i w:val="0"/>
          <w:color w:val="000000"/>
          <w:sz w:val="21"/>
        </w:rPr>
        <w:t>5. Documente imagens, limitações, conclusão focada e ação decorrente.</w:t>
      </w:r>
    </w:p>
    <w:p>
      <w:r>
        <w:br w:type="page"/>
      </w:r>
    </w:p>
    <w:p>
      <w:pPr>
        <w:pStyle w:val="Heading1"/>
        <w:keepNext/>
        <w:pageBreakBefore w:val="0"/>
      </w:pPr>
      <w:r>
        <w:t>9 Registro interativo do exame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Preencha os campos diretamente no Word. Salve ao menos uma imagem transversal e uma longitudinal quando possível.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68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Registro</w:t>
            </w:r>
          </w:p>
        </w:tc>
      </w:tr>
      <w:tr>
        <w:tc>
          <w:tcPr>
            <w:tcW w:type="dxa" w:w="331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 e hora</w:t>
            </w:r>
          </w:p>
        </w:tc>
        <w:tc>
          <w:tcPr>
            <w:tcW w:type="dxa" w:w="676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sdt>
              <w:sdtPr>
                <w:tag w:val="DATA_HORA"/>
                <w:alias w:val="DATA_HORA"/>
                <w:text/>
              </w:sdtPr>
              <w:sdtContent>
                <w:r>
                  <w:rPr>
                    <w:rFonts w:ascii="Arial" w:hAnsi="Arial"/>
                    <w:b w:val="0"/>
                    <w:i w:val="0"/>
                    <w:color w:val="000000"/>
                    <w:sz w:val="18"/>
                  </w:rPr>
                  <w:t>{{DATA_HORA}}</w:t>
                </w:r>
              </w:sdtContent>
            </w:sdt>
          </w:p>
        </w:tc>
      </w:tr>
      <w:tr>
        <w:tc>
          <w:tcPr>
            <w:tcW w:type="dxa" w:w="331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Indicação</w:t>
            </w:r>
          </w:p>
        </w:tc>
        <w:tc>
          <w:tcPr>
            <w:tcW w:type="dxa" w:w="6768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sdt>
              <w:sdtPr>
                <w:tag w:val="INDICACAO"/>
                <w:alias w:val="INDICACAO"/>
                <w:text/>
              </w:sdtPr>
              <w:sdtContent>
                <w:r>
                  <w:rPr>
                    <w:rFonts w:ascii="Arial" w:hAnsi="Arial"/>
                    <w:b w:val="0"/>
                    <w:i w:val="0"/>
                    <w:color w:val="000000"/>
                    <w:sz w:val="18"/>
                  </w:rPr>
                  <w:t>{{INDICACAO}}</w:t>
                </w:r>
              </w:sdtContent>
            </w:sdt>
          </w:p>
        </w:tc>
      </w:tr>
      <w:tr>
        <w:tc>
          <w:tcPr>
            <w:tcW w:type="dxa" w:w="331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Transdutor e preset</w:t>
            </w:r>
          </w:p>
        </w:tc>
        <w:tc>
          <w:tcPr>
            <w:tcW w:type="dxa" w:w="676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sdt>
              <w:sdtPr>
                <w:tag w:val="TRANSDUTOR_PRESET"/>
                <w:alias w:val="TRANSDUTOR_PRESET"/>
                <w:text/>
              </w:sdtPr>
              <w:sdtContent>
                <w:r>
                  <w:rPr>
                    <w:rFonts w:ascii="Arial" w:hAnsi="Arial"/>
                    <w:b w:val="0"/>
                    <w:i w:val="0"/>
                    <w:color w:val="000000"/>
                    <w:sz w:val="18"/>
                  </w:rPr>
                  <w:t>{{TRANSDUTOR_PRESET}}</w:t>
                </w:r>
              </w:sdtContent>
            </w:sdt>
          </w:p>
        </w:tc>
      </w:tr>
      <w:tr>
        <w:tc>
          <w:tcPr>
            <w:tcW w:type="dxa" w:w="331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Planos obtidos</w:t>
            </w:r>
          </w:p>
        </w:tc>
        <w:tc>
          <w:tcPr>
            <w:tcW w:type="dxa" w:w="6768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sdt>
              <w:sdtPr>
                <w:tag w:val="PLANOS"/>
                <w:alias w:val="PLANOS"/>
                <w:text/>
              </w:sdtPr>
              <w:sdtContent>
                <w:r>
                  <w:rPr>
                    <w:rFonts w:ascii="Arial" w:hAnsi="Arial"/>
                    <w:b w:val="0"/>
                    <w:i w:val="0"/>
                    <w:color w:val="000000"/>
                    <w:sz w:val="18"/>
                  </w:rPr>
                  <w:t>{{PLANOS}}</w:t>
                </w:r>
              </w:sdtContent>
            </w:sdt>
          </w:p>
        </w:tc>
      </w:tr>
      <w:tr>
        <w:tc>
          <w:tcPr>
            <w:tcW w:type="dxa" w:w="331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Distensão vesical</w:t>
            </w:r>
          </w:p>
        </w:tc>
        <w:tc>
          <w:tcPr>
            <w:tcW w:type="dxa" w:w="676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sdt>
              <w:sdtPr>
                <w:tag w:val="DISTENSAO"/>
                <w:alias w:val="DISTENSAO"/>
                <w:text/>
              </w:sdtPr>
              <w:sdtContent>
                <w:r>
                  <w:rPr>
                    <w:rFonts w:ascii="Arial" w:hAnsi="Arial"/>
                    <w:b w:val="0"/>
                    <w:i w:val="0"/>
                    <w:color w:val="000000"/>
                    <w:sz w:val="18"/>
                  </w:rPr>
                  <w:t>{{DISTENSAO}}</w:t>
                </w:r>
              </w:sdtContent>
            </w:sdt>
          </w:p>
        </w:tc>
      </w:tr>
      <w:tr>
        <w:tc>
          <w:tcPr>
            <w:tcW w:type="dxa" w:w="331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Largura em cm</w:t>
            </w:r>
          </w:p>
        </w:tc>
        <w:tc>
          <w:tcPr>
            <w:tcW w:type="dxa" w:w="6768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sdt>
              <w:sdtPr>
                <w:tag w:val="LARGURA"/>
                <w:alias w:val="LARGURA"/>
                <w:text/>
              </w:sdtPr>
              <w:sdtContent>
                <w:r>
                  <w:rPr>
                    <w:rFonts w:ascii="Arial" w:hAnsi="Arial"/>
                    <w:b w:val="0"/>
                    <w:i w:val="0"/>
                    <w:color w:val="000000"/>
                    <w:sz w:val="18"/>
                  </w:rPr>
                  <w:t>{{LARGURA}}</w:t>
                </w:r>
              </w:sdtContent>
            </w:sdt>
          </w:p>
        </w:tc>
      </w:tr>
      <w:tr>
        <w:tc>
          <w:tcPr>
            <w:tcW w:type="dxa" w:w="331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Diâmetro AP em cm</w:t>
            </w:r>
          </w:p>
        </w:tc>
        <w:tc>
          <w:tcPr>
            <w:tcW w:type="dxa" w:w="676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sdt>
              <w:sdtPr>
                <w:tag w:val="DIAMETRO_AP"/>
                <w:alias w:val="DIAMETRO_AP"/>
                <w:text/>
              </w:sdtPr>
              <w:sdtContent>
                <w:r>
                  <w:rPr>
                    <w:rFonts w:ascii="Arial" w:hAnsi="Arial"/>
                    <w:b w:val="0"/>
                    <w:i w:val="0"/>
                    <w:color w:val="000000"/>
                    <w:sz w:val="18"/>
                  </w:rPr>
                  <w:t>{{DIAMETRO_AP}}</w:t>
                </w:r>
              </w:sdtContent>
            </w:sdt>
          </w:p>
        </w:tc>
      </w:tr>
      <w:tr>
        <w:tc>
          <w:tcPr>
            <w:tcW w:type="dxa" w:w="331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Comprimento em cm</w:t>
            </w:r>
          </w:p>
        </w:tc>
        <w:tc>
          <w:tcPr>
            <w:tcW w:type="dxa" w:w="6768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sdt>
              <w:sdtPr>
                <w:tag w:val="COMPRIMENTO"/>
                <w:alias w:val="COMPRIMENTO"/>
                <w:text/>
              </w:sdtPr>
              <w:sdtContent>
                <w:r>
                  <w:rPr>
                    <w:rFonts w:ascii="Arial" w:hAnsi="Arial"/>
                    <w:b w:val="0"/>
                    <w:i w:val="0"/>
                    <w:color w:val="000000"/>
                    <w:sz w:val="18"/>
                  </w:rPr>
                  <w:t>{{COMPRIMENTO}}</w:t>
                </w:r>
              </w:sdtContent>
            </w:sdt>
          </w:p>
        </w:tc>
      </w:tr>
      <w:tr>
        <w:tc>
          <w:tcPr>
            <w:tcW w:type="dxa" w:w="331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Volume estimado em mL</w:t>
            </w:r>
          </w:p>
        </w:tc>
        <w:tc>
          <w:tcPr>
            <w:tcW w:type="dxa" w:w="676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sdt>
              <w:sdtPr>
                <w:tag w:val="VOLUME"/>
                <w:alias w:val="VOLUME"/>
                <w:text/>
              </w:sdtPr>
              <w:sdtContent>
                <w:r>
                  <w:rPr>
                    <w:rFonts w:ascii="Arial" w:hAnsi="Arial"/>
                    <w:b w:val="0"/>
                    <w:i w:val="0"/>
                    <w:color w:val="000000"/>
                    <w:sz w:val="18"/>
                  </w:rPr>
                  <w:t>{{VOLUME}}</w:t>
                </w:r>
              </w:sdtContent>
            </w:sdt>
          </w:p>
        </w:tc>
      </w:tr>
      <w:tr>
        <w:tc>
          <w:tcPr>
            <w:tcW w:type="dxa" w:w="331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Parede</w:t>
            </w:r>
          </w:p>
        </w:tc>
        <w:tc>
          <w:tcPr>
            <w:tcW w:type="dxa" w:w="6768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sdt>
              <w:sdtPr>
                <w:tag w:val="PAREDE"/>
                <w:alias w:val="PAREDE"/>
                <w:text/>
              </w:sdtPr>
              <w:sdtContent>
                <w:r>
                  <w:rPr>
                    <w:rFonts w:ascii="Arial" w:hAnsi="Arial"/>
                    <w:b w:val="0"/>
                    <w:i w:val="0"/>
                    <w:color w:val="000000"/>
                    <w:sz w:val="18"/>
                  </w:rPr>
                  <w:t>{{PAREDE}}</w:t>
                </w:r>
              </w:sdtContent>
            </w:sdt>
          </w:p>
        </w:tc>
      </w:tr>
      <w:tr>
        <w:tc>
          <w:tcPr>
            <w:tcW w:type="dxa" w:w="331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Conteúdo</w:t>
            </w:r>
          </w:p>
        </w:tc>
        <w:tc>
          <w:tcPr>
            <w:tcW w:type="dxa" w:w="676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sdt>
              <w:sdtPr>
                <w:tag w:val="CONTEUDO"/>
                <w:alias w:val="CONTEUDO"/>
                <w:text/>
              </w:sdtPr>
              <w:sdtContent>
                <w:r>
                  <w:rPr>
                    <w:rFonts w:ascii="Arial" w:hAnsi="Arial"/>
                    <w:b w:val="0"/>
                    <w:i w:val="0"/>
                    <w:color w:val="000000"/>
                    <w:sz w:val="18"/>
                  </w:rPr>
                  <w:t>{{CONTEUDO}}</w:t>
                </w:r>
              </w:sdtContent>
            </w:sdt>
          </w:p>
        </w:tc>
      </w:tr>
      <w:tr>
        <w:tc>
          <w:tcPr>
            <w:tcW w:type="dxa" w:w="331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Foley e posição do balão</w:t>
            </w:r>
          </w:p>
        </w:tc>
        <w:tc>
          <w:tcPr>
            <w:tcW w:type="dxa" w:w="6768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sdt>
              <w:sdtPr>
                <w:tag w:val="FOLEY"/>
                <w:alias w:val="FOLEY"/>
                <w:text/>
              </w:sdtPr>
              <w:sdtContent>
                <w:r>
                  <w:rPr>
                    <w:rFonts w:ascii="Arial" w:hAnsi="Arial"/>
                    <w:b w:val="0"/>
                    <w:i w:val="0"/>
                    <w:color w:val="000000"/>
                    <w:sz w:val="18"/>
                  </w:rPr>
                  <w:t>{{FOLEY}}</w:t>
                </w:r>
              </w:sdtContent>
            </w:sdt>
          </w:p>
        </w:tc>
      </w:tr>
      <w:tr>
        <w:tc>
          <w:tcPr>
            <w:tcW w:type="dxa" w:w="331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Jatos ureterais se avaliados</w:t>
            </w:r>
          </w:p>
        </w:tc>
        <w:tc>
          <w:tcPr>
            <w:tcW w:type="dxa" w:w="676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sdt>
              <w:sdtPr>
                <w:tag w:val="JATOS"/>
                <w:alias w:val="JATOS"/>
                <w:text/>
              </w:sdtPr>
              <w:sdtContent>
                <w:r>
                  <w:rPr>
                    <w:rFonts w:ascii="Arial" w:hAnsi="Arial"/>
                    <w:b w:val="0"/>
                    <w:i w:val="0"/>
                    <w:color w:val="000000"/>
                    <w:sz w:val="18"/>
                  </w:rPr>
                  <w:t>{{JATOS}}</w:t>
                </w:r>
              </w:sdtContent>
            </w:sdt>
          </w:p>
        </w:tc>
      </w:tr>
      <w:tr>
        <w:tc>
          <w:tcPr>
            <w:tcW w:type="dxa" w:w="331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Limitações</w:t>
            </w:r>
          </w:p>
        </w:tc>
        <w:tc>
          <w:tcPr>
            <w:tcW w:type="dxa" w:w="6768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sdt>
              <w:sdtPr>
                <w:tag w:val="LIMITACOES"/>
                <w:alias w:val="LIMITACOES"/>
                <w:text/>
              </w:sdtPr>
              <w:sdtContent>
                <w:r>
                  <w:rPr>
                    <w:rFonts w:ascii="Arial" w:hAnsi="Arial"/>
                    <w:b w:val="0"/>
                    <w:i w:val="0"/>
                    <w:color w:val="000000"/>
                    <w:sz w:val="18"/>
                  </w:rPr>
                  <w:t>{{LIMITACOES}}</w:t>
                </w:r>
              </w:sdtContent>
            </w:sdt>
          </w:p>
        </w:tc>
      </w:tr>
      <w:tr>
        <w:tc>
          <w:tcPr>
            <w:tcW w:type="dxa" w:w="331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Conclusão focada</w:t>
            </w:r>
          </w:p>
        </w:tc>
        <w:tc>
          <w:tcPr>
            <w:tcW w:type="dxa" w:w="676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sdt>
              <w:sdtPr>
                <w:tag w:val="CONCLUSAO"/>
                <w:alias w:val="CONCLUSAO"/>
                <w:text/>
              </w:sdtPr>
              <w:sdtContent>
                <w:r>
                  <w:rPr>
                    <w:rFonts w:ascii="Arial" w:hAnsi="Arial"/>
                    <w:b w:val="0"/>
                    <w:i w:val="0"/>
                    <w:color w:val="000000"/>
                    <w:sz w:val="18"/>
                  </w:rPr>
                  <w:t>{{CONCLUSAO}}</w:t>
                </w:r>
              </w:sdtContent>
            </w:sdt>
          </w:p>
        </w:tc>
      </w:tr>
      <w:tr>
        <w:tc>
          <w:tcPr>
            <w:tcW w:type="dxa" w:w="331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Conduta decorrente</w:t>
            </w:r>
          </w:p>
        </w:tc>
        <w:tc>
          <w:tcPr>
            <w:tcW w:type="dxa" w:w="6768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sdt>
              <w:sdtPr>
                <w:tag w:val="CONDUTA"/>
                <w:alias w:val="CONDUTA"/>
                <w:text/>
              </w:sdtPr>
              <w:sdtContent>
                <w:r>
                  <w:rPr>
                    <w:rFonts w:ascii="Arial" w:hAnsi="Arial"/>
                    <w:b w:val="0"/>
                    <w:i w:val="0"/>
                    <w:color w:val="000000"/>
                    <w:sz w:val="18"/>
                  </w:rPr>
                  <w:t>{{CONDUTA}}</w:t>
                </w:r>
              </w:sdtContent>
            </w:sdt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Modelo de conclusão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POCUS vesical realizado em cortes transversal e longitudinal. Bexiga [pouco repleta/moderadamente repleta/distendida], volume estimado de [ ] mL, paredes [ ], conteúdo [ ], balão de Foley [ ]. Exame limitado por [ ]. Achados sugerem [ ]. Conduta imediata: [ ].</w:t>
      </w:r>
    </w:p>
    <w:p>
      <w:r>
        <w:br w:type="page"/>
      </w:r>
    </w:p>
    <w:p>
      <w:pPr>
        <w:pStyle w:val="Heading1"/>
        <w:keepNext/>
        <w:pageBreakBefore w:val="0"/>
      </w:pPr>
      <w:r>
        <w:t>10 Casos clínicos progressivos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Técnica de uso: leia o caso, escolha a ação e declare confiança de 1 a 5 antes de conferir o comentário.</w:t>
      </w:r>
    </w:p>
    <w:p>
      <w:pPr>
        <w:pStyle w:val="Heading2"/>
        <w:keepNext/>
        <w:pageBreakBefore w:val="0"/>
      </w:pPr>
      <w:r>
        <w:t>Caso 1 Pós operatório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Homem de 72 anos, seis horas após cirurgia, dor suprapúbica e ausência de micção. POCUS mostra bexiga anecoica muito distendida em dois planos e volume estimado de 680 mL. Sem trauma pélvico ou sangue no meato.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2304A"/>
          <w:sz w:val="22"/>
        </w:rPr>
        <w:t>Qual é a próxima ação?</w:t>
      </w:r>
      <w:r>
        <w:rPr>
          <w:rFonts w:ascii="Arial" w:hAnsi="Arial"/>
          <w:b w:val="0"/>
          <w:i w:val="0"/>
          <w:color w:val="12304A"/>
          <w:sz w:val="22"/>
        </w:rPr>
        <w:t xml:space="preserve">  Resposta: </w:t>
      </w:r>
      <w:sdt>
        <w:sdtPr>
          <w:tag w:val="CASO_1"/>
          <w:alias w:val="CASO_1"/>
          <w:text/>
        </w:sdtPr>
        <w:sdtContent>
          <w:r>
            <w:rPr>
              <w:rFonts w:ascii="Arial" w:hAnsi="Arial"/>
              <w:b w:val="0"/>
              <w:i w:val="0"/>
              <w:color w:val="12304A"/>
              <w:sz w:val="22"/>
            </w:rPr>
            <w:t>{{CASO_1}}</w:t>
          </w:r>
        </w:sdtContent>
      </w:sdt>
      <w:r>
        <w:rPr>
          <w:rFonts w:ascii="Arial" w:hAnsi="Arial"/>
          <w:b w:val="0"/>
          <w:i w:val="0"/>
          <w:color w:val="12304A"/>
          <w:sz w:val="22"/>
        </w:rPr>
        <w:t xml:space="preserve">  Confiança: </w:t>
      </w:r>
      <w:sdt>
        <w:sdtPr>
          <w:tag w:val="CONF_1"/>
          <w:alias w:val="CONF_1"/>
          <w:text/>
        </w:sdtPr>
        <w:sdtContent>
          <w:r>
            <w:rPr>
              <w:rFonts w:ascii="Arial" w:hAnsi="Arial"/>
              <w:b w:val="0"/>
              <w:i w:val="0"/>
              <w:color w:val="12304A"/>
              <w:sz w:val="22"/>
            </w:rPr>
            <w:t>{{CONF_1}}</w:t>
          </w:r>
        </w:sdtContent>
      </w:sdt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237A57"/>
          <w:sz w:val="22"/>
        </w:rPr>
        <w:t>Gabarito:</w:t>
      </w:r>
      <w:r>
        <w:rPr>
          <w:rFonts w:ascii="Arial" w:hAnsi="Arial"/>
          <w:b w:val="0"/>
          <w:i w:val="0"/>
          <w:color w:val="237A57"/>
          <w:sz w:val="22"/>
        </w:rPr>
        <w:t xml:space="preserve"> Retenção urinária aguda com necessidade de descompressão, após excluir contraindicação à sondagem.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237A57"/>
          <w:sz w:val="22"/>
        </w:rPr>
        <w:t>Resposta comentada:</w:t>
      </w:r>
      <w:r>
        <w:rPr>
          <w:rFonts w:ascii="Arial" w:hAnsi="Arial"/>
          <w:b w:val="0"/>
          <w:i w:val="0"/>
          <w:color w:val="237A57"/>
          <w:sz w:val="22"/>
        </w:rPr>
        <w:t xml:space="preserve"> retenção urinária aguda. Confirmar contraindicações, descomprimir conforme protocolo e investigar precipitantes como anestésicos, opioides, hiperplasia prostática, dor e constipação. Reavaliar sintomas e débito após drenagem.</w:t>
      </w:r>
    </w:p>
    <w:p>
      <w:pPr>
        <w:pStyle w:val="Heading2"/>
        <w:keepNext/>
        <w:pageBreakBefore w:val="0"/>
      </w:pPr>
      <w:r>
        <w:t>Caso 2 Oligúria na UTI com ascite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Paciente cirrótico com choque séptico e oligúria. Bladder scanner automático informa 520 mL. No B-mode, há líquido livre pélvico e bexiga pequena, com balão da Foley intravesical.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2304A"/>
          <w:sz w:val="22"/>
        </w:rPr>
        <w:t>Você troca a sonda?</w:t>
      </w:r>
      <w:r>
        <w:rPr>
          <w:rFonts w:ascii="Arial" w:hAnsi="Arial"/>
          <w:b w:val="0"/>
          <w:i w:val="0"/>
          <w:color w:val="12304A"/>
          <w:sz w:val="22"/>
        </w:rPr>
        <w:t xml:space="preserve">  Resposta: </w:t>
      </w:r>
      <w:sdt>
        <w:sdtPr>
          <w:tag w:val="CASO_2"/>
          <w:alias w:val="CASO_2"/>
          <w:text/>
        </w:sdtPr>
        <w:sdtContent>
          <w:r>
            <w:rPr>
              <w:rFonts w:ascii="Arial" w:hAnsi="Arial"/>
              <w:b w:val="0"/>
              <w:i w:val="0"/>
              <w:color w:val="12304A"/>
              <w:sz w:val="22"/>
            </w:rPr>
            <w:t>{{CASO_2}}</w:t>
          </w:r>
        </w:sdtContent>
      </w:sdt>
      <w:r>
        <w:rPr>
          <w:rFonts w:ascii="Arial" w:hAnsi="Arial"/>
          <w:b w:val="0"/>
          <w:i w:val="0"/>
          <w:color w:val="12304A"/>
          <w:sz w:val="22"/>
        </w:rPr>
        <w:t xml:space="preserve">  Confiança: </w:t>
      </w:r>
      <w:sdt>
        <w:sdtPr>
          <w:tag w:val="CONF_2"/>
          <w:alias w:val="CONF_2"/>
          <w:text/>
        </w:sdtPr>
        <w:sdtContent>
          <w:r>
            <w:rPr>
              <w:rFonts w:ascii="Arial" w:hAnsi="Arial"/>
              <w:b w:val="0"/>
              <w:i w:val="0"/>
              <w:color w:val="12304A"/>
              <w:sz w:val="22"/>
            </w:rPr>
            <w:t>{{CONF_2}}</w:t>
          </w:r>
        </w:sdtContent>
      </w:sdt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237A57"/>
          <w:sz w:val="22"/>
        </w:rPr>
        <w:t>Gabarito:</w:t>
      </w:r>
      <w:r>
        <w:rPr>
          <w:rFonts w:ascii="Arial" w:hAnsi="Arial"/>
          <w:b w:val="0"/>
          <w:i w:val="0"/>
          <w:color w:val="237A57"/>
          <w:sz w:val="22"/>
        </w:rPr>
        <w:t xml:space="preserve"> Não trocar a sonda com base no número automático isolado; confirmar a bexiga pequena e investigar outras causas de oligúria.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237A57"/>
          <w:sz w:val="22"/>
        </w:rPr>
        <w:t>Resposta comentada:</w:t>
      </w:r>
      <w:r>
        <w:rPr>
          <w:rFonts w:ascii="Arial" w:hAnsi="Arial"/>
          <w:b w:val="0"/>
          <w:i w:val="0"/>
          <w:color w:val="237A57"/>
          <w:sz w:val="22"/>
        </w:rPr>
        <w:t xml:space="preserve"> não por esse número isolado. Ascite pode gerar falso volume no scanner automático. Verifique sistema e irrigação conforme protocolo, mas a bexiga pequena desloca o foco para perfusão, lesão renal, obstrução alta e outras causas de oligúria.</w:t>
      </w:r>
    </w:p>
    <w:p>
      <w:pPr>
        <w:pStyle w:val="Heading2"/>
        <w:keepNext/>
        <w:pageBreakBefore w:val="0"/>
      </w:pPr>
      <w:r>
        <w:t>Caso 3 Hematuria com material intravesical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Paciente anticoagulado com hematuria macroscópica e baixo débito pela sonda. Há massa intraluminal ecogênica, móvel, sem sombra e sem fluxo ao Doppler.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2304A"/>
          <w:sz w:val="22"/>
        </w:rPr>
        <w:t>Qual padrão é mais provável?</w:t>
      </w:r>
      <w:r>
        <w:rPr>
          <w:rFonts w:ascii="Arial" w:hAnsi="Arial"/>
          <w:b w:val="0"/>
          <w:i w:val="0"/>
          <w:color w:val="12304A"/>
          <w:sz w:val="22"/>
        </w:rPr>
        <w:t xml:space="preserve">  Resposta: </w:t>
      </w:r>
      <w:sdt>
        <w:sdtPr>
          <w:tag w:val="CASO_3"/>
          <w:alias w:val="CASO_3"/>
          <w:text/>
        </w:sdtPr>
        <w:sdtContent>
          <w:r>
            <w:rPr>
              <w:rFonts w:ascii="Arial" w:hAnsi="Arial"/>
              <w:b w:val="0"/>
              <w:i w:val="0"/>
              <w:color w:val="12304A"/>
              <w:sz w:val="22"/>
            </w:rPr>
            <w:t>{{CASO_3}}</w:t>
          </w:r>
        </w:sdtContent>
      </w:sdt>
      <w:r>
        <w:rPr>
          <w:rFonts w:ascii="Arial" w:hAnsi="Arial"/>
          <w:b w:val="0"/>
          <w:i w:val="0"/>
          <w:color w:val="12304A"/>
          <w:sz w:val="22"/>
        </w:rPr>
        <w:t xml:space="preserve">  Confiança: </w:t>
      </w:r>
      <w:sdt>
        <w:sdtPr>
          <w:tag w:val="CONF_3"/>
          <w:alias w:val="CONF_3"/>
          <w:text/>
        </w:sdtPr>
        <w:sdtContent>
          <w:r>
            <w:rPr>
              <w:rFonts w:ascii="Arial" w:hAnsi="Arial"/>
              <w:b w:val="0"/>
              <w:i w:val="0"/>
              <w:color w:val="12304A"/>
              <w:sz w:val="22"/>
            </w:rPr>
            <w:t>{{CONF_3}}</w:t>
          </w:r>
        </w:sdtContent>
      </w:sdt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237A57"/>
          <w:sz w:val="22"/>
        </w:rPr>
        <w:t>Gabarito:</w:t>
      </w:r>
      <w:r>
        <w:rPr>
          <w:rFonts w:ascii="Arial" w:hAnsi="Arial"/>
          <w:b w:val="0"/>
          <w:i w:val="0"/>
          <w:color w:val="237A57"/>
          <w:sz w:val="22"/>
        </w:rPr>
        <w:t xml:space="preserve"> Coágulo intravesical com possível obstrução da drenagem.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237A57"/>
          <w:sz w:val="22"/>
        </w:rPr>
        <w:t>Resposta comentada:</w:t>
      </w:r>
      <w:r>
        <w:rPr>
          <w:rFonts w:ascii="Arial" w:hAnsi="Arial"/>
          <w:b w:val="0"/>
          <w:i w:val="0"/>
          <w:color w:val="237A57"/>
          <w:sz w:val="22"/>
        </w:rPr>
        <w:t xml:space="preserve"> coágulo é o padrão mais provável. Avalie obstrução, calibre da sonda e necessidade de irrigação ou sonda de três vias; acione urologia conforme sangramento, instabilidade e falha de drenagem. Ausência de fluxo não exclui definitivamente tumor.</w:t>
      </w:r>
    </w:p>
    <w:p>
      <w:pPr>
        <w:pStyle w:val="Heading2"/>
        <w:keepNext/>
        <w:pageBreakBefore w:val="0"/>
      </w:pPr>
      <w:r>
        <w:t>Caso 4 Diabetes e sepse urinária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Mulher com diabetes, choque e dor hipogástrica, sem instrumentação recente. POCUS mostra focos hiperecogênicos na parede vesical com reverberação e sombra suja.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2304A"/>
          <w:sz w:val="22"/>
        </w:rPr>
        <w:t>Qual diagnóstico não pode ser perdido?</w:t>
      </w:r>
      <w:r>
        <w:rPr>
          <w:rFonts w:ascii="Arial" w:hAnsi="Arial"/>
          <w:b w:val="0"/>
          <w:i w:val="0"/>
          <w:color w:val="12304A"/>
          <w:sz w:val="22"/>
        </w:rPr>
        <w:t xml:space="preserve">  Resposta: </w:t>
      </w:r>
      <w:sdt>
        <w:sdtPr>
          <w:tag w:val="CASO_4"/>
          <w:alias w:val="CASO_4"/>
          <w:text/>
        </w:sdtPr>
        <w:sdtContent>
          <w:r>
            <w:rPr>
              <w:rFonts w:ascii="Arial" w:hAnsi="Arial"/>
              <w:b w:val="0"/>
              <w:i w:val="0"/>
              <w:color w:val="12304A"/>
              <w:sz w:val="22"/>
            </w:rPr>
            <w:t>{{CASO_4}}</w:t>
          </w:r>
        </w:sdtContent>
      </w:sdt>
      <w:r>
        <w:rPr>
          <w:rFonts w:ascii="Arial" w:hAnsi="Arial"/>
          <w:b w:val="0"/>
          <w:i w:val="0"/>
          <w:color w:val="12304A"/>
          <w:sz w:val="22"/>
        </w:rPr>
        <w:t xml:space="preserve">  Confiança: </w:t>
      </w:r>
      <w:sdt>
        <w:sdtPr>
          <w:tag w:val="CONF_4"/>
          <w:alias w:val="CONF_4"/>
          <w:text/>
        </w:sdtPr>
        <w:sdtContent>
          <w:r>
            <w:rPr>
              <w:rFonts w:ascii="Arial" w:hAnsi="Arial"/>
              <w:b w:val="0"/>
              <w:i w:val="0"/>
              <w:color w:val="12304A"/>
              <w:sz w:val="22"/>
            </w:rPr>
            <w:t>{{CONF_4}}</w:t>
          </w:r>
        </w:sdtContent>
      </w:sdt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237A57"/>
          <w:sz w:val="22"/>
        </w:rPr>
        <w:t>Gabarito:</w:t>
      </w:r>
      <w:r>
        <w:rPr>
          <w:rFonts w:ascii="Arial" w:hAnsi="Arial"/>
          <w:b w:val="0"/>
          <w:i w:val="0"/>
          <w:color w:val="237A57"/>
          <w:sz w:val="22"/>
        </w:rPr>
        <w:t xml:space="preserve"> Cistite enfisematosa até investigação adequada.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237A57"/>
          <w:sz w:val="22"/>
        </w:rPr>
        <w:t>Resposta comentada:</w:t>
      </w:r>
      <w:r>
        <w:rPr>
          <w:rFonts w:ascii="Arial" w:hAnsi="Arial"/>
          <w:b w:val="0"/>
          <w:i w:val="0"/>
          <w:color w:val="237A57"/>
          <w:sz w:val="22"/>
        </w:rPr>
        <w:t xml:space="preserve"> cistite enfisematosa. Solicite tomografia quando viável, colha culturas, trate sepse e envolva urologia; o achado não deve ser atribuído a gás iatrogênico sem confirmação.</w:t>
      </w:r>
    </w:p>
    <w:p>
      <w:pPr>
        <w:pStyle w:val="Heading1"/>
        <w:keepNext/>
        <w:pageBreakBefore w:val="0"/>
      </w:pPr>
      <w:r>
        <w:t>Questões comentadas</w:t>
      </w:r>
    </w:p>
    <w:p>
      <w:pPr>
        <w:pStyle w:val="Heading2"/>
        <w:keepNext/>
        <w:pageBreakBefore w:val="0"/>
      </w:pPr>
      <w:r>
        <w:t>Questão 1. Em um adulto em decúbito dorsal, qual técnica inicial é mais adequada para localizar a bexiga?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2304A"/>
          <w:sz w:val="22"/>
        </w:rPr>
        <w:t xml:space="preserve">Resposta: </w:t>
      </w:r>
      <w:sdt>
        <w:sdtPr>
          <w:tag w:val="QUESTAO_1"/>
          <w:alias w:val="QUESTAO_1"/>
          <w:text/>
        </w:sdtPr>
        <w:sdtContent>
          <w:r>
            <w:rPr>
              <w:rFonts w:ascii="Arial" w:hAnsi="Arial"/>
              <w:b w:val="0"/>
              <w:i w:val="0"/>
              <w:color w:val="12304A"/>
              <w:sz w:val="22"/>
            </w:rPr>
            <w:t>{{QUESTAO_1}}</w:t>
          </w:r>
        </w:sdtContent>
      </w:sdt>
      <w:r>
        <w:rPr>
          <w:rFonts w:ascii="Arial" w:hAnsi="Arial"/>
          <w:b w:val="0"/>
          <w:i w:val="0"/>
          <w:color w:val="12304A"/>
          <w:sz w:val="22"/>
        </w:rPr>
        <w:t xml:space="preserve">  Confiança de 1 a 5: </w:t>
      </w:r>
      <w:sdt>
        <w:sdtPr>
          <w:tag w:val="QCONF_1"/>
          <w:alias w:val="QCONF_1"/>
          <w:text/>
        </w:sdtPr>
        <w:sdtContent>
          <w:r>
            <w:rPr>
              <w:rFonts w:ascii="Arial" w:hAnsi="Arial"/>
              <w:b w:val="0"/>
              <w:i w:val="0"/>
              <w:color w:val="12304A"/>
              <w:sz w:val="22"/>
            </w:rPr>
            <w:t>{{QCONF_1}}</w:t>
          </w:r>
        </w:sdtContent>
      </w:sdt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>A Probe linear no epigástrio com marcador caudal.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>B Probe convexo suprapúbico, inicialmente transversal, com feixe inclinado caudalmente.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>C Probe convexo no flanco direito, exclusivamente em eixo longitudinal.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>D Probe cardíaco na região periumbilical sem varredura pélvica.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237A57"/>
          <w:sz w:val="22"/>
        </w:rPr>
        <w:t>Gabarito:</w:t>
      </w:r>
      <w:r>
        <w:rPr>
          <w:rFonts w:ascii="Arial" w:hAnsi="Arial"/>
          <w:b w:val="0"/>
          <w:i w:val="0"/>
          <w:color w:val="237A57"/>
          <w:sz w:val="22"/>
        </w:rPr>
        <w:t xml:space="preserve"> B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000000"/>
          <w:sz w:val="20"/>
        </w:rPr>
        <w:t>Raciocínio clínico:</w:t>
      </w:r>
      <w:r>
        <w:rPr>
          <w:rFonts w:ascii="Arial" w:hAnsi="Arial"/>
          <w:b w:val="0"/>
          <w:i w:val="0"/>
          <w:color w:val="000000"/>
          <w:sz w:val="20"/>
        </w:rPr>
        <w:t xml:space="preserve"> A bexiga fica imediatamente posterior ao púbis e é melhor acessada pela linha média suprapúbica com transdutor de baixa frequência.</w:t>
      </w:r>
    </w:p>
    <w:p>
      <w:pPr>
        <w:spacing w:before="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A.</w:t>
      </w:r>
      <w:r>
        <w:rPr>
          <w:rFonts w:ascii="Arial" w:hAnsi="Arial"/>
          <w:b w:val="0"/>
          <w:i w:val="0"/>
          <w:color w:val="000000"/>
          <w:sz w:val="19"/>
        </w:rPr>
        <w:t xml:space="preserve"> Incorreta. O linear tem penetração limitada para a avaliação global em adultos e o epigástrio não é a janela inicial.</w:t>
      </w:r>
    </w:p>
    <w:p>
      <w:pPr>
        <w:spacing w:before="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B.</w:t>
      </w:r>
      <w:r>
        <w:rPr>
          <w:rFonts w:ascii="Arial" w:hAnsi="Arial"/>
          <w:b w:val="0"/>
          <w:i w:val="0"/>
          <w:color w:val="000000"/>
          <w:sz w:val="19"/>
        </w:rPr>
        <w:t xml:space="preserve"> Correta. É a abordagem padrão para obter a visão transversal e entrar na pelve.</w:t>
      </w:r>
    </w:p>
    <w:p>
      <w:pPr>
        <w:spacing w:before="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C.</w:t>
      </w:r>
      <w:r>
        <w:rPr>
          <w:rFonts w:ascii="Arial" w:hAnsi="Arial"/>
          <w:b w:val="0"/>
          <w:i w:val="0"/>
          <w:color w:val="000000"/>
          <w:sz w:val="19"/>
        </w:rPr>
        <w:t xml:space="preserve"> Incorreta. O flanco é usado para o rim; não é a janela primária da bexiga.</w:t>
      </w:r>
    </w:p>
    <w:p>
      <w:pPr>
        <w:spacing w:before="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D.</w:t>
      </w:r>
      <w:r>
        <w:rPr>
          <w:rFonts w:ascii="Arial" w:hAnsi="Arial"/>
          <w:b w:val="0"/>
          <w:i w:val="0"/>
          <w:color w:val="000000"/>
          <w:sz w:val="19"/>
        </w:rPr>
        <w:t xml:space="preserve"> Incorreta. Phased array pode ser alternativa, mas a posição e a ausência de varredura estão erradas.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2304A"/>
          <w:sz w:val="20"/>
        </w:rPr>
        <w:t>Regra de ouro:</w:t>
      </w:r>
      <w:r>
        <w:rPr>
          <w:rFonts w:ascii="Arial" w:hAnsi="Arial"/>
          <w:b w:val="0"/>
          <w:i w:val="0"/>
          <w:color w:val="12304A"/>
          <w:sz w:val="20"/>
        </w:rPr>
        <w:t xml:space="preserve"> Preto no púbis, depois dois planos.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555555"/>
          <w:sz w:val="18"/>
        </w:rPr>
        <w:t>DNA do raciocínio:</w:t>
      </w:r>
      <w:r>
        <w:rPr>
          <w:rFonts w:ascii="Arial" w:hAnsi="Arial"/>
          <w:b w:val="0"/>
          <w:i w:val="0"/>
          <w:color w:val="555555"/>
          <w:sz w:val="18"/>
        </w:rPr>
        <w:t xml:space="preserve"> VE visual e equipamento  QT quantitativo  SG segurança  PR priorização.</w:t>
      </w:r>
    </w:p>
    <w:p>
      <w:pPr>
        <w:pStyle w:val="Heading2"/>
        <w:keepNext/>
        <w:pageBreakBefore w:val="0"/>
      </w:pPr>
      <w:r>
        <w:t>Questão 2. Qual conjunto de medidas estima melhor o volume vesical?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2304A"/>
          <w:sz w:val="22"/>
        </w:rPr>
        <w:t xml:space="preserve">Resposta: </w:t>
      </w:r>
      <w:sdt>
        <w:sdtPr>
          <w:tag w:val="QUESTAO_2"/>
          <w:alias w:val="QUESTAO_2"/>
          <w:text/>
        </w:sdtPr>
        <w:sdtContent>
          <w:r>
            <w:rPr>
              <w:rFonts w:ascii="Arial" w:hAnsi="Arial"/>
              <w:b w:val="0"/>
              <w:i w:val="0"/>
              <w:color w:val="12304A"/>
              <w:sz w:val="22"/>
            </w:rPr>
            <w:t>{{QUESTAO_2}}</w:t>
          </w:r>
        </w:sdtContent>
      </w:sdt>
      <w:r>
        <w:rPr>
          <w:rFonts w:ascii="Arial" w:hAnsi="Arial"/>
          <w:b w:val="0"/>
          <w:i w:val="0"/>
          <w:color w:val="12304A"/>
          <w:sz w:val="22"/>
        </w:rPr>
        <w:t xml:space="preserve">  Confiança de 1 a 5: </w:t>
      </w:r>
      <w:sdt>
        <w:sdtPr>
          <w:tag w:val="QCONF_2"/>
          <w:alias w:val="QCONF_2"/>
          <w:text/>
        </w:sdtPr>
        <w:sdtContent>
          <w:r>
            <w:rPr>
              <w:rFonts w:ascii="Arial" w:hAnsi="Arial"/>
              <w:b w:val="0"/>
              <w:i w:val="0"/>
              <w:color w:val="12304A"/>
              <w:sz w:val="22"/>
            </w:rPr>
            <w:t>{{QCONF_2}}</w:t>
          </w:r>
        </w:sdtContent>
      </w:sdt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>A Um único diâmetro transversal multiplicado por 0,52.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>B Área transversal multiplicada pela profundidade da imagem.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>C Largura × anteroposterior × comprimento × 0,52.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>D Circunferência externa da parede multiplicada por dois.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237A57"/>
          <w:sz w:val="22"/>
        </w:rPr>
        <w:t>Gabarito:</w:t>
      </w:r>
      <w:r>
        <w:rPr>
          <w:rFonts w:ascii="Arial" w:hAnsi="Arial"/>
          <w:b w:val="0"/>
          <w:i w:val="0"/>
          <w:color w:val="237A57"/>
          <w:sz w:val="22"/>
        </w:rPr>
        <w:t xml:space="preserve"> C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000000"/>
          <w:sz w:val="20"/>
        </w:rPr>
        <w:t>Raciocínio clínico:</w:t>
      </w:r>
      <w:r>
        <w:rPr>
          <w:rFonts w:ascii="Arial" w:hAnsi="Arial"/>
          <w:b w:val="0"/>
          <w:i w:val="0"/>
          <w:color w:val="000000"/>
          <w:sz w:val="20"/>
        </w:rPr>
        <w:t xml:space="preserve"> A fórmula aproxima a bexiga de um elipsoide e exige três eixos internos ortogonais.</w:t>
      </w:r>
    </w:p>
    <w:p>
      <w:pPr>
        <w:spacing w:before="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A.</w:t>
      </w:r>
      <w:r>
        <w:rPr>
          <w:rFonts w:ascii="Arial" w:hAnsi="Arial"/>
          <w:b w:val="0"/>
          <w:i w:val="0"/>
          <w:color w:val="000000"/>
          <w:sz w:val="19"/>
        </w:rPr>
        <w:t xml:space="preserve"> Incorreta. Um único diâmetro não representa um volume.</w:t>
      </w:r>
    </w:p>
    <w:p>
      <w:pPr>
        <w:spacing w:before="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B.</w:t>
      </w:r>
      <w:r>
        <w:rPr>
          <w:rFonts w:ascii="Arial" w:hAnsi="Arial"/>
          <w:b w:val="0"/>
          <w:i w:val="0"/>
          <w:color w:val="000000"/>
          <w:sz w:val="19"/>
        </w:rPr>
        <w:t xml:space="preserve"> Incorreta. Profundidade da tela não é dimensão anatômica.</w:t>
      </w:r>
    </w:p>
    <w:p>
      <w:pPr>
        <w:spacing w:before="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C.</w:t>
      </w:r>
      <w:r>
        <w:rPr>
          <w:rFonts w:ascii="Arial" w:hAnsi="Arial"/>
          <w:b w:val="0"/>
          <w:i w:val="0"/>
          <w:color w:val="000000"/>
          <w:sz w:val="19"/>
        </w:rPr>
        <w:t xml:space="preserve"> Correta. Use largura e AP no transversal e comprimento no longitudinal.</w:t>
      </w:r>
    </w:p>
    <w:p>
      <w:pPr>
        <w:spacing w:before="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D.</w:t>
      </w:r>
      <w:r>
        <w:rPr>
          <w:rFonts w:ascii="Arial" w:hAnsi="Arial"/>
          <w:b w:val="0"/>
          <w:i w:val="0"/>
          <w:color w:val="000000"/>
          <w:sz w:val="19"/>
        </w:rPr>
        <w:t xml:space="preserve"> Incorreta. Medida externa inclui parede e não corresponde à fórmula validada.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2304A"/>
          <w:sz w:val="20"/>
        </w:rPr>
        <w:t>Regra de ouro:</w:t>
      </w:r>
      <w:r>
        <w:rPr>
          <w:rFonts w:ascii="Arial" w:hAnsi="Arial"/>
          <w:b w:val="0"/>
          <w:i w:val="0"/>
          <w:color w:val="12304A"/>
          <w:sz w:val="20"/>
        </w:rPr>
        <w:t xml:space="preserve"> Três eixos internos, dois planos, fator 0,52.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555555"/>
          <w:sz w:val="18"/>
        </w:rPr>
        <w:t>DNA do raciocínio:</w:t>
      </w:r>
      <w:r>
        <w:rPr>
          <w:rFonts w:ascii="Arial" w:hAnsi="Arial"/>
          <w:b w:val="0"/>
          <w:i w:val="0"/>
          <w:color w:val="555555"/>
          <w:sz w:val="18"/>
        </w:rPr>
        <w:t xml:space="preserve"> VE visual e equipamento  QT quantitativo  SG segurança  PR priorização.</w:t>
      </w:r>
    </w:p>
    <w:p>
      <w:r>
        <w:br w:type="page"/>
      </w:r>
    </w:p>
    <w:p>
      <w:pPr>
        <w:pStyle w:val="Heading2"/>
        <w:keepNext/>
        <w:pageBreakBefore w:val="0"/>
      </w:pPr>
      <w:r>
        <w:t>Questão 3. Qual achado favorece coágulo em vez de tumor intravesical?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2304A"/>
          <w:sz w:val="22"/>
        </w:rPr>
        <w:t xml:space="preserve">Resposta: </w:t>
      </w:r>
      <w:sdt>
        <w:sdtPr>
          <w:tag w:val="QUESTAO_3"/>
          <w:alias w:val="QUESTAO_3"/>
          <w:text/>
        </w:sdtPr>
        <w:sdtContent>
          <w:r>
            <w:rPr>
              <w:rFonts w:ascii="Arial" w:hAnsi="Arial"/>
              <w:b w:val="0"/>
              <w:i w:val="0"/>
              <w:color w:val="12304A"/>
              <w:sz w:val="22"/>
            </w:rPr>
            <w:t>{{QUESTAO_3}}</w:t>
          </w:r>
        </w:sdtContent>
      </w:sdt>
      <w:r>
        <w:rPr>
          <w:rFonts w:ascii="Arial" w:hAnsi="Arial"/>
          <w:b w:val="0"/>
          <w:i w:val="0"/>
          <w:color w:val="12304A"/>
          <w:sz w:val="22"/>
        </w:rPr>
        <w:t xml:space="preserve">  Confiança de 1 a 5: </w:t>
      </w:r>
      <w:sdt>
        <w:sdtPr>
          <w:tag w:val="QCONF_3"/>
          <w:alias w:val="QCONF_3"/>
          <w:text/>
        </w:sdtPr>
        <w:sdtContent>
          <w:r>
            <w:rPr>
              <w:rFonts w:ascii="Arial" w:hAnsi="Arial"/>
              <w:b w:val="0"/>
              <w:i w:val="0"/>
              <w:color w:val="12304A"/>
              <w:sz w:val="22"/>
            </w:rPr>
            <w:t>{{QCONF_3}}</w:t>
          </w:r>
        </w:sdtContent>
      </w:sdt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>A Massa fixa com fluxo interno ao Doppler.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>B Espessamento focal irregular vascularizado.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>C Estrutura móvel, sem sombra e sem fluxo ao Doppler, em contexto de hematuria.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>D Foco móvel hiperecogênico com sombra acústica limpa.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237A57"/>
          <w:sz w:val="22"/>
        </w:rPr>
        <w:t>Gabarito:</w:t>
      </w:r>
      <w:r>
        <w:rPr>
          <w:rFonts w:ascii="Arial" w:hAnsi="Arial"/>
          <w:b w:val="0"/>
          <w:i w:val="0"/>
          <w:color w:val="237A57"/>
          <w:sz w:val="22"/>
        </w:rPr>
        <w:t xml:space="preserve"> C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000000"/>
          <w:sz w:val="20"/>
        </w:rPr>
        <w:t>Raciocínio clínico:</w:t>
      </w:r>
      <w:r>
        <w:rPr>
          <w:rFonts w:ascii="Arial" w:hAnsi="Arial"/>
          <w:b w:val="0"/>
          <w:i w:val="0"/>
          <w:color w:val="000000"/>
          <w:sz w:val="20"/>
        </w:rPr>
        <w:t xml:space="preserve"> Mobilidade e avascularidade em contexto de sangramento favorecem coágulo, embora não eliminem a necessidade de investigação conforme o caso.</w:t>
      </w:r>
    </w:p>
    <w:p>
      <w:pPr>
        <w:spacing w:before="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A.</w:t>
      </w:r>
      <w:r>
        <w:rPr>
          <w:rFonts w:ascii="Arial" w:hAnsi="Arial"/>
          <w:b w:val="0"/>
          <w:i w:val="0"/>
          <w:color w:val="000000"/>
          <w:sz w:val="19"/>
        </w:rPr>
        <w:t xml:space="preserve"> Incorreta. Fixação e vascularidade favorecem tecido sólido.</w:t>
      </w:r>
    </w:p>
    <w:p>
      <w:pPr>
        <w:spacing w:before="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B.</w:t>
      </w:r>
      <w:r>
        <w:rPr>
          <w:rFonts w:ascii="Arial" w:hAnsi="Arial"/>
          <w:b w:val="0"/>
          <w:i w:val="0"/>
          <w:color w:val="000000"/>
          <w:sz w:val="19"/>
        </w:rPr>
        <w:t xml:space="preserve"> Incorreta. É um padrão suspeito para lesão tumoral ou inflamatória focal.</w:t>
      </w:r>
    </w:p>
    <w:p>
      <w:pPr>
        <w:spacing w:before="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C.</w:t>
      </w:r>
      <w:r>
        <w:rPr>
          <w:rFonts w:ascii="Arial" w:hAnsi="Arial"/>
          <w:b w:val="0"/>
          <w:i w:val="0"/>
          <w:color w:val="000000"/>
          <w:sz w:val="19"/>
        </w:rPr>
        <w:t xml:space="preserve"> Correta. É o padrão clássico de coágulo intravesical.</w:t>
      </w:r>
    </w:p>
    <w:p>
      <w:pPr>
        <w:spacing w:before="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D.</w:t>
      </w:r>
      <w:r>
        <w:rPr>
          <w:rFonts w:ascii="Arial" w:hAnsi="Arial"/>
          <w:b w:val="0"/>
          <w:i w:val="0"/>
          <w:color w:val="000000"/>
          <w:sz w:val="19"/>
        </w:rPr>
        <w:t xml:space="preserve"> Incorreta. Sombra limpa favorece cálculo.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2304A"/>
          <w:sz w:val="20"/>
        </w:rPr>
        <w:t>Regra de ouro:</w:t>
      </w:r>
      <w:r>
        <w:rPr>
          <w:rFonts w:ascii="Arial" w:hAnsi="Arial"/>
          <w:b w:val="0"/>
          <w:i w:val="0"/>
          <w:color w:val="12304A"/>
          <w:sz w:val="20"/>
        </w:rPr>
        <w:t xml:space="preserve"> Coágulo move e não vasculariza; tumor tende a fixar e vascularizar.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555555"/>
          <w:sz w:val="18"/>
        </w:rPr>
        <w:t>DNA do raciocínio:</w:t>
      </w:r>
      <w:r>
        <w:rPr>
          <w:rFonts w:ascii="Arial" w:hAnsi="Arial"/>
          <w:b w:val="0"/>
          <w:i w:val="0"/>
          <w:color w:val="555555"/>
          <w:sz w:val="18"/>
        </w:rPr>
        <w:t xml:space="preserve"> VE visual e equipamento  QT quantitativo  SG segurança  PR priorização.</w:t>
      </w:r>
    </w:p>
    <w:p>
      <w:pPr>
        <w:pStyle w:val="Heading2"/>
        <w:keepNext/>
        <w:pageBreakBefore w:val="0"/>
      </w:pPr>
      <w:r>
        <w:t>Questão 4. Em um paciente com ascite, qual afirmação é mais segura?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2304A"/>
          <w:sz w:val="22"/>
        </w:rPr>
        <w:t xml:space="preserve">Resposta: </w:t>
      </w:r>
      <w:sdt>
        <w:sdtPr>
          <w:tag w:val="QUESTAO_4"/>
          <w:alias w:val="QUESTAO_4"/>
          <w:text/>
        </w:sdtPr>
        <w:sdtContent>
          <w:r>
            <w:rPr>
              <w:rFonts w:ascii="Arial" w:hAnsi="Arial"/>
              <w:b w:val="0"/>
              <w:i w:val="0"/>
              <w:color w:val="12304A"/>
              <w:sz w:val="22"/>
            </w:rPr>
            <w:t>{{QUESTAO_4}}</w:t>
          </w:r>
        </w:sdtContent>
      </w:sdt>
      <w:r>
        <w:rPr>
          <w:rFonts w:ascii="Arial" w:hAnsi="Arial"/>
          <w:b w:val="0"/>
          <w:i w:val="0"/>
          <w:color w:val="12304A"/>
          <w:sz w:val="22"/>
        </w:rPr>
        <w:t xml:space="preserve">  Confiança de 1 a 5: </w:t>
      </w:r>
      <w:sdt>
        <w:sdtPr>
          <w:tag w:val="QCONF_4"/>
          <w:alias w:val="QCONF_4"/>
          <w:text/>
        </w:sdtPr>
        <w:sdtContent>
          <w:r>
            <w:rPr>
              <w:rFonts w:ascii="Arial" w:hAnsi="Arial"/>
              <w:b w:val="0"/>
              <w:i w:val="0"/>
              <w:color w:val="12304A"/>
              <w:sz w:val="22"/>
            </w:rPr>
            <w:t>{{QCONF_4}}</w:t>
          </w:r>
        </w:sdtContent>
      </w:sdt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>A Qualquer volume alto no bladder scanner confirma retenção.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>B Ascite pode causar falso volume alto; confirme as paredes vesicais no B-mode em dois planos.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>C A ultrassonografia não pode diferenciar ascite de bexiga.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>D A medida automática sempre é superior ao B-mode na UTI.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237A57"/>
          <w:sz w:val="22"/>
        </w:rPr>
        <w:t>Gabarito:</w:t>
      </w:r>
      <w:r>
        <w:rPr>
          <w:rFonts w:ascii="Arial" w:hAnsi="Arial"/>
          <w:b w:val="0"/>
          <w:i w:val="0"/>
          <w:color w:val="237A57"/>
          <w:sz w:val="22"/>
        </w:rPr>
        <w:t xml:space="preserve"> B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000000"/>
          <w:sz w:val="20"/>
        </w:rPr>
        <w:t>Raciocínio clínico:</w:t>
      </w:r>
      <w:r>
        <w:rPr>
          <w:rFonts w:ascii="Arial" w:hAnsi="Arial"/>
          <w:b w:val="0"/>
          <w:i w:val="0"/>
          <w:color w:val="000000"/>
          <w:sz w:val="20"/>
        </w:rPr>
        <w:t xml:space="preserve"> Líquido abdominal é confundidor conhecido do scanner automático; a visão bidimensional mostra diretamente os limites da bexiga.</w:t>
      </w:r>
    </w:p>
    <w:p>
      <w:pPr>
        <w:spacing w:before="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A.</w:t>
      </w:r>
      <w:r>
        <w:rPr>
          <w:rFonts w:ascii="Arial" w:hAnsi="Arial"/>
          <w:b w:val="0"/>
          <w:i w:val="0"/>
          <w:color w:val="000000"/>
          <w:sz w:val="19"/>
        </w:rPr>
        <w:t xml:space="preserve"> Incorreta. O resultado pode ser falso e levar a sondagem desnecessária.</w:t>
      </w:r>
    </w:p>
    <w:p>
      <w:pPr>
        <w:spacing w:before="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B.</w:t>
      </w:r>
      <w:r>
        <w:rPr>
          <w:rFonts w:ascii="Arial" w:hAnsi="Arial"/>
          <w:b w:val="0"/>
          <w:i w:val="0"/>
          <w:color w:val="000000"/>
          <w:sz w:val="19"/>
        </w:rPr>
        <w:t xml:space="preserve"> Correta. É a estratégia de resgate mais segura.</w:t>
      </w:r>
    </w:p>
    <w:p>
      <w:pPr>
        <w:spacing w:before="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C.</w:t>
      </w:r>
      <w:r>
        <w:rPr>
          <w:rFonts w:ascii="Arial" w:hAnsi="Arial"/>
          <w:b w:val="0"/>
          <w:i w:val="0"/>
          <w:color w:val="000000"/>
          <w:sz w:val="19"/>
        </w:rPr>
        <w:t xml:space="preserve"> Incorreta. Relações anatômicas, paredes e dois planos permitem distinção na maioria dos casos.</w:t>
      </w:r>
    </w:p>
    <w:p>
      <w:pPr>
        <w:spacing w:before="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D.</w:t>
      </w:r>
      <w:r>
        <w:rPr>
          <w:rFonts w:ascii="Arial" w:hAnsi="Arial"/>
          <w:b w:val="0"/>
          <w:i w:val="0"/>
          <w:color w:val="000000"/>
          <w:sz w:val="19"/>
        </w:rPr>
        <w:t xml:space="preserve"> Incorreta. Na presença de ascite, o B-mode pode ser mais confiável para a decisão.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2304A"/>
          <w:sz w:val="20"/>
        </w:rPr>
        <w:t>Regra de ouro:</w:t>
      </w:r>
      <w:r>
        <w:rPr>
          <w:rFonts w:ascii="Arial" w:hAnsi="Arial"/>
          <w:b w:val="0"/>
          <w:i w:val="0"/>
          <w:color w:val="12304A"/>
          <w:sz w:val="20"/>
        </w:rPr>
        <w:t xml:space="preserve"> Líquido não é sinônimo de bexiga; encontre a parede e prove em dois planos.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555555"/>
          <w:sz w:val="18"/>
        </w:rPr>
        <w:t>DNA do raciocínio:</w:t>
      </w:r>
      <w:r>
        <w:rPr>
          <w:rFonts w:ascii="Arial" w:hAnsi="Arial"/>
          <w:b w:val="0"/>
          <w:i w:val="0"/>
          <w:color w:val="555555"/>
          <w:sz w:val="18"/>
        </w:rPr>
        <w:t xml:space="preserve"> VE visual e equipamento  QT quantitativo  SG segurança  PR priorização.</w:t>
      </w:r>
    </w:p>
    <w:p>
      <w:r>
        <w:br w:type="page"/>
      </w:r>
    </w:p>
    <w:p>
      <w:pPr>
        <w:pStyle w:val="Heading2"/>
        <w:keepNext/>
        <w:pageBreakBefore w:val="0"/>
      </w:pPr>
      <w:r>
        <w:t>Questão 5. Bexiga distendida apesar de Foley com baixo débito urinário deve levar primeiro a qual raciocínio?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2304A"/>
          <w:sz w:val="22"/>
        </w:rPr>
        <w:t xml:space="preserve">Resposta: </w:t>
      </w:r>
      <w:sdt>
        <w:sdtPr>
          <w:tag w:val="QUESTAO_5"/>
          <w:alias w:val="QUESTAO_5"/>
          <w:text/>
        </w:sdtPr>
        <w:sdtContent>
          <w:r>
            <w:rPr>
              <w:rFonts w:ascii="Arial" w:hAnsi="Arial"/>
              <w:b w:val="0"/>
              <w:i w:val="0"/>
              <w:color w:val="12304A"/>
              <w:sz w:val="22"/>
            </w:rPr>
            <w:t>{{QUESTAO_5}}</w:t>
          </w:r>
        </w:sdtContent>
      </w:sdt>
      <w:r>
        <w:rPr>
          <w:rFonts w:ascii="Arial" w:hAnsi="Arial"/>
          <w:b w:val="0"/>
          <w:i w:val="0"/>
          <w:color w:val="12304A"/>
          <w:sz w:val="22"/>
        </w:rPr>
        <w:t xml:space="preserve">  Confiança de 1 a 5: </w:t>
      </w:r>
      <w:sdt>
        <w:sdtPr>
          <w:tag w:val="QCONF_5"/>
          <w:alias w:val="QCONF_5"/>
          <w:text/>
        </w:sdtPr>
        <w:sdtContent>
          <w:r>
            <w:rPr>
              <w:rFonts w:ascii="Arial" w:hAnsi="Arial"/>
              <w:b w:val="0"/>
              <w:i w:val="0"/>
              <w:color w:val="12304A"/>
              <w:sz w:val="22"/>
            </w:rPr>
            <w:t>{{QCONF_5}}</w:t>
          </w:r>
        </w:sdtContent>
      </w:sdt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>A A sonda obrigatoriamente está correta porque o balão aparece.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>B Oligúria sempre é renal e a bexiga pode ser ignorada.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>C Há provável falha de drenagem; revisar tubo, clamp, bolsa, sedimento, coágulo e posição funcional.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>D Retirar a sonda sem avaliar risco ou protocolo.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237A57"/>
          <w:sz w:val="22"/>
        </w:rPr>
        <w:t>Gabarito:</w:t>
      </w:r>
      <w:r>
        <w:rPr>
          <w:rFonts w:ascii="Arial" w:hAnsi="Arial"/>
          <w:b w:val="0"/>
          <w:i w:val="0"/>
          <w:color w:val="237A57"/>
          <w:sz w:val="22"/>
        </w:rPr>
        <w:t xml:space="preserve"> C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000000"/>
          <w:sz w:val="20"/>
        </w:rPr>
        <w:t>Raciocínio clínico:</w:t>
      </w:r>
      <w:r>
        <w:rPr>
          <w:rFonts w:ascii="Arial" w:hAnsi="Arial"/>
          <w:b w:val="0"/>
          <w:i w:val="0"/>
          <w:color w:val="000000"/>
          <w:sz w:val="20"/>
        </w:rPr>
        <w:t xml:space="preserve"> Uma bexiga cheia com cateter deve funcionar como alarme de obstrução ou mau funcionamento do sistema.</w:t>
      </w:r>
    </w:p>
    <w:p>
      <w:pPr>
        <w:spacing w:before="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A.</w:t>
      </w:r>
      <w:r>
        <w:rPr>
          <w:rFonts w:ascii="Arial" w:hAnsi="Arial"/>
          <w:b w:val="0"/>
          <w:i w:val="0"/>
          <w:color w:val="000000"/>
          <w:sz w:val="19"/>
        </w:rPr>
        <w:t xml:space="preserve"> Incorreta. O balão intravesical não garante patência do lúmen ou do sistema.</w:t>
      </w:r>
    </w:p>
    <w:p>
      <w:pPr>
        <w:spacing w:before="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B.</w:t>
      </w:r>
      <w:r>
        <w:rPr>
          <w:rFonts w:ascii="Arial" w:hAnsi="Arial"/>
          <w:b w:val="0"/>
          <w:i w:val="0"/>
          <w:color w:val="000000"/>
          <w:sz w:val="19"/>
        </w:rPr>
        <w:t xml:space="preserve"> Incorreta. Distensão vesical é dado direto contra essa conclusão precoce.</w:t>
      </w:r>
    </w:p>
    <w:p>
      <w:pPr>
        <w:spacing w:before="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C.</w:t>
      </w:r>
      <w:r>
        <w:rPr>
          <w:rFonts w:ascii="Arial" w:hAnsi="Arial"/>
          <w:b w:val="0"/>
          <w:i w:val="0"/>
          <w:color w:val="000000"/>
          <w:sz w:val="19"/>
        </w:rPr>
        <w:t xml:space="preserve"> Correta. A revisão sistemática do circuito é a primeira etapa operacional.</w:t>
      </w:r>
    </w:p>
    <w:p>
      <w:pPr>
        <w:spacing w:before="0" w:after="40" w:line="276" w:lineRule="auto"/>
      </w:pPr>
      <w:r>
        <w:rPr>
          <w:rFonts w:ascii="Arial" w:hAnsi="Arial"/>
          <w:b/>
          <w:i w:val="0"/>
          <w:color w:val="000000"/>
          <w:sz w:val="19"/>
        </w:rPr>
        <w:t>D.</w:t>
      </w:r>
      <w:r>
        <w:rPr>
          <w:rFonts w:ascii="Arial" w:hAnsi="Arial"/>
          <w:b w:val="0"/>
          <w:i w:val="0"/>
          <w:color w:val="000000"/>
          <w:sz w:val="19"/>
        </w:rPr>
        <w:t xml:space="preserve"> Incorreta. Manipulação deve respeitar contraindicações, indicação e técnica institucional.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2304A"/>
          <w:sz w:val="20"/>
        </w:rPr>
        <w:t>Regra de ouro:</w:t>
      </w:r>
      <w:r>
        <w:rPr>
          <w:rFonts w:ascii="Arial" w:hAnsi="Arial"/>
          <w:b w:val="0"/>
          <w:i w:val="0"/>
          <w:color w:val="12304A"/>
          <w:sz w:val="20"/>
        </w:rPr>
        <w:t xml:space="preserve"> Foley presente não significa Foley funcionante.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555555"/>
          <w:sz w:val="18"/>
        </w:rPr>
        <w:t>DNA do raciocínio:</w:t>
      </w:r>
      <w:r>
        <w:rPr>
          <w:rFonts w:ascii="Arial" w:hAnsi="Arial"/>
          <w:b w:val="0"/>
          <w:i w:val="0"/>
          <w:color w:val="555555"/>
          <w:sz w:val="18"/>
        </w:rPr>
        <w:t xml:space="preserve"> VE visual e equipamento  QT quantitativo  SG segurança  PR priorização.</w:t>
      </w:r>
    </w:p>
    <w:p>
      <w:r>
        <w:br w:type="page"/>
      </w:r>
    </w:p>
    <w:p>
      <w:pPr>
        <w:pStyle w:val="Heading1"/>
        <w:keepNext/>
        <w:pageBreakBefore w:val="0"/>
      </w:pPr>
      <w:r>
        <w:t>12 Flashcards e Memorex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3528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Pergunta</w:t>
            </w:r>
          </w:p>
        </w:tc>
        <w:tc>
          <w:tcPr>
            <w:tcW w:type="dxa" w:w="6552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Resposta de alta retenção</w:t>
            </w:r>
          </w:p>
        </w:tc>
      </w:tr>
      <w:tr>
        <w:tc>
          <w:tcPr>
            <w:tcW w:type="dxa" w:w="352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Onde iniciar?</w:t>
            </w:r>
          </w:p>
        </w:tc>
        <w:tc>
          <w:tcPr>
            <w:tcW w:type="dxa" w:w="655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Linha média suprapúbica, logo acima da sínfise púbica.</w:t>
            </w:r>
          </w:p>
        </w:tc>
      </w:tr>
      <w:tr>
        <w:tc>
          <w:tcPr>
            <w:tcW w:type="dxa" w:w="3528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Qual probe?</w:t>
            </w:r>
          </w:p>
        </w:tc>
        <w:tc>
          <w:tcPr>
            <w:tcW w:type="dxa" w:w="655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Convexo de 2 a 5 MHz; phased array é alternativa.</w:t>
            </w:r>
          </w:p>
        </w:tc>
      </w:tr>
      <w:tr>
        <w:tc>
          <w:tcPr>
            <w:tcW w:type="dxa" w:w="352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Marcador no transversal?</w:t>
            </w:r>
          </w:p>
        </w:tc>
        <w:tc>
          <w:tcPr>
            <w:tcW w:type="dxa" w:w="655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Para a direita do paciente, conforme a convenção geral adotada.</w:t>
            </w:r>
          </w:p>
        </w:tc>
      </w:tr>
      <w:tr>
        <w:tc>
          <w:tcPr>
            <w:tcW w:type="dxa" w:w="3528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Marcador no longitudinal?</w:t>
            </w:r>
          </w:p>
        </w:tc>
        <w:tc>
          <w:tcPr>
            <w:tcW w:type="dxa" w:w="655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Para a cabeça do paciente.</w:t>
            </w:r>
          </w:p>
        </w:tc>
      </w:tr>
      <w:tr>
        <w:tc>
          <w:tcPr>
            <w:tcW w:type="dxa" w:w="352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Urina simples?</w:t>
            </w:r>
          </w:p>
        </w:tc>
        <w:tc>
          <w:tcPr>
            <w:tcW w:type="dxa" w:w="655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Anecoica, homogênea e com realce posterior.</w:t>
            </w:r>
          </w:p>
        </w:tc>
      </w:tr>
      <w:tr>
        <w:tc>
          <w:tcPr>
            <w:tcW w:type="dxa" w:w="3528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Fórmula do volume?</w:t>
            </w:r>
          </w:p>
        </w:tc>
        <w:tc>
          <w:tcPr>
            <w:tcW w:type="dxa" w:w="655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Largura × AP × comprimento × 0,52.</w:t>
            </w:r>
          </w:p>
        </w:tc>
      </w:tr>
      <w:tr>
        <w:tc>
          <w:tcPr>
            <w:tcW w:type="dxa" w:w="352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Como medir?</w:t>
            </w:r>
          </w:p>
        </w:tc>
        <w:tc>
          <w:tcPr>
            <w:tcW w:type="dxa" w:w="655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Borda interna a borda interna nos maiores eixos ortogonais.</w:t>
            </w:r>
          </w:p>
        </w:tc>
      </w:tr>
      <w:tr>
        <w:tc>
          <w:tcPr>
            <w:tcW w:type="dxa" w:w="3528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Coágulo?</w:t>
            </w:r>
          </w:p>
        </w:tc>
        <w:tc>
          <w:tcPr>
            <w:tcW w:type="dxa" w:w="655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Móvel, avascular e geralmente sem sombra.</w:t>
            </w:r>
          </w:p>
        </w:tc>
      </w:tr>
      <w:tr>
        <w:tc>
          <w:tcPr>
            <w:tcW w:type="dxa" w:w="352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Cálculo?</w:t>
            </w:r>
          </w:p>
        </w:tc>
        <w:tc>
          <w:tcPr>
            <w:tcW w:type="dxa" w:w="655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Hiperecogênico, móvel ou dependente, com sombra posterior.</w:t>
            </w:r>
          </w:p>
        </w:tc>
      </w:tr>
      <w:tr>
        <w:tc>
          <w:tcPr>
            <w:tcW w:type="dxa" w:w="3528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Tumor?</w:t>
            </w:r>
          </w:p>
        </w:tc>
        <w:tc>
          <w:tcPr>
            <w:tcW w:type="dxa" w:w="655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Aderido à parede, não móvel e frequentemente vascularizado.</w:t>
            </w:r>
          </w:p>
        </w:tc>
      </w:tr>
      <w:tr>
        <w:tc>
          <w:tcPr>
            <w:tcW w:type="dxa" w:w="352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Foley com bexiga cheia?</w:t>
            </w:r>
          </w:p>
        </w:tc>
        <w:tc>
          <w:tcPr>
            <w:tcW w:type="dxa" w:w="655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Pensar em obstrução, dobra, clamp, coágulo ou mau posicionamento funcional.</w:t>
            </w:r>
          </w:p>
        </w:tc>
      </w:tr>
      <w:tr>
        <w:tc>
          <w:tcPr>
            <w:tcW w:type="dxa" w:w="3528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Ascite e scanner alto?</w:t>
            </w:r>
          </w:p>
        </w:tc>
        <w:tc>
          <w:tcPr>
            <w:tcW w:type="dxa" w:w="655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Confirmar diretamente a bexiga no B-mode antes de sondar.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Memorex final</w:t>
      </w:r>
    </w:p>
    <w:p>
      <w:pPr>
        <w:spacing w:before="120" w:after="200" w:line="276" w:lineRule="auto"/>
        <w:jc w:val="center"/>
      </w:pPr>
      <w:r>
        <w:rPr>
          <w:rFonts w:ascii="Arial" w:hAnsi="Arial"/>
          <w:b/>
          <w:i w:val="0"/>
          <w:color w:val="12304A"/>
          <w:sz w:val="32"/>
        </w:rPr>
        <w:t>PÚBIS</w:t>
      </w:r>
      <w:r>
        <w:rPr>
          <w:rFonts w:ascii="Arial" w:hAnsi="Arial"/>
          <w:b w:val="0"/>
          <w:i w:val="0"/>
          <w:color w:val="12304A"/>
          <w:sz w:val="32"/>
        </w:rPr>
        <w:t xml:space="preserve"> → PRETO → 2 PLANOS → 3 EIXOS → DECISÃO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Púbis: comece baixo e central.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Preto: confirme líquido anecoico e anatomia correta.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Dois planos: transversal e longitudinal completos.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Três eixos: largura, AP e comprimento quando volume é necessário.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Decisão: grande ou pequena; conteúdo simples ou anormal; drenagem funciona ou não.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12304A"/>
          <w:sz w:val="22"/>
        </w:rPr>
        <w:t>Frase de memória:</w:t>
      </w:r>
      <w:r>
        <w:rPr>
          <w:rFonts w:ascii="Arial" w:hAnsi="Arial"/>
          <w:b w:val="0"/>
          <w:i w:val="0"/>
          <w:color w:val="12304A"/>
          <w:sz w:val="22"/>
        </w:rPr>
        <w:t xml:space="preserve"> a bexiga é o tanque preto atrás do púbis; dois planos provam que é o tanque e três eixos dizem quanto há dentro.</w:t>
      </w:r>
    </w:p>
    <w:p>
      <w:pPr>
        <w:pStyle w:val="Heading2"/>
        <w:keepNext/>
        <w:pageBreakBefore w:val="0"/>
      </w:pPr>
      <w:r>
        <w:t>Principais erros a evitar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Aceitar volume automático alto em paciente com ascite sem confirmar no B-mode.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Medir corte oblíquo, borda externa ou dimensões de planos diferentes.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Chamar todo conteúdo ecogênico de infecção ou todo material intravesical de coágulo.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Concluir que a Foley funciona apenas porque o balão está visível.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Diagnosticar cistite pela parede espessada de uma bexiga vazia.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Ignorar hematuria, massa fixa, gás parietal, hidronefrose ou lesão renal aguda.</w:t>
      </w:r>
    </w:p>
    <w:p>
      <w:pPr>
        <w:pStyle w:val="Heading2"/>
        <w:keepNext/>
        <w:pageBreakBefore w:val="0"/>
      </w:pPr>
      <w:r>
        <w:t>Revisão espaçada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080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Momento</w:t>
            </w:r>
          </w:p>
        </w:tc>
        <w:tc>
          <w:tcPr>
            <w:tcW w:type="dxa" w:w="7848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Tarefa</w:t>
            </w:r>
          </w:p>
        </w:tc>
        <w:tc>
          <w:tcPr>
            <w:tcW w:type="dxa" w:w="1152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Concluído</w:t>
            </w:r>
          </w:p>
        </w:tc>
      </w:tr>
      <w:tr>
        <w:tc>
          <w:tcPr>
            <w:tcW w:type="dxa" w:w="108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D0</w:t>
            </w:r>
          </w:p>
        </w:tc>
        <w:tc>
          <w:tcPr>
            <w:tcW w:type="dxa" w:w="784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Executar o protocolo em dois planos e explicar a sequência sem consultar.</w:t>
            </w:r>
          </w:p>
        </w:tc>
        <w:tc>
          <w:tcPr>
            <w:tcW w:type="dxa" w:w="115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108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D1</w:t>
            </w:r>
          </w:p>
        </w:tc>
        <w:tc>
          <w:tcPr>
            <w:tcW w:type="dxa" w:w="7848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Rever Figuras 2, 3, 8 e 9; repetir a fórmula.</w:t>
            </w:r>
          </w:p>
        </w:tc>
        <w:tc>
          <w:tcPr>
            <w:tcW w:type="dxa" w:w="115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108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D7</w:t>
            </w:r>
          </w:p>
        </w:tc>
        <w:tc>
          <w:tcPr>
            <w:tcW w:type="dxa" w:w="784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Responder novamente às cinco questões e comparar confiança.</w:t>
            </w:r>
          </w:p>
        </w:tc>
        <w:tc>
          <w:tcPr>
            <w:tcW w:type="dxa" w:w="115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108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D14</w:t>
            </w:r>
          </w:p>
        </w:tc>
        <w:tc>
          <w:tcPr>
            <w:tcW w:type="dxa" w:w="7848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Interpretar três exames reais com conteúdo normal e anormal.</w:t>
            </w:r>
          </w:p>
        </w:tc>
        <w:tc>
          <w:tcPr>
            <w:tcW w:type="dxa" w:w="1152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108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D30</w:t>
            </w:r>
          </w:p>
        </w:tc>
        <w:tc>
          <w:tcPr>
            <w:tcW w:type="dxa" w:w="7848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Teach-back: ensinar o protocolo em cinco minutos e revisar erros.</w:t>
            </w:r>
          </w:p>
        </w:tc>
        <w:tc>
          <w:tcPr>
            <w:tcW w:type="dxa" w:w="115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☐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pageBreakBefore w:val="0"/>
      </w:pPr>
      <w:r>
        <w:t>13 SCALTS do material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Dimensão</w:t>
            </w:r>
          </w:p>
        </w:tc>
        <w:tc>
          <w:tcPr>
            <w:tcW w:type="dxa" w:w="8280"/>
            <w:shd w:fill="12304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Estado desta versão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Situação</w:t>
            </w:r>
          </w:p>
        </w:tc>
        <w:tc>
          <w:tcPr>
            <w:tcW w:type="dxa" w:w="828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Manual Turbo TEMI de POCUS vesical concluído na versão 1.0.</w:t>
            </w:r>
          </w:p>
        </w:tc>
      </w:tr>
      <w:tr>
        <w:tc>
          <w:tcPr>
            <w:tcW w:type="dxa" w:w="180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Cobertura</w:t>
            </w:r>
          </w:p>
        </w:tc>
        <w:tc>
          <w:tcPr>
            <w:tcW w:type="dxa" w:w="828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Aquisição, anatomia normal, volume, resíduo, conteúdo, Foley, armadilhas, decisão, registro e revisão.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Aprendizagem</w:t>
            </w:r>
          </w:p>
        </w:tc>
        <w:tc>
          <w:tcPr>
            <w:tcW w:type="dxa" w:w="828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Quatro casos, cinco questões comentadas e doze flashcards; desempenho do estudante ainda não avaliado.</w:t>
            </w:r>
          </w:p>
        </w:tc>
      </w:tr>
      <w:tr>
        <w:tc>
          <w:tcPr>
            <w:tcW w:type="dxa" w:w="180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Lacunas</w:t>
            </w:r>
          </w:p>
        </w:tc>
        <w:tc>
          <w:tcPr>
            <w:tcW w:type="dxa" w:w="828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Competência manual e interpretação visual precisam ser confirmadas em prática supervisionada com imagens reais.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Trajetória</w:t>
            </w:r>
          </w:p>
        </w:tc>
        <w:tc>
          <w:tcPr>
            <w:tcW w:type="dxa" w:w="828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Revisões propostas em D0, D1, D7, D14 e D30.</w:t>
            </w:r>
          </w:p>
        </w:tc>
      </w:tr>
      <w:tr>
        <w:tc>
          <w:tcPr>
            <w:tcW w:type="dxa" w:w="180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Saídas</w:t>
            </w:r>
          </w:p>
        </w:tc>
        <w:tc>
          <w:tcPr>
            <w:tcW w:type="dxa" w:w="8280"/>
            <w:shd w:fill="EAF4F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Um documento Word, dez imagens widescreen integradas, checklist, modelo de registro e Memorex.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Critério de domínio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Adquirir ambos os planos sem orientação externa.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Identificar marcador, paredes, conteúdo e estruturas confundidoras.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Calcular volume com unidades e medidas internas corretas.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Resolver caso de Foley obstruída e caso com ascite sem sondagem desnecessária.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Explicar limites do POCUS e quando solicitar imagem formal ou urologia.</w:t>
      </w:r>
    </w:p>
    <w:p>
      <w:r>
        <w:br w:type="page"/>
      </w:r>
    </w:p>
    <w:p>
      <w:pPr>
        <w:pStyle w:val="Heading1"/>
        <w:keepNext/>
        <w:pageBreakBefore w:val="0"/>
      </w:pPr>
      <w:r>
        <w:t>Referências</w:t>
      </w:r>
    </w:p>
    <w:p>
      <w:pPr>
        <w:spacing w:after="120"/>
        <w:ind w:left="216" w:hanging="216"/>
      </w:pPr>
      <w:r>
        <w:rPr>
          <w:rFonts w:ascii="Arial" w:hAnsi="Arial"/>
          <w:b w:val="0"/>
          <w:i w:val="0"/>
          <w:color w:val="000000"/>
          <w:sz w:val="19"/>
        </w:rPr>
        <w:t xml:space="preserve">1. Roy-Burman P, Zhang K, Smallwood N. Point-of-Care Ultrasound of the Urinary Tract. Med Clin North Am. 2025;109:47–62. DOI 10.1016/j.mcna.2024.07.007. Revisão atual de aquisição, sonoanatomia e armadilhas. </w:t>
      </w:r>
      <w:hyperlink r:id="rId20">
        <w:r>
          <w:rPr>
            <w:color w:val="0B6FA4"/>
            <w:u w:val="single"/>
            <w:rFonts w:ascii="Arial" w:hAnsi="Arial"/>
            <w:sz w:val="20"/>
          </w:rPr>
          <w:t>Acesso direto</w:t>
        </w:r>
      </w:hyperlink>
    </w:p>
    <w:p>
      <w:pPr>
        <w:spacing w:after="120"/>
        <w:ind w:left="216" w:hanging="216"/>
      </w:pPr>
      <w:r>
        <w:rPr>
          <w:rFonts w:ascii="Arial" w:hAnsi="Arial"/>
          <w:b w:val="0"/>
          <w:i w:val="0"/>
          <w:color w:val="000000"/>
          <w:sz w:val="19"/>
        </w:rPr>
        <w:t xml:space="preserve">2. American Institute of Ultrasound in Medicine. AIUM Practice Parameter for the Performance of Point-of-Care Ultrasound Examinations. J Ultrasound Med. 2019;38:833–849. DOI 10.1002/jum.14972. Sustenta indicações, dois planos, limitações e documentação. </w:t>
      </w:r>
      <w:hyperlink r:id="rId21">
        <w:r>
          <w:rPr>
            <w:color w:val="0B6FA4"/>
            <w:u w:val="single"/>
            <w:rFonts w:ascii="Arial" w:hAnsi="Arial"/>
            <w:sz w:val="20"/>
          </w:rPr>
          <w:t>Acesso direto</w:t>
        </w:r>
      </w:hyperlink>
    </w:p>
    <w:p>
      <w:pPr>
        <w:spacing w:after="120"/>
        <w:ind w:left="216" w:hanging="216"/>
      </w:pPr>
      <w:r>
        <w:rPr>
          <w:rFonts w:ascii="Arial" w:hAnsi="Arial"/>
          <w:b w:val="0"/>
          <w:i w:val="0"/>
          <w:color w:val="000000"/>
          <w:sz w:val="19"/>
        </w:rPr>
        <w:t xml:space="preserve">3. American College of Emergency Physicians. POCUS for Bladder Assessment and Volume. 25 maio 2022. Sustenta posicionamento, orientação e fórmula de volume. </w:t>
      </w:r>
      <w:hyperlink r:id="rId22">
        <w:r>
          <w:rPr>
            <w:color w:val="0B6FA4"/>
            <w:u w:val="single"/>
            <w:rFonts w:ascii="Arial" w:hAnsi="Arial"/>
            <w:sz w:val="20"/>
          </w:rPr>
          <w:t>Acesso direto</w:t>
        </w:r>
      </w:hyperlink>
    </w:p>
    <w:p>
      <w:pPr>
        <w:spacing w:after="120"/>
        <w:ind w:left="216" w:hanging="216"/>
      </w:pPr>
      <w:r>
        <w:rPr>
          <w:rFonts w:ascii="Arial" w:hAnsi="Arial"/>
          <w:b w:val="0"/>
          <w:i w:val="0"/>
          <w:color w:val="000000"/>
          <w:sz w:val="19"/>
        </w:rPr>
        <w:t xml:space="preserve">4. Stoffel JT et al. AUA White Paper on Nonneurogenic Chronic Urinary Retention. J Urol. 2017;198:153–160. DOI 10.1016/j.juro.2017.01.075. Sustenta definição de retenção crônica com resíduo superior a 300 mL persistente. </w:t>
      </w:r>
      <w:hyperlink r:id="rId23">
        <w:r>
          <w:rPr>
            <w:color w:val="0B6FA4"/>
            <w:u w:val="single"/>
            <w:rFonts w:ascii="Arial" w:hAnsi="Arial"/>
            <w:sz w:val="20"/>
          </w:rPr>
          <w:t>Acesso direto</w:t>
        </w:r>
      </w:hyperlink>
    </w:p>
    <w:p>
      <w:pPr>
        <w:spacing w:after="120"/>
        <w:ind w:left="216" w:hanging="216"/>
      </w:pPr>
      <w:r>
        <w:rPr>
          <w:rFonts w:ascii="Arial" w:hAnsi="Arial"/>
          <w:b w:val="0"/>
          <w:i w:val="0"/>
          <w:color w:val="000000"/>
          <w:sz w:val="19"/>
        </w:rPr>
        <w:t xml:space="preserve">5. Schallom M et al. Accuracy of Measuring Bladder Volumes With Ultrasound and Bladder Scanning. Am J Crit Care. 2020;29:458–467. DOI 10.4037/ajcc2020741. Sustenta acurácia e alerta para líquido abdominal como confundidor na UTI. </w:t>
      </w:r>
      <w:hyperlink r:id="rId24">
        <w:r>
          <w:rPr>
            <w:color w:val="0B6FA4"/>
            <w:u w:val="single"/>
            <w:rFonts w:ascii="Arial" w:hAnsi="Arial"/>
            <w:sz w:val="20"/>
          </w:rPr>
          <w:t>Acesso direto</w:t>
        </w:r>
      </w:hyperlink>
    </w:p>
    <w:p>
      <w:pPr>
        <w:spacing w:after="120"/>
        <w:ind w:left="216" w:hanging="216"/>
      </w:pPr>
      <w:r>
        <w:rPr>
          <w:rFonts w:ascii="Arial" w:hAnsi="Arial"/>
          <w:b w:val="0"/>
          <w:i w:val="0"/>
          <w:color w:val="000000"/>
          <w:sz w:val="19"/>
        </w:rPr>
        <w:t xml:space="preserve">6. Mani NB et al. Point-of-care ultrasound in clinical assessment of acute urological emergencies. Trends Urol Mens Health. 2024. DOI 10.1002/tre.965. Revisão de aplicações em urgências urológicas. </w:t>
      </w:r>
      <w:hyperlink r:id="rId25">
        <w:r>
          <w:rPr>
            <w:color w:val="0B6FA4"/>
            <w:u w:val="single"/>
            <w:rFonts w:ascii="Arial" w:hAnsi="Arial"/>
            <w:sz w:val="20"/>
          </w:rPr>
          <w:t>Acesso direto</w:t>
        </w:r>
      </w:hyperlink>
    </w:p>
    <w:p>
      <w:pPr>
        <w:spacing w:after="120"/>
        <w:ind w:left="216" w:hanging="216"/>
      </w:pPr>
      <w:r>
        <w:rPr>
          <w:rFonts w:ascii="Arial" w:hAnsi="Arial"/>
          <w:b w:val="0"/>
          <w:i w:val="0"/>
          <w:color w:val="000000"/>
          <w:sz w:val="19"/>
        </w:rPr>
        <w:t xml:space="preserve">7. Smereczyński A, Szopiński T, Gołąbek T, Ostasz O, Bojko S. Sonography of tumors and tumor-like lesions that mimic carcinoma of the urinary bladder. J Ultrason. 2014;14:36–48. DOI 10.15557/JoU.2014.0004. Sustenta diferenciação entre coágulos, cálculos e pseudomassas. </w:t>
      </w:r>
      <w:hyperlink r:id="rId26">
        <w:r>
          <w:rPr>
            <w:color w:val="0B6FA4"/>
            <w:u w:val="single"/>
            <w:rFonts w:ascii="Arial" w:hAnsi="Arial"/>
            <w:sz w:val="20"/>
          </w:rPr>
          <w:t>Acesso direto</w:t>
        </w:r>
      </w:hyperlink>
    </w:p>
    <w:p>
      <w:pPr>
        <w:spacing w:after="120"/>
        <w:ind w:left="216" w:hanging="216"/>
      </w:pPr>
      <w:r>
        <w:rPr>
          <w:rFonts w:ascii="Arial" w:hAnsi="Arial"/>
          <w:b w:val="0"/>
          <w:i w:val="0"/>
          <w:color w:val="000000"/>
          <w:sz w:val="19"/>
        </w:rPr>
        <w:t xml:space="preserve">8. Wentland AL et al. Bladder cancer and its mimics. Abdom Radiol. 2019;44:3827–3842. DOI 10.1007/s00261-019-02276-w. Sustenta avaliação dinâmica e limites na diferenciação de massas. </w:t>
      </w:r>
      <w:hyperlink r:id="rId27">
        <w:r>
          <w:rPr>
            <w:color w:val="0B6FA4"/>
            <w:u w:val="single"/>
            <w:rFonts w:ascii="Arial" w:hAnsi="Arial"/>
            <w:sz w:val="20"/>
          </w:rPr>
          <w:t>Acesso direto</w:t>
        </w:r>
      </w:hyperlink>
    </w:p>
    <w:p>
      <w:pPr>
        <w:pStyle w:val="Heading2"/>
        <w:keepNext/>
        <w:pageBreakBefore w:val="0"/>
      </w:pPr>
      <w:r>
        <w:t>Em 30 segundos no plantão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Probe convexo baixo no púbis. Transversal com marcador à direita e inclinação caudal. Rode 90 graus para longitudinal. Bexiga normal é preta e tem realce posterior. Se grande, pense em retenção ou Foley sem funcionar. Se pequena com oligúria, procure causa renal ou hemodinâmica. Conteúdo anormal exige mobilidade, sombra e Doppler. Volume usa três eixos internos vezes 0,52. Incerteza, massa, gás, hematuria ou complicação pedem investigação formal.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Arial" w:hAnsi="Arial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hyperlink" Target="https://doi.org/10.1016/j.mcna.2024.07.007" TargetMode="External"/><Relationship Id="rId21" Type="http://schemas.openxmlformats.org/officeDocument/2006/relationships/hyperlink" Target="https://doi.org/10.1002/jum.14972" TargetMode="External"/><Relationship Id="rId22" Type="http://schemas.openxmlformats.org/officeDocument/2006/relationships/hyperlink" Target="https://www.acep.org/emultrasound/newsroom/may-2022/pocus-for-bladder-assessment-and-volume-technique-tips-and-role-in-system-wide-use" TargetMode="External"/><Relationship Id="rId23" Type="http://schemas.openxmlformats.org/officeDocument/2006/relationships/hyperlink" Target="https://doi.org/10.1016/j.juro.2017.01.075" TargetMode="External"/><Relationship Id="rId24" Type="http://schemas.openxmlformats.org/officeDocument/2006/relationships/hyperlink" Target="https://doi.org/10.4037/ajcc2020741" TargetMode="External"/><Relationship Id="rId25" Type="http://schemas.openxmlformats.org/officeDocument/2006/relationships/hyperlink" Target="https://doi.org/10.1002/tre.965" TargetMode="External"/><Relationship Id="rId26" Type="http://schemas.openxmlformats.org/officeDocument/2006/relationships/hyperlink" Target="https://doi.org/10.15557/JoU.2014.0004" TargetMode="External"/><Relationship Id="rId27" Type="http://schemas.openxmlformats.org/officeDocument/2006/relationships/hyperlink" Target="https://doi.org/10.1007/s00261-019-02276-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POCUS da Bexiga Avaliação e Conteúdo Vesical</dc:title>
  <dc:subject>Manual prático interativo Turbo TEMI</dc:subject>
  <dc:creator>Aldenir Rocha de Oliveira Filho</dc:creator>
  <cp:keywords>POCUS; bexiga; ultrassom; volume vesical; retenção urinária; terapia intensiva; Turbo TEMI</cp:keywords>
  <dc:description>Material educacional revisado em 11 de setembro de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