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40"/>
        </w:rPr>
        <w:t>Anemia funcional de ferro na UTI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Guia educacional de apoio ao estudo da anemia no paciente crítico.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Style w:val="SubtitleCustom"/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>Abordagem diagnóstica, interpretação laboratorial, indicação de ferro EV, segurança e prescrição prática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 xml:space="preserve">Original de 08/06/2026 </w:t>
        <w:br/>
        <w:t xml:space="preserve">• Foco: paciente crítico adulto </w:t>
        <w:br/>
        <w:t>• Formato: bolso de plantão / TDAH-friendly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Mensagem nuclear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Na UTI, ferritina normal ou elevada NÃO exclui carência funcional de ferro, pois a ferritina sobe como proteína de fase aguda.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O padrão clássico é: Hb baixa + ferro sérico baixo + TSAT baixa (&lt;20%, frequentemente &lt;10%) + ferritina normal/alta + transferrina baixa/normal.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Ferro EV pode favorecer a recuperação hematológica em pacientes selecionados, mas não é tratamento de rotina de toda anemia inflamatória da UTI nem substitui transfusão quando há necessidade imediata de aumentar a capacidade de transporte de oxigênio. No IRONMAN, não houve redução estatisticamente significativa das transfusões.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Antes de prescrever ferro EV, investigar sangramento ativo, hemólise, infecção/bacteremia descontrolada, deficiência de B12/folato, DRC, doença hepática e neoplasia.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9075"/>
      </w:tblGrid>
      <w:tr>
        <w:trPr>
          <w:cantSplit/>
          <w:tblHeader/>
          <w:tblHeader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r>
              <w:rPr>
                <w:rFonts w:ascii="Arial" w:hAnsi="Arial"/>
                <w:b/>
                <w:sz w:val="20"/>
              </w:rPr>
              <w:t>Tópico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Conceito e fisiopatologia da carência funcional de ferro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Interpretação laboratorial: ferritina, TSAT, ferro sérico e transferrina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Algoritmo diagnóstico da anemia no paciente crítico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Indicação de ferro EV: quando considerar e quando evitar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Prescrição prática: sacarato férrico EV, diluição, tempo e monitorização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6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Transfusão, folato/B12, DRC e integração terapêutica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7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t>Discussão didática, checklist e consulta rápida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8</w:t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Referências essenciais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Conceito: o que é carência funcional de ferro?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A carência funcional de ferro é uma situação em que há ferro corporal estocado, mas ele fica pouco disponível para a medula óssea. No paciente crítico, inflamação sistêmica, infecção, sepse, trauma, pós-operatório, DRC e múltiplas transfusões/iatrogenias podem aumentar hepcidina e reduzir a liberação de ferro pelos macrófagos e a absorção intestinal. O resultado é eritropoiese limitada apesar de ferritina aparentemente suficiente.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Fisiopatologia em 5 linhas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Inflamação → IL-6/hepcidina ↑.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Hepcidina bloqueia ferroportina → menos ferro sai de enterócitos e macrófagos.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Ferro sérico e TSAT caem, mesmo com ferritina preservada ou alta.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Medula recebe pouco ferro → resposta reticulocitária inadequada para o grau de anemia.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Ferro VO pode ter absorção limitada com inflamação intensa. A via EV contorna a absorção intestinal, mas não elimina o bloqueio inflamatório da eritropoiese: a decisão exige indicação específica.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Como interpretar os exames de ferro na UTI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 w:val="true"/>
          <w:cantSplit/>
          <w:tblHeader/>
          <w:tblHeader/>
        </w:trPr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Marcador</w:t>
            </w:r>
          </w:p>
        </w:tc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Padrão esperado</w:t>
            </w:r>
          </w:p>
        </w:tc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interpretar no paciente crítico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Ferritina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Normal/alta; às vezes 100–300 ng/mL ou maior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Ferritina é estoque + fase aguda. Se alta, não exclui deficiência funcional; se muito baixa, confirma deficiência absoluta.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Ferro sérico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Baixo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Pouco específico isoladamente, mas reforça restrição de ferro se TSAT baixa.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Transferrina / TIBC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Baixa ou normal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Transferrina cai na inflamação e na desnutrição. Na ferropriva pura costuma subir.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TSAT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&lt;20%; muitas vezes &lt;10%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É um dos marcadores mais úteis para ferro disponível à eritropoiese. TSAT baixa e ferritina devem ser interpretadas em conjunto; nenhuma, isoladamente, confirma benefício do ferro EV.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VCM/RDW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Normocítico, às vezes microcítico; macrocitose e RDW alto sugerem causas associadas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Anemia mista é comum: inflamação + ferro funcional + folato/B12 + sangramento/hemólise.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Reticulócitos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Resposta inadequada para Hb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Reticulocitose absoluta pode parecer presente, mas precisa ser corrigida pelo grau de anemia e contexto.</w:t>
            </w:r>
          </w:p>
        </w:tc>
      </w:tr>
    </w:tbl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Fórmula útil: TSAT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TSAT (%) = ferro sérico / TIBC × 100.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Preferir TIBC e TSAT informados pelo laboratório. A estimativa TIBC (µg/dL) ≈ transferrina (mg/dL) × 1,25 depende de unidades e método; confirmar o fator utilizado pelo laboratório.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Exemplo didático, se transferrina = 150 mg/dL e ferro = 15 µg/dL: usando o fator 1,25, TIBC ≈ 188 µg/dL e TSAT ≈ 8%. É estimativa compatível com restrição de ferro; confirmar no laboratório.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Algoritmo diagnóstico da anemia no paciente crítico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9075"/>
      </w:tblGrid>
      <w:tr>
        <w:trPr>
          <w:cantSplit/>
        </w:trPr>
        <w:tc>
          <w:tcPr>
            <w:tcW w:type="dxa" w:w="789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9075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  <w:t>Confirmar gravidade e dinâmica</w:t>
            </w:r>
            <w:r>
              <w:rPr>
                <w:rFonts w:ascii="Arial" w:hAnsi="Arial"/>
                <w:b/>
                <w:color w:val="000000"/>
                <w:sz w:val="20"/>
              </w:rPr>
              <w:br/>
              <w:t>Hb atual, queda em 24–72 h, sintomas, sangramento visível, estabilidade hemodinâmica, necessidade de O2/DVA.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9075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  <w:t>Separar 4 grandes mecanismos</w:t>
            </w:r>
            <w:r>
              <w:rPr>
                <w:rFonts w:ascii="Arial" w:hAnsi="Arial"/>
                <w:color w:val="000000"/>
                <w:sz w:val="20"/>
              </w:rPr>
              <w:br/>
              <w:t>Perda sanguínea, hemólise, baixa produção/eritropoiese limitada, hemodiluição/iatrogenia.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9075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Pedir painel mínimo:</w:t>
              <w:br/>
              <w:t>Hemograma com índices, reticulócitos, função renal e pesquisa dirigida de perdas. Conforme hipótese, acrescentar ferritina/TSAT, PCR, B12/folato, função hepática e investigação de hemólise; evitar painel repetitivo sem pergunta clínica.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9075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Excluir hemólise:</w:t>
              <w:br/>
              <w:t>LDH, bilirrubina indireta, haptoglobina, Coombs direto, esfregaço periférico.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9075"/>
            <w:vAlign w:val="cente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  <w:t>Contextualizar inflamação/infecção</w:t>
            </w:r>
            <w:r>
              <w:rPr>
                <w:rFonts w:ascii="Arial" w:hAnsi="Arial"/>
                <w:color w:val="000000"/>
                <w:sz w:val="20"/>
              </w:rPr>
              <w:br/>
              <w:t>Sepse ativa, foco não controlado, bacteremia/fungemia, osteomielite, abscesso, pós-operatório, DRC, câncer.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 w:val="true"/>
          <w:cantSplit/>
          <w:tblHeader/>
          <w:tblHeader/>
        </w:trPr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 de plantão</w:t>
            </w:r>
          </w:p>
        </w:tc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Exames/ações</w:t>
            </w:r>
          </w:p>
        </w:tc>
        <w:tc>
          <w:tcPr>
            <w:tcW w:type="dxa" w:w="3288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se positivo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sangramento ativo ou oculto?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Melena/hematoquezia, aspiração gástrica se indicado, toque retal, urina I, revisão de drenos, queda pressórica, lactato, EDA/colonoscopia conforme cenário.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Controlar fonte, suspender/ajustar anticoagulantes se cabível, transfundir conforme contexto, ferro só como adjuvante depois.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hemólise?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LDH, BI, haptoglobina, Coombs, esquizócitos/esfregaço.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Investigar causa: autoimune, microangiopatia, válvula, drogas, infecção, transfusional.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deficiência nutricional?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B12/folato conforme risco, história alimentar, etilismo, má absorção e medicamentos. Albumina isolada não diagnostica desnutrição na doença crítica.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Repor folato/B12; tratar nutrição e causa.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inflamação/DRC?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PCR/VHS, creatinina/eTFG, urina, albumina, culturas/imagem conforme clínica.</w:t>
            </w:r>
          </w:p>
        </w:tc>
        <w:tc>
          <w:tcPr>
            <w:tcW w:type="dxa" w:w="3288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Pensar em restrição funcional; considerar ferro EV apenas se houver indicação específica e benefício esperado maior que risco.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Quando considerar ferro EV na UTI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Bons candidatos para discutir ferro EV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Anemia persistente com deficiência de ferro absoluta ou mista provável/documentada, após investigar causas e avaliar riscos. TSAT &lt;20% com ferritina elevada indica restrição, mas não é indicação autossuficiente de ferro EV na UTI.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Pacientes com DRC ou em recuperação perioperatória podem ter indicações específicas; seguir a diretriz da doença de base. Longa permanência, desnutrição ou transfusões prévias, isoladamente, não justificam ferro EV.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Ferro VO inviável, mal absorvido, contraindicado por trato gastrointestinal, ou com baixa chance de resposta pela inflamação/hepcidina elevada.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Meta: corrigir deficiência tratável e favorecer recuperação. Um ensaio de 2025 com 100 adultos mostrou melhor recuperação de Hb com bundle de conservação sanguínea e ferro IV; não isolou o efeito de cada componente nem demonstrou benefício definitivo em mortalidade ou função.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Adiar ou evitar ferro EV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Adiar ferro EV em infecção sistêmica ativa, particularmente bacteremia/fungemia ou sepse sem controle. Reavaliar indicação após estabilização e controle do foco.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Reação prévia grave a ferro EV, hipersensibilidade conhecida ou múltiplas alergias graves sem suporte adequado.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Suspeita de sobrecarga de ferro, ferritina muito elevada sem explicação, TSAT alta ou hemocromatose.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Necessidade imediata de elevar Hb: instabilidade, isquemia, hipoxemia grave, sangramento ativo. Nesse cenário, considerar CH conforme avaliação.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Prescrição prática: ferro EV na realidade hospitalar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Exemplo de formulação: sacarato de ferro 20 mg/mL; 5 mL correspondem a 100 mg de ferro elementar. A tabela resume os tempos da bula SUCROFER consultada; não transferir automaticamente esses limites para outra marca. Doses de 300–500 mg exigem checagem do limite por peso e do intervalo permitido; não constituem esquema padrão da UTI.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tblHeader/>
          <w:tblHeader/>
        </w:trPr>
        <w:tc>
          <w:tcPr>
            <w:tcW w:type="dxa" w:w="2466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</w:t>
            </w:r>
          </w:p>
        </w:tc>
        <w:tc>
          <w:tcPr>
            <w:tcW w:type="dxa" w:w="2466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Ampolas</w:t>
            </w:r>
          </w:p>
        </w:tc>
        <w:tc>
          <w:tcPr>
            <w:tcW w:type="dxa" w:w="2466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Diluição sugerida</w:t>
            </w:r>
          </w:p>
        </w:tc>
        <w:tc>
          <w:tcPr>
            <w:tcW w:type="dxa" w:w="2466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Tempo mínimo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100 mg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 ampola de 5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SF 0,9% 100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200 mg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 ampolas = 10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SF 0,9% 200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30 min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300 mg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 ampolas = 15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SF 0,9% 300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400 mg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 ampolas = 20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SF 0,9% 400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150 min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500 mg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ampolas = 25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SF 0,9% 500 mL</w:t>
            </w:r>
          </w:p>
        </w:tc>
        <w:tc>
          <w:tcPr>
            <w:tcW w:type="dxa" w:w="2466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210 min / 3,5 h</w:t>
            </w:r>
          </w:p>
        </w:tc>
      </w:tr>
    </w:tbl>
    <w:p>
      <w:pPr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 xml:space="preserve"> Exemplo de prescrição após confirmar indicação e produto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Sacarato de hidróxido férrico 200 mg EV = 2 ampolas de 100 mg/5 mL.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Diluir em SF 0,9% 200 mL.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Infundir em bomba de infusão em 30 minutos.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Frequência e dose cumulativa: calcular o déficit e conferir os limites da bula do produto; não programar automaticamente 1.000 mg para todo paciente.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Não administrar IM nem misturar com outros fármacos; confirmar diluente, protocolo de primeira dose e observação na bula vigente. Infundir em ambiente com equipe e recursos para tratar hipersensibilidade; manter observação por pelo menos 30 minutos após a dose.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 w:val="true"/>
          <w:cantSplit/>
          <w:tblHeader/>
          <w:tblHeader/>
        </w:trPr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Prescrição textual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Ferro sacarato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Exemplo condicionado à bula: sacarato de ferro 20 mg/mL, 200 mg EV (10 mL), em SF 0,9% até o volume permitido, em pelo menos 30 minutos. Registrar produto, déficit estimado, intervalo e dose cumulativa individualizados.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Monitorização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PA, FC, SpO2, dispneia, rash, dor torácica/lombar, broncoespasmo, dor local/extravasamento; manter observação por 30 min após cada infusão.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Segurança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Suspender imediatamente se reação de hipersensibilidade, hipotensão relevante, broncoespasmo ou dor local intensa/extravasamento.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esquecer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Corrigir folato/B12 se baixos; investigar sangramento/hemólise; reavaliar Hb, ferritina e TSAT após resposta esperada.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Integração com transfusão, folato/B12 e DRC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 w:val="true"/>
          <w:cantSplit/>
          <w:tblHeader/>
          <w:tblHeader/>
        </w:trPr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Situação</w:t>
            </w:r>
          </w:p>
        </w:tc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 &lt;7 g/dL em adulto hospitalizado estável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Em adultos estáveis, considerar estratégia restritiva com limiar usual de 7 g/dL, individualizando. Esse limiar não se aplica automaticamente a hemorragia maciça, isquemia aguda ou todos os contextos cirúrgicos/cardiovasculares.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Sintomas, isquemia aguda, hipoxemia grave ou sangramento relevante, qualquer que seja a Hb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Avaliar transfusão conforme o cenário, sem aguardar queda adicional da Hb. No infarto agudo do miocárdio, a AABB 2025 sugere estratégia mais liberal quando Hb &lt;10 g/dL, recomendação condicional e de baixa certeza.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Sepse/choque séptico estabilizado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Usar limiar restritivo em geral, mas não guiar apenas por Hb. Avaliar isquemia, hipoxemia grave e hemorragia.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Deficiência de folato confirmada ou fortemente suspeita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Quando indicado, ácido fólico 5 mg VO/enteral ao dia é um esquema possível; duração conforme causa e resposta. Excluir ou tratar concomitantemente deficiência de B12; não usar folato isolado se houver suspeita de deficiência de B12.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B12 limítrofe com neuropatia, má absorção, metformina/IBP ou etilismo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Solicitar MMA/homocisteína se disponível ou considerar reposição empírica se risco alto.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DRC/hemodiálise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Na DRC, seguir critérios próprios da KDIGO 2026 conforme modalidade dialítica, ferritina e TSAT; não transpor seus limites para UTI sem DRC. Integrar com a Nefrologia e suspender ferro durante infecção sistêmica ativa conforme avaliação.</w:t>
            </w:r>
          </w:p>
        </w:tc>
      </w:tr>
    </w:tbl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Regra de ouro transfusional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Concentrado de hemácias trata necessidade imediata de aumentar capacidade de transporte de oxigênio.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Ferro EV trata o substrato para eritropoiese e resposta hematológica nos dias/semanas seguintes.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Não usar ferro EV como substituto de transfusão em choque, isquemia, sangramento ativo ou hipóxia grave atribuível à anemia.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Discussão didática do padrão laboratorial apresentado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 w:val="true"/>
          <w:cantSplit/>
          <w:tblHeader/>
          <w:tblHeader/>
        </w:trPr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Dado do caso</w:t>
            </w:r>
          </w:p>
        </w:tc>
        <w:tc>
          <w:tcPr>
            <w:tcW w:type="dxa" w:w="4932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Interpretação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 7,1 / Ht 20,6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Anemia grave, próxima ao limiar transfusional; queda progressiva exige investigação ativa.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VCM 96 + RDW 19,9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Normocítica com tendência macrocítica e anisocitose importante; sugere anemia mista.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Ferritina 219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confirma ferropriva absoluta, mas não exclui carência funcional no paciente inflamado.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Ferro sérico 15 + transferrina 150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Ferro circulante muito baixo com transferrina baixa; padrão de inflamação/restrição de ferro.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TSAT estimada ≈ 8%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Muito baixa; reforça ferro indisponível para eritropoiese.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B12 418; folato 3,19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Sem unidades e intervalos do laboratório, não classificar definitivamente. Confirmar deficiência, sintomas e necessidade de reposição.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318 mil / INR 0,93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e via extrínseca preservadas; não excluem sangramento oculto ou hemólise.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Reticulócitos absolutos 94.770</w:t>
            </w:r>
          </w:p>
        </w:tc>
        <w:tc>
          <w:tcPr>
            <w:tcW w:type="dxa" w:w="4932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alguma resposta, mas pode ser insuficiente para o grau de anemia; calcular índice reticulocitário se possível.</w:t>
            </w:r>
          </w:p>
        </w:tc>
      </w:tr>
    </w:tbl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Conduta sugerida para esse padrão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1) Repetir Hb seriada e avaliar sintomas/estabilidade; reservar CH se queda progressiva.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2) Considerar CH em adulto estável com Hb &lt;7 g/dL; sintomas e situações especiais podem justificar outro limiar. Em instabilidade ou hemorragia, decidir pela avaliação clínica, sem aguardar um número isolado.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3) Investigar perdas pela história/exame e avaliação endoscópica quando indicada; FIT/sangue oculto não exclui sangramento e não deve atrasar investigação de anemia com sinais de alarme. Pesquisar hemólise se houver suspeita.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4) Confirmar necessidade de folato e avaliar B12; repor quando houver deficiência ou forte suspeita, com seguimento da resposta.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5) Ferro EV somente após avaliar deficiência absoluta/mista, resposta esperada e riscos. Ausência de sepse descontrolada, isoladamente, não indica ferro; produto, dose e total devem ser individualizados.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Checklist de beira-leito antes de prescrever ferro EV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9075"/>
      </w:tblGrid>
      <w:tr>
        <w:trPr>
          <w:tblHeader w:val="true"/>
          <w:cantSplit/>
          <w:tblHeader/>
          <w:tblHeader/>
        </w:trPr>
        <w:tc>
          <w:tcPr>
            <w:tcW w:type="dxa" w:w="789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OK</w:t>
            </w:r>
          </w:p>
        </w:tc>
        <w:tc>
          <w:tcPr>
            <w:tcW w:type="dxa" w:w="9075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Hb, tendência e sintomas avaliados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ativo/oculto procurado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Hemólise pesquisada se queda rápida sem sangramento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TSAT calculada ou solicitada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Ferritina interpretada no contexto de PCR/inflamação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B12/folato checados e corrigidos se necessário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Sepse/bacteremia/fungemia ativa descartada ou controlada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História de hipersensibilidade a ferro EV revisada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Via venosa adequada + bomba + suporte para reação alérgica disponíveis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9075"/>
            <w:vAlign w:val="center"/>
            <w:tcBorders>
              <w:top w:val="single" w:sz="4" w:color="D9EAF7"/>
              <w:start w:val="single" w:sz="4" w:color="D9EAF7"/>
              <w:bottom w:val="single" w:sz="4" w:color="D9EAF7"/>
              <w:end w:val="single" w:sz="4" w:color="D9EAF7"/>
            </w:tcBorders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Plano de reavaliação de Hb/TSAT/ferritina documentado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Pocket Card: Ferro EV na UTI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Diagnóstico provável de carência funcional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TSAT &lt;20% + ferritina normal/alta + ferro sérico baixo + transferrina baixa/normal em paciente inflamado.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Não esquecer: ferritina isolada engana no paciente crítico.</w:t>
      </w:r>
    </w:p>
    <w:p>
      <w:pPr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 xml:space="preserve"> Exemplo condicionado à indicação e à bula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Sacarato férrico 200 mg EV = 2 ampolas de 100 mg/5 mL.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</w:rPr>
        <w:t>Confirmar diluição/tempo da bula; para o exemplo de 200 mg, pelo menos 30 minutos. Intervalo e total dependem do produto e déficit; não repetir automaticamente até 1.000 mg.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Monitorar PA/FC/SpO2, rash, dispneia, broncoespasmo, dor local; observar 30 min após.</w:t>
      </w:r>
    </w:p>
    <w:p>
      <w:pPr>
        <w:keepNext/>
        <w:pageBreakBefore w:val="0"/>
        <w:widowControl/>
        <w:spacing w:after="40" w:line="259" w:lineRule="auto"/>
      </w:pPr>
      <w:r>
        <w:rPr>
          <w:rFonts w:ascii="Arial" w:hAnsi="Arial"/>
          <w:b/>
          <w:color w:val="000000"/>
          <w:sz w:val="22"/>
        </w:rPr>
        <w:t xml:space="preserve"> Não fazer agora se</w:t>
      </w:r>
    </w:p>
    <w:p>
      <w:pPr>
        <w:pStyle w:val="ListBullet"/>
        <w:pageBreakBefore w:val="0"/>
        <w:widowControl/>
        <w:spacing w:after="20" w:line="259" w:lineRule="auto"/>
        <w:ind w:left="288"/>
      </w:pPr>
      <w:r>
        <w:rPr>
          <w:rFonts w:ascii="Arial" w:hAnsi="Arial"/>
          <w:color w:val="000000"/>
          <w:sz w:val="18"/>
        </w:rPr>
        <w:t>Bacteremia/fungemia/sepse descontrolada; reação prévia grave; sobrecarga de ferro; instabilidade/sangramento/isquemia que exigem CH.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IRONMAN Investigators. Intravenous iron or placebo for anaemia in intensive care: the IRONMAN multicentre randomized blinded trial. Intensive Care Med. 2016;42:1715–1722. doi:10.1007/s00134-016-4465-6. </w:t>
      </w:r>
      <w:hyperlink r:id="rId1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Pieracci FM et al. A multicenter, randomized clinical trial of IV iron supplementation for anemia of traumatic critical illness. Crit Care Med. 2014;42:2048–2057. doi:10.1097/CCM.0000000000000408. </w:t>
      </w:r>
      <w:hyperlink r:id="rId1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Warner MA et al. Practical Anemia Bundle and Hemoglobin Recovery in Critical Illness: A Randomized Clinical Trial. JAMA Netw Open. 2025;8:e252353. doi:10.1001/jamanetworkopen.2025.2353. </w:t>
      </w:r>
      <w:hyperlink r:id="rId13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Shah A et al. Intravenous iron to treat anaemia following critical care: a multicentre feasibility randomised trial. Br J Anaesth. 2022;128:272–282. doi:10.1016/j.bja.2021.11.010. </w:t>
      </w:r>
      <w:hyperlink r:id="rId1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União Química. SUCROFER, sacarato de óxido férrico 20 mg/mL: bula profissional. Conferir a bula vigente do produto disponível antes de prescrever. Acesso em 18/10/2026. </w:t>
      </w:r>
      <w:hyperlink r:id="rId1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KDIGO. Clinical Practice Guideline for Anemia in Chronic Kidney Disease. 2026. Página oficial e documentos associados. </w:t>
      </w:r>
      <w:hyperlink r:id="rId1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AABB. Updates in Red Blood Cell Transfusion Thresholds: diretrizes internacionais de 2023. </w:t>
      </w:r>
      <w:hyperlink r:id="rId1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AABB. Expert Panel Recommends Liberal Transfusion Strategy for Hospitalized Patients With AMI. 20/08/2025. </w:t>
      </w:r>
      <w:hyperlink r:id="rId18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NICE. Vitamin B12 deficiency in over 16s: diagnosis and management. NG239. 2024.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CPOC. Guideline for the Management of Anaemia in the Perioperative Pathway. Atualização 2025. Acesso à fonte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Anemia funcional de ferro na 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abstractNum w:abstractNumId="10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80"/>
    </w:pPr>
    <w:rPr>
      <w:rFonts w:ascii="Aptos Display" w:hAnsi="Aptos Display" w:eastAsia="Aptos Display"/>
      <w:b/>
      <w:color w:val="17365D"/>
      <w:sz w:val="44"/>
    </w:rPr>
  </w:style>
  <w:style w:type="paragraph" w:customStyle="1" w:styleId="SubtitleCustom">
    <w:name w:val="SubtitleCustom"/>
    <w:pPr>
      <w:spacing w:before="160" w:after="80"/>
    </w:pPr>
    <w:rPr>
      <w:rFonts w:ascii="Aptos Display" w:hAnsi="Aptos Display" w:eastAsia="Aptos Display"/>
      <w:b/>
      <w:color w:val="548235"/>
      <w:sz w:val="24"/>
    </w:rPr>
  </w:style>
  <w:style w:type="paragraph" w:customStyle="1" w:styleId="Heading1Custom">
    <w:name w:val="Heading1Custom"/>
    <w:pPr>
      <w:spacing w:before="160" w:after="80"/>
    </w:pPr>
    <w:rPr>
      <w:rFonts w:ascii="Aptos Display" w:hAnsi="Aptos Display" w:eastAsia="Aptos Display"/>
      <w:b/>
      <w:color w:val="17365D"/>
      <w:sz w:val="30"/>
    </w:rPr>
  </w:style>
  <w:style w:type="paragraph" w:customStyle="1" w:styleId="Heading2Custom">
    <w:name w:val="Heading2Custom"/>
    <w:pPr>
      <w:spacing w:before="160" w:after="80"/>
    </w:pPr>
    <w:rPr>
      <w:rFonts w:ascii="Aptos Display" w:hAnsi="Aptos Display" w:eastAsia="Aptos Display"/>
      <w:b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bmed.ncbi.nlm.nih.gov/27686346/" TargetMode="External"/><Relationship Id="rId12" Type="http://schemas.openxmlformats.org/officeDocument/2006/relationships/hyperlink" Target="https://pubmed.ncbi.nlm.nih.gov/24797376/" TargetMode="External"/><Relationship Id="rId13" Type="http://schemas.openxmlformats.org/officeDocument/2006/relationships/hyperlink" Target="https://jamanetwork.com/journals/jamanetworkopen/fullarticle/2832015" TargetMode="External"/><Relationship Id="rId14" Type="http://schemas.openxmlformats.org/officeDocument/2006/relationships/hyperlink" Target="https://pubmed.ncbi.nlm.nih.gov/34872717/" TargetMode="External"/><Relationship Id="rId15" Type="http://schemas.openxmlformats.org/officeDocument/2006/relationships/hyperlink" Target="https://www.uniaoquimicaconecta.com.br/2a4midia/bulas/f/2.%20Sucrofer_Bula%20Profissional_.pdf" TargetMode="External"/><Relationship Id="rId16" Type="http://schemas.openxmlformats.org/officeDocument/2006/relationships/hyperlink" Target="https://kdigo.org/guidelines/anemia-in-ckd/" TargetMode="External"/><Relationship Id="rId17" Type="http://schemas.openxmlformats.org/officeDocument/2006/relationships/hyperlink" Target="https://www.aabb.org/docs/default-source/default-document-library/resources/updates-in-red-blood-cell-transfusion-thresholds.pdf" TargetMode="External"/><Relationship Id="rId18" Type="http://schemas.openxmlformats.org/officeDocument/2006/relationships/hyperlink" Target="https://www.aabb.org/news-resources/news/article/2025/08/20/expert-panel-recommends-liberal-transfusion-strategy-for-hospitalized-patients-with-a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Anemia funcional de ferro na UTI</dc:title>
  <dc:subject>Material didático ou instrucional para Clínica Médica</dc:subject>
  <dc:creator>Aldenir Rocha de Oliveira Filho</dc:creator>
  <cp:keywords>UTI, anemia, ferro funcional, ferro EV, TSAT, ferritina, transfusão</cp:keywords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