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40"/>
        </w:rPr>
        <w:t>Cálculos clínicos de eletrólitos bicarbonato e albumina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Autor Aldenir Rocha de Oliveira Filho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didático de fundamentos matemáticos e requisitos para calculadoras clínicas.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Revisão de 18/10/2026 | Uso educacional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elaborado e revisado com apoio de ferramentas de inteligência artificial. A aplicação clínica exige avaliação médica individual, conferência das apresentações e doses e protocolos locais. Esta identificação não representa aprovação institucional ou revisão por pares.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color w:val="000000"/>
        </w:rPr>
        <w:t xml:space="preserve">Cálcio corrigido </w:t>
        <w:br/>
        <w:t xml:space="preserve">• Água corporal total </w:t>
        <w:br/>
        <w:t xml:space="preserve">• Soluções de NaCl </w:t>
        <w:br/>
        <w:t xml:space="preserve">• Correção do sódio </w:t>
        <w:br/>
        <w:t xml:space="preserve">• Bicarbonato </w:t>
        <w:br/>
        <w:t>• Albumina</w:t>
      </w:r>
    </w:p>
    <w:p>
      <w:pPr>
        <w:keepNext/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24"/>
        </w:rPr>
        <w:t>Versão para Antigravity Consultas / UTI / Clínica Médica / Nefrologia prática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color w:val="000000"/>
        </w:rPr>
        <w:t xml:space="preserve">Elaborado em 07/06/2026 </w:t>
        <w:br/>
        <w:t>• Documento TDAH-friendly para uso à beira-leito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19"/>
        </w:rPr>
        <w:t xml:space="preserve"> ALERTA: </w:t>
      </w:r>
      <w:r>
        <w:rPr>
          <w:rFonts w:ascii="Arial" w:hAnsi="Arial"/>
          <w:color w:val="000000"/>
          <w:sz w:val="19"/>
        </w:rPr>
        <w:t>Documento de apoio matemático e educacional. Não substitui julgamento médico, protocolo institucional, avaliação farmacêutica/enfermagem, dupla checagem de preparo, nem monitorização seriada do paciente. Em situações críticas, discutir com equipe sênior/especialista quando possível.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Sumário executivo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Este documento consolida as calculadoras clínicas solicitadas para o projeto Antigravity Consultas e transforma os cards visuais gerados em um protocolo textual completo, mais seguro e verificável.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Módulo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Pergunta que resolve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Saídas principais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Cálcio corrigido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Como interpretar cálcio total e quando medir cálcio ionizado?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Demonstração histórica da fórmula; prioridade à medida de cálcio ionizado para decisões na UTI.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Água corporal total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Qual ACT usar para previsão de correção do sódio?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ACT em litros por sexo/idade/obesidade/sarcopenia.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Preparo de NaCl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Como formar NaCl 3% ou 0,45% com soluções disponíveis?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Volume de solução fonte + volume de diluente.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Adrogué-Madias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Quanto o Na deve variar com 1 L e qual vazão usar?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ΔNa/L, volume necessário, mL/h e ΔNa/24h.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Bicarbonato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Qual dose, diluição e velocidade para corrigir acidose selecionada?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mEq estimados, volume, diluente, mL/h e carga de sódio.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Albumina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Qual dose, volume, frascos e vazão por indicação?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Dose em g, volume, frascos e mL/h.</w:t>
            </w:r>
          </w:p>
        </w:tc>
      </w:tr>
    </w:tbl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  <w:sz w:val="19"/>
        </w:rPr>
        <w:t>Como usar no plantão: 1) confirmar indicação clínica; 2) inserir dados; 3) conferir unidade; 4) comparar com meta segura; 5) prescrever com dupla checagem; 6) reavaliar laboratório e diurese no intervalo adequado.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Princípios gerais de segurança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b/>
          <w:color w:val="000000"/>
        </w:rPr>
        <w:t xml:space="preserve">A calculadora não trata o paciente: </w:t>
      </w:r>
      <w:r>
        <w:rPr>
          <w:rFonts w:ascii="Arial" w:hAnsi="Arial"/>
          <w:color w:val="000000"/>
        </w:rPr>
        <w:t>ela apenas organiza matemática clínica. A decisão depende do diagnóstico, gravidade, tempo de instalação, volemia, função renal, ventilação e risco individual.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b/>
          <w:color w:val="000000"/>
        </w:rPr>
        <w:t xml:space="preserve">Registrar meta antes da prescrição: </w:t>
      </w:r>
      <w:r>
        <w:rPr>
          <w:rFonts w:ascii="Arial" w:hAnsi="Arial"/>
          <w:color w:val="000000"/>
        </w:rPr>
        <w:t>exemplo: “elevar Na em 4–6 mEq/L nas primeiras 6–24h” ou “corrigir pH/HCO3 parcialmente até estabilização”.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b/>
          <w:color w:val="000000"/>
        </w:rPr>
        <w:t xml:space="preserve">Usar bomba e rotulagem rigorosa: </w:t>
      </w:r>
      <w:r>
        <w:rPr>
          <w:rFonts w:ascii="Arial" w:hAnsi="Arial"/>
          <w:color w:val="000000"/>
        </w:rPr>
        <w:t>soluções concentradas e hipertônicas exigem dupla checagem e identificação clara.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b/>
          <w:color w:val="000000"/>
        </w:rPr>
        <w:t xml:space="preserve">Monitorar resposta real, não só prevista: </w:t>
      </w:r>
      <w:r>
        <w:rPr>
          <w:rFonts w:ascii="Arial" w:hAnsi="Arial"/>
          <w:color w:val="000000"/>
        </w:rPr>
        <w:t>fórmulas podem falhar em diurese aquosa, perdas gastrointestinais, hiperglicemia, DRC, IRA, uso de diuréticos e choque.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b/>
          <w:color w:val="000000"/>
        </w:rPr>
        <w:t xml:space="preserve">Reavaliar eletrólitos seriados: </w:t>
      </w:r>
      <w:r>
        <w:rPr>
          <w:rFonts w:ascii="Arial" w:hAnsi="Arial"/>
          <w:color w:val="000000"/>
        </w:rPr>
        <w:t>Na, K, Cl, Mg, Ca, fósforo, gasometria, função renal, osmolaridade e diurese conforme contexto.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19"/>
        </w:rPr>
        <w:t xml:space="preserve"> ALERTA: </w:t>
      </w:r>
      <w:r>
        <w:rPr>
          <w:rFonts w:ascii="Arial" w:hAnsi="Arial"/>
          <w:color w:val="000000"/>
          <w:sz w:val="19"/>
        </w:rPr>
        <w:t>Hiponatremia grave sintomática, correção rápida de sódio, acidose grave, hipercalemia, choque, DRC/IRA e cirrose descompensada são cenários de alto risco. A meta deve ser conservadora e monitorada.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1.  Cálcio corrigido pela albumina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O cálcio total sérico é parcialmente ligado à albumina. Em hipoalbuminemia, o cálcio total pode parecer baixo mesmo quando o cálcio ionizado está normal. Fórmulas de ajuste por albumina podem classificar incorretamente o cálcio. Em UTI, distúrbios ácido-base, DRC/IRA e hipoalbuminemia, medir cálcio ionizado quando a decisão depender do resultado; não iniciar reposição pelo valor corrigido isolado.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22"/>
        </w:rPr>
        <w:t>Fórmula em mg/dL</w:t>
        <w:br/>
      </w:r>
      <w:r>
        <w:rPr>
          <w:rFonts w:ascii="Arial" w:hAnsi="Arial"/>
          <w:b/>
          <w:color w:val="000000"/>
          <w:sz w:val="26"/>
        </w:rPr>
        <w:t>Ca corrigido = Ca total + 0,8 × (4 − albumina)</w:t>
      </w:r>
      <w:r>
        <w:rPr>
          <w:rFonts w:ascii="Arial" w:hAnsi="Arial"/>
          <w:color w:val="000000"/>
          <w:sz w:val="18"/>
        </w:rPr>
        <w:br/>
        <w:t>Albumina em g/dL. Em mmol/L, usar fórmulas específicas conforme laboratório.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Entrada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Exemplo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Observação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Cálcio total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8,0 mg/dL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Medido no laboratório.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Albumina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2,0 g/dL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Idealmente medida no mesmo contexto clínico.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Cálculo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8,0 + 0,8 × (4 − 2,0) = 9,6 mg/dL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Resultado matemático de 9,6 mg/dL; não demonstra cálcio ionizado normal.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Interpretação prática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Ca corrigido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Interpretação aproximada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Conduta de raciocínio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&lt; 8,5 mg/dL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Não confirma hipocalcemia ionizada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Correlacionar com sintomas, ECG, Mg, P, função renal; preferir Ca ionizado.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8,5–10,5 mg/dL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Faixa do cálculo; não confirma normocalcemia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Se paciente crítico/sintomático, não se contentar apenas com cálcio corrigido.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&gt; 10,5 mg/dL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Não confirma hipercalcemia ionizada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Confirmar Ca ionizado, PTH/PTHrP/vitamina D conforme contexto.</w:t>
            </w:r>
          </w:p>
        </w:tc>
      </w:tr>
    </w:tbl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Preferir cálcio ionizado quando disponível, especialmente em UTI, acidose/alcalose, choque, sepse, DRC/IRA, politransfusão e hipoalbuminemia profunda.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Corrigir magnésio se hipocalcemia refratária, principalmente em alcoolismo, diuréticos, aminoglicosídeos, anfotericina, diarreia ou nutrição inadequada.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Sempre correlacionar com QTc, parestesias, tetania, convulsões, arritmias, pancreatite e sinais de hiper/hipocalcemia.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Limitação do ajuste: Desgagnés et al., 2025. O cálcio ajustado por albumina não superou o total não ajustado na classificação comparada ao ionizado; não substitui medição direta quando clinicamente indicada.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2.  Água corporal total (ACT/TBW)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 ACT é usada para estimar a distribuição de água e a resposta esperada do sódio sérico a soluções com determinada concentração de Na/K. Ela é uma estimativa, não uma medida real. Em pacientes obesos, idosos, sarcopênicos ou muito edemaciados, o fator deve ser ajustado com julgamento clínico.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22"/>
        </w:rPr>
        <w:t>Fórmula-base</w:t>
        <w:br/>
      </w:r>
      <w:r>
        <w:rPr>
          <w:rFonts w:ascii="Arial" w:hAnsi="Arial"/>
          <w:b/>
          <w:color w:val="000000"/>
          <w:sz w:val="26"/>
        </w:rPr>
        <w:t>ACT = peso × fator</w:t>
      </w:r>
      <w:r>
        <w:rPr>
          <w:rFonts w:ascii="Arial" w:hAnsi="Arial"/>
          <w:color w:val="000000"/>
          <w:sz w:val="18"/>
        </w:rPr>
        <w:br/>
        <w:t>ACT em litros; peso em kg; fator conforme sexo/idade/composição corporal.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Perfil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Fator prático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Exemplo com 70 kg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Homem adulto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0,60 × peso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42 L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Mulher adulta ou idoso homem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0,50 × peso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35 L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Idosa/frágil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0,45 × peso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31,5 L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Obesidade importante / baixo teor hídrico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Fator não universal; definir e justificar individualmente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28 L apenas se o fator 0,40 for justificadamente escolhido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Quando ajustar o fator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Idade avançada, sarcopenia e baixo volume muscular reduzem água corporal proporcional.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Obesidade importante reduz o percentual de água por kg de peso total; considerar fator menor ou peso ajustado conforme estratégia local.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Edema, anasarca, ascite, DRC/IRA e choque tornam a estimativa menos confiável.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O erro na ACT muda diretamente o cálculo de ΔNa pela fórmula de Adrogué-Madias.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3.  Preparo de soluções de NaCl 3% e 0,45%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O preparo pode ser modelado por balanço de concentração. A fórmula funciona desde que as concentrações estejam na mesma unidade: %, mEq/L ou mg/mL. Na prática hospitalar, a produção deve seguir normas institucionais, farmácia, rotulagem e dupla checagem.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22"/>
        </w:rPr>
        <w:t>Mistura de duas soluções</w:t>
        <w:br/>
      </w:r>
      <w:r>
        <w:rPr>
          <w:rFonts w:ascii="Arial" w:hAnsi="Arial"/>
          <w:b/>
          <w:color w:val="000000"/>
          <w:sz w:val="26"/>
        </w:rPr>
        <w:t>V_fonte = V_final × (C_alvo − C_diluente) / (C_fonte − C_diluente)</w:t>
      </w:r>
      <w:r>
        <w:rPr>
          <w:rFonts w:ascii="Arial" w:hAnsi="Arial"/>
          <w:color w:val="000000"/>
          <w:sz w:val="18"/>
        </w:rPr>
        <w:br/>
        <w:t>V_diluente = V_final − V_fonte. Usar mesma unidade de concentração em todos os termos.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Solução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NaCl aproximado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Na aproximado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Uso/cuidado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20%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200 mg/mL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3422 mEq/L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Fonte concentrada; alto risco; dupla checagem.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10%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100 mg/mL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1711 mEq/L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Fonte concentrada; alto risco; dupla checagem.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3%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30 mg/mL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513 mEq/L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Hipertônico; uso em hiponatremia grave/sintomática conforme protocolo.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0,9%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9 mg/mL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154 mEq/L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Cristaloide isotônico.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0,45%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4,5 mg/mL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77 mEq/L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Hipotônico; risco de piora da hiponatremia se mal indicado.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Água estéril para injetáveis / solução glicosada 5%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0 mg/mL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0 mEq/L de Na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Ambas não contêm sódio, mas não são equivalentes: água estéril não pode ser infundida pura; SG5% acrescenta glicose e altera tonicidade inicial. Os exemplos abaixo usam água estéril como componente da mistura, sob validação farmacêutica.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3.1. Preparo de NaCl 3%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19"/>
        </w:rPr>
        <w:t xml:space="preserve"> ALERTA: </w:t>
      </w:r>
      <w:r>
        <w:rPr>
          <w:rFonts w:ascii="Arial" w:hAnsi="Arial"/>
          <w:color w:val="000000"/>
          <w:sz w:val="19"/>
        </w:rPr>
        <w:t>NaCl 3% é solução hipertônica. Confirmar indicação, via, concentração, rotulagem, bomba e meta de correção. Monitorizar Na seriado e diurese.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Alvo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Fonte + diluente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Preparo para 500 mL finais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Conferência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3%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20% + água estéril para injetáveis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75 mL de NaCl 20% + 425 mL de diluente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Resultado teórico: 500 mL de NaCl 3%.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3%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10% + água estéril para injetáveis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150 mL de NaCl 10% + 350 mL de diluente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Resultado teórico: 500 mL de NaCl 3%.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3%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20% + NaCl 0,9%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54,97 mL de NaCl 20% + 445,03 mL de NaCl 0,9% (volume final 500 mL)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Resultado teórico de 3,00%. Se arredondado a 55 + 445 mL: 3,001%. A farmácia deve validar a técnica; não adicionar o concentrado a uma bolsa já contendo 500 mL.</w:t>
            </w:r>
          </w:p>
        </w:tc>
      </w:tr>
    </w:tbl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Nunca deixar bolsa sem rótulo com concentração final, composição, data/hora, paciente e responsável pela checagem.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Não usar regra de três mental sem confirmação, especialmente quando a fonte for NaCl 10% ou 20%.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Se a solução for preparada pela enfermagem/farmácia, a prescrição deve ser inequívoca: concentração final, volume final, volume de cada componente, via e vazão.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3.2. Preparo de NaCl 0,45%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19"/>
        </w:rPr>
        <w:t xml:space="preserve"> ALERTA: </w:t>
      </w:r>
      <w:r>
        <w:rPr>
          <w:rFonts w:ascii="Arial" w:hAnsi="Arial"/>
          <w:color w:val="000000"/>
          <w:sz w:val="19"/>
        </w:rPr>
        <w:t>NaCl 0,45% é hipotônico. Evitar em hiponatremia sintomática grave e em situações com risco de queda adicional do Na, salvo indicação muito clara.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Alvo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Fonte + diluente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Preparo para 500 mL finais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Cuidado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0,45%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0,9% + água estéril para injetáveis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250 mL de NaCl 0,9% + 250 mL de diluente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Mistura simples e usual.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0,45%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10% + água estéril para injetáveis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22,5 mL de NaCl 10% + 477,5 mL de diluente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Exige precisão volumétrica.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0,45%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NaCl 20% + água estéril para injetáveis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11,25 mL de NaCl 20% + 488,75 mL de diluente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Erro pequeno gera grande variação relativa; dupla checagem.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4.  Correção do sódio por Adrogué-Madias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 fórmula de Adrogué-Madias estima a variação do sódio sérico após a infusão de 1 litro de solução contendo sódio e/ou potássio. É útil para planejar volume e vazão, mas não substitui monitorização real.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22"/>
        </w:rPr>
        <w:t>Variação prevista por litro</w:t>
        <w:br/>
      </w:r>
      <w:r>
        <w:rPr>
          <w:rFonts w:ascii="Arial" w:hAnsi="Arial"/>
          <w:b/>
          <w:color w:val="000000"/>
          <w:sz w:val="26"/>
        </w:rPr>
        <w:t>ΔNa por 1 L = [(Na + K da solução) − Na sérico] / (ACT + 1)</w:t>
      </w:r>
      <w:r>
        <w:rPr>
          <w:rFonts w:ascii="Arial" w:hAnsi="Arial"/>
          <w:color w:val="000000"/>
          <w:sz w:val="18"/>
        </w:rPr>
        <w:br/>
        <w:t>Na e K em mEq/L; ACT em litros; resultado em mEq/L por litro infundido.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Entrada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Exemplo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Comentário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Na sérico atual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118 mEq/L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Usar Na sérico medido no modelo; interpretar hiperglicemia separadamente. Não substituir mecanicamente pelo Na corrigido.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Solução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NaCl 3% = 513 mEq/L de Na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K da solução = 0 se sem KCl.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ACT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42 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Exemplo: homem 70 kg × 0,60.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Cálculo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(513 − 118) / (42 + 1) = 9,2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ΔNa ≈ 9,2 mEq/L por litro.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4.1. Converter ΔNa em volume e vazão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color w:val="000000"/>
        </w:rPr>
        <w:t>Exercício em sistema fechado: ΔNa(V) = V × (C − Na)/(ACT + V), com V em L e C = [Na+K] da solução. Invertendo: V = ΔNa_alvo × ACT/(C − Na − ΔNa_alvo). Vazão = 1000 × V/tempo. Não é prescrição: aquarese, perdas, ganhos, reposição de K e mudanças da ACT invalidam a previsão. Não extrapolar linearmente a fórmula de 1 L para 24 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Parâmetro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Exemplo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ΔNa por 1 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9,2 mEq/L/L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Valor da fórmula.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Meta inicial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+4 mEq/L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Modelo fechado: V = 4 × 42/(513 − 118 − 4) = 0,4297 L, aproximadamente 430 mL.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Tempo planejado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6 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429,7/6 ≈ 71,6 mL/h, somente exercício; o tratamento sintomático exige protocolo e rechecagens.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Projeção 24h se mantida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71,6 mL/h × 24 h ≈ 1.719 mL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Modelo fechado: ΔNa ≈ 15,5 mEq/L em 24 h; ainda excessivo. A resposta real pode ser maior ou menor.</w:t>
            </w:r>
          </w:p>
        </w:tc>
      </w:tr>
    </w:tbl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19"/>
        </w:rPr>
        <w:t xml:space="preserve"> ALERTA: </w:t>
      </w:r>
      <w:r>
        <w:rPr>
          <w:rFonts w:ascii="Arial" w:hAnsi="Arial"/>
          <w:color w:val="000000"/>
          <w:sz w:val="19"/>
        </w:rPr>
        <w:t>O exemplo mostra por que calcular a projeção de 24h é essencial: uma vazão que parece razoável por 6h pode ser perigosa se mantida sem reavaliação.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4.2. Limites de segurança e monitorização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Em hiponatremia crônica ou de duração incerta, evitar correção excessiva. Diretriz europeia: limite de 10 mmol/L nas primeiras 24 h e 8 mmol/L a cada 24 h seguinte. Em alto risco, planejar abaixo do teto de 8 mmol/L/24 h, frequentemente meta de 4–6; limite não é meta. Contabilizar toda elevação do Na, inclusive efeito da reposição de K.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Alto risco de desmielinização: Na ≤105 mmol/L, transtorno por uso de álcool, desnutrição, hepatopatia avançada e hipocalemia. Diuréticos e pós-operatório podem associar-se à hiponatremia/aquarese; não equivalem isoladamente aos fatores clássicos de alto risco.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Na hiponatremia grave sintomática, protocolos frequentemente usam bolus de NaCl 3% com alvo inicial de melhora neurológica/elevação pequena do Na, em vez de normalização rápida.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Rechecar Na em 1–2h nos casos graves ou em uso de hipertônico; depois individualizar a cada 2–4/6h conforme tendência, diurese e risco.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Se houver aquarese súbita e Na subindo rápido, considerar estratégia de “clamp” com desmopressina e/ou relowering com água livre, conforme protocolo e equipe experiente.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  <w:sz w:val="19"/>
        </w:rPr>
        <w:t>A literatura mostra que fórmulas de previsão podem apresentar variação individual importante; por isso a resposta real do paciente sempre manda mais do que a estimativa inicial.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5.  Reposição de bicarbonato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Bicarbonato exige indicação específica e tratamento da causa. Não é rotina na acidose láctica/choque ou CAD; na CAD, considerar pH &lt;7,0. Em acidemia grave com IRA, BICARICU-2 não reduziu mortalidade, embora tenha reduzido terapia renal substitutiva. SODa-BIC 2026 tampouco sustenta uso indiscriminado no choque. Fórmulas de déficit não demonstram indicação nem benefício.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19"/>
        </w:rPr>
        <w:t xml:space="preserve"> ALERTA: </w:t>
      </w:r>
      <w:r>
        <w:rPr>
          <w:rFonts w:ascii="Arial" w:hAnsi="Arial"/>
          <w:color w:val="000000"/>
          <w:sz w:val="19"/>
        </w:rPr>
        <w:t>Bicarbonato gera CO2. Se a ventilação alveolar estiver inadequada, pode piorar hipercapnia e acidose intracelular. Monitorar PaCO2, ventilação-minuto e necessidade de suporte ventilatório.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5.1. Cálculo pelo HCO3 atual e alvo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22"/>
        </w:rPr>
        <w:t>Déficit por HCO3</w:t>
        <w:br/>
      </w:r>
      <w:r>
        <w:rPr>
          <w:rFonts w:ascii="Arial" w:hAnsi="Arial"/>
          <w:b/>
          <w:color w:val="000000"/>
          <w:sz w:val="26"/>
        </w:rPr>
        <w:t>mEq = coeficiente × peso × (HCO3 alvo − HCO3 atual)</w:t>
      </w:r>
      <w:r>
        <w:rPr>
          <w:rFonts w:ascii="Arial" w:hAnsi="Arial"/>
          <w:color w:val="000000"/>
          <w:sz w:val="18"/>
        </w:rPr>
        <w:br/>
        <w:t>Coeficiente frequentemente usado: 0,5 para espaço de distribuição. Ajustar conforme contexto.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Entrada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Exemplo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Peso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70 kg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Coeficiente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0,5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HCO3 atual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10 mEq/L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HCO3 alvo inicial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15 mEq/L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Não precisa normalizar.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Cálculo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0,5 × 70 × (15 − 10)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175 mEq estimados.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5.2. Cálculo por base excess / base deficit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22"/>
        </w:rPr>
        <w:t>Déficit por base deficit</w:t>
        <w:br/>
      </w:r>
      <w:r>
        <w:rPr>
          <w:rFonts w:ascii="Arial" w:hAnsi="Arial"/>
          <w:b/>
          <w:color w:val="000000"/>
          <w:sz w:val="26"/>
        </w:rPr>
        <w:t>mEq = coeficiente × peso × base deficit</w:t>
      </w:r>
      <w:r>
        <w:rPr>
          <w:rFonts w:ascii="Arial" w:hAnsi="Arial"/>
          <w:color w:val="000000"/>
          <w:sz w:val="18"/>
        </w:rPr>
        <w:br/>
        <w:t>Se BE = −10, então base deficit = 10. Coeficiente prático comum: 0,3.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Entrada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Exemplo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Peso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70 kg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Coeficiente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0,3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Base excess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−10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Base deficit = 10.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Cálculo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0,3 × 70 × 10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210 mEq estimados.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5.3. Fracionamento, preparo e velocidade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Na prática, é comum administrar uma fração inicial da dose estimada, por exemplo 25–50%, e reavaliar gasometria, eletrólitos, pH e ventilação antes de repetir. A calculadora proposta permite selecionar a fração a administrar agora.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Apresentação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Equivalência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Comentário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Bicarbonato 8,4%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1 mEq/mL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Cada mL contém 84 mg de NaHCO3; alto teor de sódio e solução hipertônica.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Bicarbonato 4,2%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0,5 mEq/mL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Mais diluído.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Bicarbonato 7,5%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≈ 0,89 mEq/mL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Verificar apresentação local.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Passo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Exemplo com dose parcial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Dose total estimada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175 mEq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Pelo HCO3.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Fração inicial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50%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≈ 88 mEq agora.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Bicarbonato 8,4%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1 mEq/mL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88 mL de bicarbonato.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Volume final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250 mL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Exercício: 88 mL de NaHCO3 + diluente compatível q.s.p. 250 mL, conforme bula/farmácia; não é esquema universal de tratamento.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Tempo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4 h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Vazão = 250 / 4 = 62,5 mL/h.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Carga de sódio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≈ 88 mEq de Na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Considerar Na sérico, osmolaridade e balanço.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5.4. Checklist antes de bicarbonato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Confirmar pH, PaCO2, HCO3, BE/base deficit, lactato, ânion gap, Na, K, Cl, Ca ionizado, Mg, função renal e osmolaridade.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Identificar causa: choque/sepse, DKA, IRA/DRC, diarreia, acidose tubular renal, intoxicações, hipercalemia, acidose láctica, parada cardiorrespiratória etc.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Avaliar ventilação: se CO2 não for eliminado, bicarbonato pode piorar hipercapnia.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Evitar hipernatremia, hiperosmolaridade, sobrecarga, hipocalcemia e alcalose rebote.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Reavaliar gasometria e eletrólitos após a dose inicial antes de prosseguir.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6.  Reposição de albumina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Albumina não é reposição nutricional. Deve ser pensada como terapia hemodinâmica/oncótica e, em hepatologia, como intervenção com indicações específicas, especialmente PBE, paracentese volumosa e síndrome hepatorrenal/AKI em cirrose, conforme protocolos.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19"/>
        </w:rPr>
        <w:t xml:space="preserve"> ALERTA: </w:t>
      </w:r>
      <w:r>
        <w:rPr>
          <w:rFonts w:ascii="Arial" w:hAnsi="Arial"/>
          <w:color w:val="000000"/>
          <w:sz w:val="19"/>
        </w:rPr>
        <w:t>Albumina pode causar ou piorar sobrecarga circulatória, hipertensão, congestão pulmonar e hipoxemia. Avaliar volemia, congestão, PA/PAM, diurese, função renal e balanço hídrico.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6.1. Concentrações e conversões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Concentração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Conteúdo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Volume para 20 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Observação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Albumina 20%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20 g/100 mL = 0,20 g/mL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100 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Comum em cirrose/PBE/paracentese.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Albumina 25%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25 g/100 mL = 0,25 g/mL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80 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Mais concentrada.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Albumina 5%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5 g/100 mL = 0,05 g/mL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400 mL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Mais expansora de volume.</w:t>
            </w:r>
          </w:p>
        </w:tc>
      </w:tr>
    </w:tbl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color w:val="000000"/>
        </w:rPr>
        <w:t>Conversão</w:t>
        <w:br/>
        <w:t>Volume (mL) = dose (g) / concentração (g/mL).</w:t>
        <w:br/>
        <w:t>Frascos a separar = arredondar para cima [dose / gramas por frasco]. Administrar o volume exato; não aumentar a dose para usar todos os frascos.</w:t>
        <w:br/>
        <w:t>Vazão (mL/h) = volume total / tempo planejado.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6.2. Presets principais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Indicação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Dose prática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Exemplo em 70 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Comentário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PBE — dia 1, quando indicada após avaliação clínica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1,5 g/kg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105 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Geralmente albumina 20–25%, associada ao antibiótico conforme protocolo.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PBE — dia 3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1,0 g/kg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70 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Reduz risco de disfunção renal/SHR e mortalidade em cenários selecionados.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Paracentese volumosa &gt;5 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6–8 g/L removido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6 L × 8 g/L = 48 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Muitas diretrizes usam 8 g/L; AASLD cita 6–8 g/L.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SHR-AKI confirmada — tratamento com vasoconstritor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Albumina 20–25%: frequentemente 20–40 g/dia, ajustados diariamente à volemia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Exemplo: 20–40 g/dia, se prescritos e tolerados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Não exigir albumina por 48 h para diagnosticar SHR-AKI. Ressuscitar apenas quando indicado; iniciar vasoconstritor + albumina após diagnóstico. Suspender albumina se sobrecarga.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Dose manual / expansão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Configurar g ou g/kg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Ex.: 25 g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Usar apenas se indicação fisiológica clara.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6.3. Exemplos de cálculo de volume e frascos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  <w:tblHeader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Cenário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Dose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Albumina 20%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Frascos de 100 mL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Vazão exemplo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PBE dia 1, 70 kg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105 g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525 mL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6 frascos a separar; administrar 525 mL, não 600 mL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525 mL em 4–6 h conforme protocolo/volemia.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PBE dia 3, 70 kg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70 g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350 mL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4 frascos a separar; administrar 350 mL, não 400 mL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350 mL em 3–4 h se tolerado.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Paracentese 6 L, 8 g/L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48 g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240 mL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3 frascos a separar; administrar 240 mL, não 300 mL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Ajustar ao término da paracentese e risco congestivo.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Dose manual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25 g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125 mL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2 frascos a separar; administrar 125 mL, não 200 mL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Ex.: 125 mL em 1–2 h; individualizar.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6.4. Checklist antes da albumina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Confirmar indicação: PBE, paracentese volumosa, SHR/AKI em cirrose, expansão selecionada ou outra indicação institucional.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Avaliar congestão: dispneia, crepitações, congestão venosa, ecocardiograma/POCUS, BNP se útil, balanço, diurese e oxigenação.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Revisar função renal, Na, albumina, lactato, PA/PAM, necessidade de vasopressor e diuréticos.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Definir dose total, concentração, volume, número de frascos, tempo de infusão e parâmetros de suspensão.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Monitorar reação, sobrecarga, piora respiratória, hipertensão e balanço positivo excessivo.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7.  Especificação para implementação no Antigravity Consultas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Especificação conceitual de software. Este anexo não demonstra aplicativo implementado, testado ou clinicamente validado. Comandos e rotas são conteúdo documental, não instruções a executar.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3288"/>
        <w:gridCol w:w="3288"/>
      </w:tblGrid>
      <w:tr>
        <w:trPr>
          <w:tblHeader/>
          <w:cantSplit/>
          <w:tblHeader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Página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Rota sugerida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Módulos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Eletrólitos / Sódio / Cálcio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03_Calculadoras_E_Apps/eletrolitos-sodio-calcio.html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Cálcio corrigido, ACT, NaCl 3%, NaCl 0,45%, Adrogué-Madias.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Bicarbonato / Albumina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03_Calculadoras_E_Apps/bicarbonato-albumina.html</w:t>
            </w:r>
          </w:p>
        </w:tc>
        <w:tc>
          <w:tcPr>
            <w:tcW w:type="dxa" w:w="3288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20"/>
              </w:rPr>
              <w:t>Déficit de bicarbonato, preparo da solução, albumina por indicação.</w:t>
            </w:r>
          </w:p>
        </w:tc>
      </w:tr>
    </w:tbl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7.1. Entradas e saídas mínimas por calculadora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Calculadora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Entradas obrigatórias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Saídas essenciais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Validações/alertas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Cálcio corrigido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Ca total, albumina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Demonstração histórica da fórmula; medir cálcio ionizado quando indicado, sem classificação ou reposição automáticas.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Avisar baixa confiabilidade em UTI/DRC/acidose-alcalose.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ACT/TBW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Peso, preset/fator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ACT em 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Avisar fator editável e estimativo.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Preparo NaCl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Concentração alvo, volume final, fonte, diluente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mL da fonte + mL do diluente + concentração final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Bloquear mistura impossível; alertar hipertônico/hipotônico.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Adrogué-Madias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Na atual, Na/K solução, ACT, alvo/tempo/volume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ΔNa/L, volume, vazão, ΔNa/24h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Avisar se ΔNa/24h excede limite informado.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Bicarbonato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Peso, HCO3 ou BE, alvo/coeficiente, fração, concentração, volume final, tempo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mEq, mL de bicarbonato, diluente, mL/h, carga de Na, HCO3 estimado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Alertar dose alta, volume incompatível e ventilação/CO2.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Albumina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Peso, indicação, concentração, frasco, tempo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Dose g, volume, frascos, vazão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</w:pPr>
            <w:r>
              <w:rPr>
                <w:rFonts w:ascii="Arial" w:hAnsi="Arial"/>
                <w:color w:val="000000"/>
                <w:sz w:val="19"/>
              </w:rPr>
              <w:t>Alertar dose &gt;100 g, sobrecarga e necessidade de indicação clara.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8.  Pocket cards textuais para plantão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Card 1 — NaCl 3% com segurança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Confirmar hiponatremia verdadeira: osmolaridade, glicose, pseudohiponatremia, volemia e sintomas.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Definir meta inicial pequena: melhora neurológica e/ou elevação controlada, não normalização.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Calcular ΔNa/L por Adrogué-Madias e projetar ΔNa/24h.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Prescrever volume, tempo e mL/h; evitar manter a vazão sem rechecagem.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Na seriado e diurese; atenção para aquarese súbita e correção excessiva.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Card 2 — Bicarbonato sem armadilha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Pergunte: a acidose é causa ou marcador? Estou tratando choque/hipóxia/IRA/DKA?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Calcule dose parcial, geralmente 25–50% inicialmente, e reavalie.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Checar ventilação: bicarbonato gera CO2.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Monitorar Na, K, Ca ionizado, osmolaridade, gasometria e balanço.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Evitar correção cega de acidose láctica se perfusão não foi corrigida.</w:t>
      </w:r>
    </w:p>
    <w:p>
      <w:pPr>
        <w:pStyle w:val="Heading2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Card 3 — Albumina bem indicada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Albumina não é nutrição: é ferramenta hemodinâmica/oncótica e hepatológica.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PBE: pensar em 1,5 g/kg dia 1 e 1 g/kg dia 3 quando indicado.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Paracentese &gt;5 L: 6–8 g/L removido, frequentemente 8 g/L.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SHR/AKI em cirrose: integrar albumina + vasoconstritor + manejo de nefrotóxicos/diuréticos e hepatologia.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Antes de infundir: procurar congestão pulmonar/venosa e risco de sobrecarga.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9.  Referências essenciais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Desgagnés N, et al. Use of Albumin-Adjusted Calcium Measurements in Clinical Practice. JAMA Netw Open. 2025;8(1):e2455251. doi:10.1001/jamanetworkopen.2024.55251. </w:t>
      </w:r>
      <w:hyperlink r:id="rId21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Spasovski G, et al. Clinical practice guideline on diagnosis and treatment of hyponatraemia. Eur J Endocrinol. 2014;170:G1–G47. doi:10.1530/EJE-13-1020. </w:t>
      </w:r>
      <w:hyperlink r:id="rId22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Adrogué HJ, Madias NE. Hyponatremia. N Engl J Med. 2000;342:1581–1589. doi:10.1056/NEJM200005253422107. </w:t>
      </w:r>
      <w:hyperlink r:id="rId23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Lindner G, et al. Can we really predict the change in serum sodium levels? Nephrol Dial Transplant. 2008;23(11):3501–3508. </w:t>
      </w:r>
      <w:hyperlink r:id="rId24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Nadim MK, et al. Acute kidney injury in patients with cirrhosis: ADQI–ICA joint multidisciplinary consensus meeting. J Hepatol. 2024;81:163–183. doi:10.1016/j.jhep.2024.03.031. </w:t>
      </w:r>
      <w:hyperlink r:id="rId25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Aithal GP, et al. Guidelines on the management of ascites in cirrhosis. Gut. 2021;70:9–29. </w:t>
      </w:r>
      <w:hyperlink r:id="rId26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Jung B, et al. Sodium Bicarbonate for Severe Metabolic Acidemia and Acute Kidney Injury: The BICARICU-2 Randomized Clinical Trial. JAMA. 2025;334(22):2000–2010. doi:10.1001/jama.2025.20231. </w:t>
      </w:r>
      <w:hyperlink r:id="rId27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The SODa-BIC Investigators and the Australian and New Zealand Intensive Care Society Clinical Trials Group. Sodium Bicarbonate for Critically Ill Adults with Metabolic Acidosis and Shock. N Engl J Med. 2026;395:1062–1074. doi:10.1056/NEJMoa2600526. </w:t>
      </w:r>
      <w:hyperlink r:id="rId28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Medsafe. Sodium Bicarbonate Injection 8.4%: New Zealand Data Sheet. Acesso em 18/10/2026. </w:t>
      </w:r>
      <w:hyperlink r:id="rId29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Umpierrez GE, et al. Hyperglycemic Crises in Adults With Diabetes: A Consensus Report. Diabetes Care. 2024;47:1257–1275. doi:10.2337/dci24-0032. </w:t>
      </w:r>
      <w:hyperlink r:id="rId30">
        <w:r>
          <w:rPr>
            <w:color w:val="1A4D75"/>
          </w:rPr>
          <w:t>Acesso à fonte</w:t>
        </w:r>
      </w:hyperlink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10.  Checklist final para validação antes de publicar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Testar cada calculadora com pelo menos 3 cenários: normal, extremo e entrada inválida.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Conferir unidades: mg/dL, g/dL, mEq/L, mL, L, h e mL/h.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Comparar resultados com cálculo manual independente.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Validar preparo de soluções concentradas com farmácia/enfermagem local antes de uso assistencial.</w:t>
      </w:r>
    </w:p>
    <w:p>
      <w:pPr>
        <w:pStyle w:val="ListBullet"/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Manter aviso visível de que a ferramenta é apoio e não prescrição autônoma.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Aldenir Rocha de Oliveira Filho | Revisão 18/10/2026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00000"/>
        <w:sz w:val="16"/>
      </w:rPr>
      <w:t>Cálculos clínicos de eletrólitos bicarbonato e albumina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hyperlink" Target="https://doi.org/10.1001/jamanetworkopen.2024.55251" TargetMode="External"/><Relationship Id="rId22" Type="http://schemas.openxmlformats.org/officeDocument/2006/relationships/hyperlink" Target="https://doi.org/10.1530/EJE-13-1020" TargetMode="External"/><Relationship Id="rId23" Type="http://schemas.openxmlformats.org/officeDocument/2006/relationships/hyperlink" Target="https://doi.org/10.1056/NEJM200005253422107" TargetMode="External"/><Relationship Id="rId24" Type="http://schemas.openxmlformats.org/officeDocument/2006/relationships/hyperlink" Target="https://academic.oup.com/ndt/article/23/11/3501/1940333" TargetMode="External"/><Relationship Id="rId25" Type="http://schemas.openxmlformats.org/officeDocument/2006/relationships/hyperlink" Target="https://doi.org/10.1016/j.jhep.2024.03.031" TargetMode="External"/><Relationship Id="rId26" Type="http://schemas.openxmlformats.org/officeDocument/2006/relationships/hyperlink" Target="https://pmc.ncbi.nlm.nih.gov/articles/PMC7788190/" TargetMode="External"/><Relationship Id="rId27" Type="http://schemas.openxmlformats.org/officeDocument/2006/relationships/hyperlink" Target="https://doi.org/10.1001/jama.2025.20231" TargetMode="External"/><Relationship Id="rId28" Type="http://schemas.openxmlformats.org/officeDocument/2006/relationships/hyperlink" Target="https://doi.org/10.1056/NEJMoa2600526" TargetMode="External"/><Relationship Id="rId29" Type="http://schemas.openxmlformats.org/officeDocument/2006/relationships/hyperlink" Target="https://www.medsafe.govt.nz/profs/datasheet/s/SodiumBicarbonateinjAFT.pdf" TargetMode="External"/><Relationship Id="rId30" Type="http://schemas.openxmlformats.org/officeDocument/2006/relationships/hyperlink" Target="https://doi.org/10.2337/dci24-00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Cálculos clínicos de eletrólitos bicarbonato e albumina</dc:title>
  <dc:subject>Material didático ou instrucional para Clínica Médica</dc:subject>
  <dc:creator>Aldenir Rocha de Oliveira Filho</dc:creator>
  <cp:keywords>UTI; Clínica Médica; Nefrologia; Eletrólitos; Bicarbonato; Albumina; Antigravity</cp:keywords>
  <dc:description>Revisão documental assistida por IA. Autoria informada pelo titular.</dc:description>
  <cp:lastModifiedBy>Revisão assistida por IA</cp:lastModifiedBy>
  <cp:revision>2</cp:revision>
  <dcterms:created xsi:type="dcterms:W3CDTF">2026-10-18T15:00:00Z</dcterms:created>
  <dcterms:modified xsi:type="dcterms:W3CDTF">2026-10-18T15:00:00Z</dcterms:modified>
  <cp:category/>
</cp:coreProperties>
</file>