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b/>
          <w:color w:val="0B5159"/>
          <w:sz w:val="32"/>
        </w:rPr>
        <w:t>PROTOCOLO PRÁTICO DE UTI</w:t>
      </w:r>
    </w:p>
    <w:p>
      <w:pPr>
        <w:spacing w:after="80"/>
        <w:jc w:val="center"/>
      </w:pPr>
      <w:r>
        <w:rPr>
          <w:b/>
          <w:color w:val="063B43"/>
          <w:sz w:val="44"/>
        </w:rPr>
        <w:t>Abordagem da Intoxicação Exógena no Paciente Crítico</w:t>
      </w:r>
    </w:p>
    <w:p>
      <w:pPr>
        <w:jc w:val="center"/>
      </w:pPr>
      <w:r>
        <w:rPr>
          <w:i/>
          <w:color w:val="4B5563"/>
          <w:sz w:val="22"/>
        </w:rPr>
        <w:t>Roteiro de primeira hora • Toxíndromes • Antídotos • Hemodiálise/EXTRIP • Prescrição e evolução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70"/>
      </w:tblGrid>
      <w:tr>
        <w:tc>
          <w:tcPr>
            <w:tcW w:type="dxa" w:w="10570"/>
            <w:shd w:fill="E6F7F7"/>
            <w:tcBorders>
              <w:top w:sz="10" w:val="single" w:color="0B5159"/>
              <w:left w:sz="10" w:val="single" w:color="0B5159"/>
              <w:bottom w:sz="10" w:val="single" w:color="0B5159"/>
              <w:right w:sz="10" w:val="single" w:color="0B5159"/>
            </w:tcBorders>
          </w:tcPr>
          <w:p>
            <w:pPr>
              <w:spacing w:after="60"/>
            </w:pPr>
            <w:r>
              <w:rPr>
                <w:b/>
                <w:color w:val="0B5159"/>
                <w:sz w:val="20"/>
              </w:rPr>
              <w:t>Mensagem central para o plantão</w:t>
            </w:r>
          </w:p>
          <w:p>
            <w:pPr>
              <w:spacing w:after="0" w:line="240" w:lineRule="auto"/>
            </w:pPr>
            <w:r>
              <w:rPr>
                <w:sz w:val="19"/>
              </w:rPr>
              <w:t>Na intoxicação exógena grave, o tratamento que mais salva vidas é suporte intensivo agressivo + reconhecimento do toxíndrome + ECG seriado + antídoto correto quando indicado + contato precoce com CIATox. Não espere exame toxicológico para tratar choque, convulsão, hipoglicemia, hipoxemia, arritmia ou hipertermia.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85"/>
        <w:gridCol w:w="5285"/>
      </w:tblGrid>
      <w:tr>
        <w:trPr>
          <w:cantSplit/>
          <w:tblHeader/>
        </w:trPr>
        <w:tc>
          <w:tcPr>
            <w:tcW w:type="dxa" w:w="2088"/>
            <w:shd w:fill="0B5159"/>
            <w:vAlign w:val="top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</w:tcPr>
          <w:p>
            <w:pPr>
              <w:spacing w:after="0" w:before="0" w:line="240" w:lineRule="auto"/>
            </w:pPr>
            <w:r/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8424"/>
            <w:shd w:fill="0B5159"/>
            <w:vAlign w:val="top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</w:tcPr>
          <w:p>
            <w:pPr>
              <w:spacing w:after="0" w:before="0" w:line="240" w:lineRule="auto"/>
            </w:pPr>
            <w:r/>
            <w:r>
              <w:rPr>
                <w:b/>
                <w:color w:val="FFFFFF"/>
                <w:sz w:val="18"/>
              </w:rPr>
              <w:t>Conteúdo</w:t>
            </w:r>
          </w:p>
        </w:tc>
      </w:tr>
      <w:tr>
        <w:trPr>
          <w:cantSplit/>
        </w:trPr>
        <w:tc>
          <w:tcPr>
            <w:tcW w:type="dxa" w:w="2088"/>
            <w:shd w:fill="F6FAFB"/>
            <w:vAlign w:val="top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8"/>
              </w:rPr>
              <w:t>Uso-alvo</w:t>
            </w:r>
          </w:p>
        </w:tc>
        <w:tc>
          <w:tcPr>
            <w:tcW w:type="dxa" w:w="8424"/>
            <w:shd w:fill="F6FAFB"/>
            <w:vAlign w:val="top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8"/>
              </w:rPr>
              <w:t>UTI adulto, sala vermelha, emergência, regulação e transporte de paciente intoxicado grave.</w:t>
            </w:r>
          </w:p>
        </w:tc>
      </w:tr>
      <w:tr>
        <w:trPr>
          <w:cantSplit/>
        </w:trPr>
        <w:tc>
          <w:tcPr>
            <w:tcW w:type="dxa" w:w="2088"/>
            <w:vAlign w:val="top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8"/>
              </w:rPr>
              <w:t>Data</w:t>
            </w:r>
          </w:p>
        </w:tc>
        <w:tc>
          <w:tcPr>
            <w:tcW w:type="dxa" w:w="8424"/>
            <w:vAlign w:val="top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8"/>
              </w:rPr>
              <w:t>Elaborado em 07/05/2026. Atualizar conforme disponibilidade local, protocolos institucionais e CIATox.</w:t>
            </w:r>
          </w:p>
        </w:tc>
      </w:tr>
      <w:tr>
        <w:trPr>
          <w:cantSplit/>
        </w:trPr>
        <w:tc>
          <w:tcPr>
            <w:tcW w:type="dxa" w:w="2088"/>
            <w:shd w:fill="F6FAFB"/>
            <w:vAlign w:val="top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8"/>
              </w:rPr>
              <w:t>Contato essencial</w:t>
            </w:r>
          </w:p>
        </w:tc>
        <w:tc>
          <w:tcPr>
            <w:tcW w:type="dxa" w:w="8424"/>
            <w:shd w:fill="F6FAFB"/>
            <w:vAlign w:val="top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8"/>
              </w:rPr>
              <w:t>Disque-Intoxicação Anvisa/Renaciat: 0800 722 6001. CIATox/CE: emergência (85) 3255-5050; secretaria (85) 3255-5012.</w:t>
            </w:r>
          </w:p>
        </w:tc>
      </w:tr>
      <w:tr>
        <w:trPr>
          <w:cantSplit/>
        </w:trPr>
        <w:tc>
          <w:tcPr>
            <w:tcW w:type="dxa" w:w="2088"/>
            <w:vAlign w:val="top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8"/>
              </w:rPr>
              <w:t>Escopo</w:t>
            </w:r>
          </w:p>
        </w:tc>
        <w:tc>
          <w:tcPr>
            <w:tcW w:type="dxa" w:w="8424"/>
            <w:vAlign w:val="top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8"/>
              </w:rPr>
              <w:t>Abordagem sindrômica e prática. Não substitui julgamento clínico, bula, farmácia hospitalar, nefrologia, toxicologia ou protocolo institucional.</w:t>
            </w:r>
          </w:p>
        </w:tc>
      </w:tr>
    </w:tbl>
    <w:p>
      <w:pPr>
        <w:spacing w:after="20"/>
      </w:pPr>
    </w:p>
    <w:p>
      <w:pPr>
        <w:jc w:val="center"/>
      </w:pPr>
      <w:r>
        <w:rPr>
          <w:b/>
          <w:color w:val="0B5159"/>
          <w:sz w:val="24"/>
        </w:rPr>
        <w:t>🧪 “Trate o paciente, não o exame toxicológico.”</w:t>
      </w:r>
    </w:p>
    <w:p>
      <w:r>
        <w:br w:type="page"/>
      </w:r>
    </w:p>
    <w:p>
      <w:pPr>
        <w:pStyle w:val="Heading1"/>
      </w:pPr>
      <w:r>
        <w:t>Índice prático</w:t>
      </w:r>
    </w:p>
    <w:p>
      <w:pPr>
        <w:pStyle w:val="ListBullet"/>
        <w:spacing w:after="40"/>
        <w:ind w:left="317"/>
      </w:pPr>
      <w:r>
        <w:rPr>
          <w:sz w:val="20"/>
        </w:rPr>
        <w:t>1. Objetivos e definição operacional</w:t>
      </w:r>
    </w:p>
    <w:p>
      <w:pPr>
        <w:pStyle w:val="ListBullet"/>
        <w:spacing w:after="40"/>
        <w:ind w:left="317"/>
      </w:pPr>
      <w:r>
        <w:rPr>
          <w:sz w:val="20"/>
        </w:rPr>
        <w:t>2. Quando internar em UTI</w:t>
      </w:r>
    </w:p>
    <w:p>
      <w:pPr>
        <w:pStyle w:val="ListBullet"/>
        <w:spacing w:after="40"/>
        <w:ind w:left="317"/>
      </w:pPr>
      <w:r>
        <w:rPr>
          <w:sz w:val="20"/>
        </w:rPr>
        <w:t>3. Algoritmo da primeira hora</w:t>
      </w:r>
    </w:p>
    <w:p>
      <w:pPr>
        <w:pStyle w:val="ListBullet"/>
        <w:spacing w:after="40"/>
        <w:ind w:left="317"/>
      </w:pPr>
      <w:r>
        <w:rPr>
          <w:sz w:val="20"/>
        </w:rPr>
        <w:t>4. Avaliação inicial: ABCDE + ECG + glicose + toxíndrome</w:t>
      </w:r>
    </w:p>
    <w:p>
      <w:pPr>
        <w:pStyle w:val="ListBullet"/>
        <w:spacing w:after="40"/>
        <w:ind w:left="317"/>
      </w:pPr>
      <w:r>
        <w:rPr>
          <w:sz w:val="20"/>
        </w:rPr>
        <w:t>5. História toxicológica dirigida e documentação</w:t>
      </w:r>
    </w:p>
    <w:p>
      <w:pPr>
        <w:pStyle w:val="ListBullet"/>
        <w:spacing w:after="40"/>
        <w:ind w:left="317"/>
      </w:pPr>
      <w:r>
        <w:rPr>
          <w:sz w:val="20"/>
        </w:rPr>
        <w:t>6. Toxíndromes de alta utilidade</w:t>
      </w:r>
    </w:p>
    <w:p>
      <w:pPr>
        <w:pStyle w:val="ListBullet"/>
        <w:spacing w:after="40"/>
        <w:ind w:left="317"/>
      </w:pPr>
      <w:r>
        <w:rPr>
          <w:sz w:val="20"/>
        </w:rPr>
        <w:t>7. Exames complementares e interpretação crítica</w:t>
      </w:r>
    </w:p>
    <w:p>
      <w:pPr>
        <w:pStyle w:val="ListBullet"/>
        <w:spacing w:after="40"/>
        <w:ind w:left="317"/>
      </w:pPr>
      <w:r>
        <w:rPr>
          <w:sz w:val="20"/>
        </w:rPr>
        <w:t>8. Descontaminação e prevenção de absorção</w:t>
      </w:r>
    </w:p>
    <w:p>
      <w:pPr>
        <w:pStyle w:val="ListBullet"/>
        <w:spacing w:after="40"/>
        <w:ind w:left="317"/>
      </w:pPr>
      <w:r>
        <w:rPr>
          <w:sz w:val="20"/>
        </w:rPr>
        <w:t>9. Antídotos: tabela de dose e armadilhas</w:t>
      </w:r>
    </w:p>
    <w:p>
      <w:pPr>
        <w:pStyle w:val="ListBullet"/>
        <w:spacing w:after="40"/>
        <w:ind w:left="317"/>
      </w:pPr>
      <w:r>
        <w:rPr>
          <w:sz w:val="20"/>
        </w:rPr>
        <w:t>10. Choque e arritmias por intoxicação</w:t>
      </w:r>
    </w:p>
    <w:p>
      <w:pPr>
        <w:pStyle w:val="ListBullet"/>
        <w:spacing w:after="40"/>
        <w:ind w:left="317"/>
      </w:pPr>
      <w:r>
        <w:rPr>
          <w:sz w:val="20"/>
        </w:rPr>
        <w:t>11. Convulsão, coma, agitação e hipertermia</w:t>
      </w:r>
    </w:p>
    <w:p>
      <w:pPr>
        <w:pStyle w:val="ListBullet"/>
        <w:spacing w:after="40"/>
        <w:ind w:left="317"/>
      </w:pPr>
      <w:r>
        <w:rPr>
          <w:sz w:val="20"/>
        </w:rPr>
        <w:t>12. Síndromes específicas: opioides, benzodiazepínicos, antidepressivos, CCB/BB, digoxina, organofosforados, paracetamol, salicilatos, álcoois tóxicos, CO/cianeto/metemoglobina</w:t>
      </w:r>
    </w:p>
    <w:p>
      <w:pPr>
        <w:pStyle w:val="ListBullet"/>
        <w:spacing w:after="40"/>
        <w:ind w:left="317"/>
      </w:pPr>
      <w:r>
        <w:rPr>
          <w:sz w:val="20"/>
        </w:rPr>
        <w:t>13. Eliminação extracorpórea/EXTRIP</w:t>
      </w:r>
    </w:p>
    <w:p>
      <w:pPr>
        <w:pStyle w:val="ListBullet"/>
        <w:spacing w:after="40"/>
        <w:ind w:left="317"/>
      </w:pPr>
      <w:r>
        <w:rPr>
          <w:sz w:val="20"/>
        </w:rPr>
        <w:t>14. Monitorização em UTI, critérios de alta e notificação</w:t>
      </w:r>
    </w:p>
    <w:p>
      <w:pPr>
        <w:pStyle w:val="ListBullet"/>
        <w:spacing w:after="40"/>
        <w:ind w:left="317"/>
      </w:pPr>
      <w:r>
        <w:rPr>
          <w:sz w:val="20"/>
        </w:rPr>
        <w:t>15. Modelos prontos: evolução, prescrição, handoff e checklist</w:t>
      </w:r>
    </w:p>
    <w:p>
      <w:pPr>
        <w:pStyle w:val="ListBullet"/>
        <w:spacing w:after="40"/>
        <w:ind w:left="317"/>
      </w:pPr>
      <w:r>
        <w:rPr>
          <w:sz w:val="20"/>
        </w:rPr>
        <w:t>16. Erros fatais e PERLAS TEMI</w:t>
      </w:r>
    </w:p>
    <w:p>
      <w:pPr>
        <w:pStyle w:val="ListBullet"/>
        <w:spacing w:after="40"/>
        <w:ind w:left="317"/>
      </w:pPr>
      <w:r>
        <w:rPr>
          <w:sz w:val="20"/>
        </w:rPr>
        <w:t>17. Referências</w:t>
      </w:r>
    </w:p>
    <w:p>
      <w:pPr>
        <w:pStyle w:val="Heading1"/>
      </w:pPr>
      <w:r>
        <w:t>1. Objetivos e definição operacional</w:t>
      </w:r>
    </w:p>
    <w:p>
      <w:r>
        <w:t>Intoxicação exógena é a síndrome clínica e/ou laboratorial causada pela exposição a substâncias químicas, medicamentos, drogas lícitas ou ilícitas, agrotóxicos, produtos domésticos/industriais, plantas, alimentos, cosméticos, substâncias biológicas ou outros agentes potencialmente tóxicos. Na UTI, o foco não é “descobrir tudo” no primeiro minuto: é impedir morte evitável enquanto se identifica o padrão toxicológico provável.</w:t>
      </w:r>
    </w:p>
    <w:p>
      <w:pPr>
        <w:pStyle w:val="ListBullet"/>
        <w:spacing w:after="40"/>
        <w:ind w:left="317"/>
      </w:pPr>
      <w:r>
        <w:rPr>
          <w:b/>
          <w:sz w:val="20"/>
        </w:rPr>
        <w:t xml:space="preserve">Objetivo 1: </w:t>
      </w:r>
      <w:r>
        <w:rPr>
          <w:sz w:val="20"/>
        </w:rPr>
        <w:t>estabilizar via aérea, ventilação, circulação, temperatura, glicemia e convulsões.</w:t>
      </w:r>
    </w:p>
    <w:p>
      <w:pPr>
        <w:pStyle w:val="ListBullet"/>
        <w:spacing w:after="40"/>
        <w:ind w:left="317"/>
      </w:pPr>
      <w:r>
        <w:rPr>
          <w:b/>
          <w:sz w:val="20"/>
        </w:rPr>
        <w:t xml:space="preserve">Objetivo 2: </w:t>
      </w:r>
      <w:r>
        <w:rPr>
          <w:sz w:val="20"/>
        </w:rPr>
        <w:t>identificar o toxíndrome e os marcadores de gravidade pelo exame físico, ECG, gasometria, lactato, eletrólitos, função renal/hepática, osmolaridade e evolução temporal.</w:t>
      </w:r>
    </w:p>
    <w:p>
      <w:pPr>
        <w:pStyle w:val="ListBullet"/>
        <w:spacing w:after="40"/>
        <w:ind w:left="317"/>
      </w:pPr>
      <w:r>
        <w:rPr>
          <w:b/>
          <w:sz w:val="20"/>
        </w:rPr>
        <w:t xml:space="preserve">Objetivo 3: </w:t>
      </w:r>
      <w:r>
        <w:rPr>
          <w:sz w:val="20"/>
        </w:rPr>
        <w:t>decidir rapidamente sobre antídoto, descontaminação, eliminação extracorpórea, observação prolongada e notificação.</w:t>
      </w:r>
    </w:p>
    <w:p>
      <w:pPr>
        <w:pStyle w:val="ListBullet"/>
        <w:spacing w:after="40"/>
        <w:ind w:left="317"/>
      </w:pPr>
      <w:r>
        <w:rPr>
          <w:b/>
          <w:sz w:val="20"/>
        </w:rPr>
        <w:t xml:space="preserve">Objetivo 4: </w:t>
      </w:r>
      <w:r>
        <w:rPr>
          <w:sz w:val="20"/>
        </w:rPr>
        <w:t>documentar com robustez médico-legal, especialmente em tentativa de autoextermínio, violência, exposição ocupacional, agrotóxicos ou intoxicação criminosa.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70"/>
      </w:tblGrid>
      <w:tr>
        <w:tc>
          <w:tcPr>
            <w:tcW w:type="dxa" w:w="10570"/>
            <w:shd w:fill="FFF7E6"/>
            <w:tcBorders>
              <w:top w:sz="10" w:val="single" w:color="D97706"/>
              <w:left w:sz="10" w:val="single" w:color="D97706"/>
              <w:bottom w:sz="10" w:val="single" w:color="D97706"/>
              <w:right w:sz="10" w:val="single" w:color="D97706"/>
            </w:tcBorders>
          </w:tcPr>
          <w:p>
            <w:pPr>
              <w:spacing w:after="60"/>
            </w:pPr>
            <w:r>
              <w:rPr>
                <w:b/>
                <w:color w:val="0B5159"/>
                <w:sz w:val="20"/>
              </w:rPr>
              <w:t>Regra de ouro</w:t>
            </w:r>
          </w:p>
          <w:p>
            <w:pPr>
              <w:spacing w:after="0" w:line="240" w:lineRule="auto"/>
            </w:pPr>
            <w:r>
              <w:rPr>
                <w:sz w:val="19"/>
              </w:rPr>
              <w:t>A ausência de triagem toxicológica positiva não exclui intoxicação grave. Muitos testes urinários são qualitativos, têm falsos positivos/negativos e não medem gravidade. O ECG e a fisiologia do paciente costumam ser mais úteis na primeira hora.</w:t>
            </w:r>
          </w:p>
        </w:tc>
      </w:tr>
    </w:tbl>
    <w:p>
      <w:pPr>
        <w:pStyle w:val="Heading1"/>
      </w:pPr>
      <w:r>
        <w:t>2. Quando internar em UTI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85"/>
        <w:gridCol w:w="5285"/>
      </w:tblGrid>
      <w:tr>
        <w:trPr>
          <w:cantSplit/>
          <w:tblHeader/>
        </w:trPr>
        <w:tc>
          <w:tcPr>
            <w:tcW w:type="dxa" w:w="2232"/>
            <w:shd w:fill="0B5159"/>
            <w:vAlign w:val="top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</w:tcPr>
          <w:p>
            <w:pPr>
              <w:spacing w:after="0" w:before="0" w:line="240" w:lineRule="auto"/>
            </w:pPr>
            <w:r/>
            <w:r>
              <w:rPr>
                <w:b/>
                <w:color w:val="FFFFFF"/>
                <w:sz w:val="17"/>
              </w:rPr>
              <w:t>Domínio</w:t>
            </w:r>
          </w:p>
        </w:tc>
        <w:tc>
          <w:tcPr>
            <w:tcW w:type="dxa" w:w="8280"/>
            <w:shd w:fill="0B5159"/>
            <w:vAlign w:val="top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</w:tcPr>
          <w:p>
            <w:pPr>
              <w:spacing w:after="0" w:before="0" w:line="240" w:lineRule="auto"/>
            </w:pPr>
            <w:r/>
            <w:r>
              <w:rPr>
                <w:b/>
                <w:color w:val="FFFFFF"/>
                <w:sz w:val="17"/>
              </w:rPr>
              <w:t>Indicadores de UTI</w:t>
            </w:r>
          </w:p>
        </w:tc>
      </w:tr>
      <w:tr>
        <w:trPr>
          <w:cantSplit/>
        </w:trPr>
        <w:tc>
          <w:tcPr>
            <w:tcW w:type="dxa" w:w="2232"/>
            <w:shd w:fill="F6FAFB"/>
            <w:vAlign w:val="top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7"/>
              </w:rPr>
              <w:t>Respiratório/neurológico</w:t>
            </w:r>
          </w:p>
        </w:tc>
        <w:tc>
          <w:tcPr>
            <w:tcW w:type="dxa" w:w="8280"/>
            <w:shd w:fill="F6FAFB"/>
            <w:vAlign w:val="top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7"/>
              </w:rPr>
              <w:t>Glasgow ≤ 8, perda de reflexos protetores, hipoxemia, hipercapnia, apneia, broncorreia intensa, risco de aspiração, necessidade de IOT/VM, convulsões, delirium grave.</w:t>
            </w:r>
          </w:p>
        </w:tc>
      </w:tr>
      <w:tr>
        <w:trPr>
          <w:cantSplit/>
        </w:trPr>
        <w:tc>
          <w:tcPr>
            <w:tcW w:type="dxa" w:w="2232"/>
            <w:vAlign w:val="top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7"/>
              </w:rPr>
              <w:t>Cardiovascular</w:t>
            </w:r>
          </w:p>
        </w:tc>
        <w:tc>
          <w:tcPr>
            <w:tcW w:type="dxa" w:w="8280"/>
            <w:vAlign w:val="top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7"/>
              </w:rPr>
              <w:t>Choque, necessidade de vasopressor/inotrópico, arritmia, BAV, QRS alargado, QTc importante, síncope, parada revertida, bradicardia/taquicardia instável.</w:t>
            </w:r>
          </w:p>
        </w:tc>
      </w:tr>
      <w:tr>
        <w:trPr>
          <w:cantSplit/>
        </w:trPr>
        <w:tc>
          <w:tcPr>
            <w:tcW w:type="dxa" w:w="2232"/>
            <w:shd w:fill="F6FAFB"/>
            <w:vAlign w:val="top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7"/>
              </w:rPr>
              <w:t>Metabólico</w:t>
            </w:r>
          </w:p>
        </w:tc>
        <w:tc>
          <w:tcPr>
            <w:tcW w:type="dxa" w:w="8280"/>
            <w:shd w:fill="F6FAFB"/>
            <w:vAlign w:val="top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7"/>
              </w:rPr>
              <w:t>Acidose grave, lactato elevado, hipercalemia/hipocalemia grave, hipoglicemia recorrente, hipertermia, rabdomiólise, lesão renal/hepática, osmolar gap/anion gap sugestivo.</w:t>
            </w:r>
          </w:p>
        </w:tc>
      </w:tr>
      <w:tr>
        <w:trPr>
          <w:cantSplit/>
        </w:trPr>
        <w:tc>
          <w:tcPr>
            <w:tcW w:type="dxa" w:w="2232"/>
            <w:vAlign w:val="top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7"/>
              </w:rPr>
              <w:t>Toxicológico</w:t>
            </w:r>
          </w:p>
        </w:tc>
        <w:tc>
          <w:tcPr>
            <w:tcW w:type="dxa" w:w="8280"/>
            <w:vAlign w:val="top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7"/>
              </w:rPr>
              <w:t>Ingestão de dose potencialmente letal, formulação de liberação prolongada, múltiplas substâncias, substância desconhecida, ingestão intencional, necessidade de antídoto IV ou diálise.</w:t>
            </w:r>
          </w:p>
        </w:tc>
      </w:tr>
      <w:tr>
        <w:trPr>
          <w:cantSplit/>
        </w:trPr>
        <w:tc>
          <w:tcPr>
            <w:tcW w:type="dxa" w:w="2232"/>
            <w:shd w:fill="F6FAFB"/>
            <w:vAlign w:val="top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7"/>
              </w:rPr>
              <w:t>Social/segurança</w:t>
            </w:r>
          </w:p>
        </w:tc>
        <w:tc>
          <w:tcPr>
            <w:tcW w:type="dxa" w:w="8280"/>
            <w:shd w:fill="F6FAFB"/>
            <w:vAlign w:val="top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7"/>
              </w:rPr>
              <w:t>Tentativa de autoextermínio, risco de nova exposição, violência, intoxicação ocupacional/agrotóxico, criança/gestante, idoso, comorbidade importante.</w:t>
            </w:r>
          </w:p>
        </w:tc>
      </w:tr>
    </w:tbl>
    <w:p>
      <w:pPr>
        <w:spacing w:after="20"/>
      </w:pPr>
    </w:p>
    <w:p>
      <w:pPr>
        <w:pStyle w:val="Heading1"/>
      </w:pPr>
      <w:r>
        <w:t>3. Algoritmo da primeira hora: “TOX-60”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23"/>
        <w:gridCol w:w="3523"/>
        <w:gridCol w:w="3523"/>
      </w:tblGrid>
      <w:tr>
        <w:trPr>
          <w:cantSplit/>
          <w:tblHeader/>
        </w:trPr>
        <w:tc>
          <w:tcPr>
            <w:tcW w:type="dxa" w:w="1152"/>
            <w:shd w:fill="0B5159"/>
            <w:vAlign w:val="top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</w:tcPr>
          <w:p>
            <w:pPr>
              <w:spacing w:after="0" w:before="0" w:line="240" w:lineRule="auto"/>
            </w:pPr>
            <w:r/>
            <w:r>
              <w:rPr>
                <w:b/>
                <w:color w:val="FFFFFF"/>
                <w:sz w:val="16"/>
              </w:rPr>
              <w:t>Tempo</w:t>
            </w:r>
          </w:p>
        </w:tc>
        <w:tc>
          <w:tcPr>
            <w:tcW w:type="dxa" w:w="2160"/>
            <w:shd w:fill="0B5159"/>
            <w:vAlign w:val="top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</w:tcPr>
          <w:p>
            <w:pPr>
              <w:spacing w:after="0" w:before="0" w:line="240" w:lineRule="auto"/>
            </w:pPr>
            <w:r/>
            <w:r>
              <w:rPr>
                <w:b/>
                <w:color w:val="FFFFFF"/>
                <w:sz w:val="16"/>
              </w:rPr>
              <w:t>Missão</w:t>
            </w:r>
          </w:p>
        </w:tc>
        <w:tc>
          <w:tcPr>
            <w:tcW w:type="dxa" w:w="7200"/>
            <w:shd w:fill="0B5159"/>
            <w:vAlign w:val="top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</w:tcPr>
          <w:p>
            <w:pPr>
              <w:spacing w:after="0" w:before="0" w:line="240" w:lineRule="auto"/>
            </w:pPr>
            <w:r/>
            <w:r>
              <w:rPr>
                <w:b/>
                <w:color w:val="FFFFFF"/>
                <w:sz w:val="16"/>
              </w:rPr>
              <w:t>Conduta prática</w:t>
            </w:r>
          </w:p>
        </w:tc>
      </w:tr>
      <w:tr>
        <w:trPr>
          <w:cantSplit/>
        </w:trPr>
        <w:tc>
          <w:tcPr>
            <w:tcW w:type="dxa" w:w="1152"/>
            <w:shd w:fill="F6FAFB"/>
            <w:vAlign w:val="top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6"/>
              </w:rPr>
              <w:t>0–5 min</w:t>
            </w:r>
          </w:p>
        </w:tc>
        <w:tc>
          <w:tcPr>
            <w:tcW w:type="dxa" w:w="2160"/>
            <w:shd w:fill="F6FAFB"/>
            <w:vAlign w:val="top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6"/>
              </w:rPr>
              <w:t>Segurança + chamar ajuda</w:t>
            </w:r>
          </w:p>
        </w:tc>
        <w:tc>
          <w:tcPr>
            <w:tcW w:type="dxa" w:w="7200"/>
            <w:shd w:fill="F6FAFB"/>
            <w:vAlign w:val="top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6"/>
              </w:rPr>
              <w:t>EPI; retirar fonte de exposição; acionar sala vermelha/UTI; preparar via aérea; contactar CIATox se quadro grave, agente desconhecido ou antídoto/diálise em dúvida.</w:t>
            </w:r>
          </w:p>
        </w:tc>
      </w:tr>
      <w:tr>
        <w:trPr>
          <w:cantSplit/>
        </w:trPr>
        <w:tc>
          <w:tcPr>
            <w:tcW w:type="dxa" w:w="1152"/>
            <w:vAlign w:val="top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6"/>
              </w:rPr>
              <w:t>0–10 min</w:t>
            </w:r>
          </w:p>
        </w:tc>
        <w:tc>
          <w:tcPr>
            <w:tcW w:type="dxa" w:w="2160"/>
            <w:vAlign w:val="top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6"/>
              </w:rPr>
              <w:t>ABCDE fisiológico</w:t>
            </w:r>
          </w:p>
        </w:tc>
        <w:tc>
          <w:tcPr>
            <w:tcW w:type="dxa" w:w="7200"/>
            <w:vAlign w:val="top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6"/>
              </w:rPr>
              <w:t>Oxigênio, monitor, 2 acessos IV/IO, glicemia capilar, ECG 12 derivações, gasometria, temperatura central, coleta inicial. Se coma/hipoventilação: ventilação assistida e naloxona se suspeita.</w:t>
            </w:r>
          </w:p>
        </w:tc>
      </w:tr>
      <w:tr>
        <w:trPr>
          <w:cantSplit/>
        </w:trPr>
        <w:tc>
          <w:tcPr>
            <w:tcW w:type="dxa" w:w="1152"/>
            <w:shd w:fill="F6FAFB"/>
            <w:vAlign w:val="top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6"/>
              </w:rPr>
              <w:t>10–20 min</w:t>
            </w:r>
          </w:p>
        </w:tc>
        <w:tc>
          <w:tcPr>
            <w:tcW w:type="dxa" w:w="2160"/>
            <w:shd w:fill="F6FAFB"/>
            <w:vAlign w:val="top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6"/>
              </w:rPr>
              <w:t>ECG + toxíndrome</w:t>
            </w:r>
          </w:p>
        </w:tc>
        <w:tc>
          <w:tcPr>
            <w:tcW w:type="dxa" w:w="7200"/>
            <w:shd w:fill="F6FAFB"/>
            <w:vAlign w:val="top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6"/>
              </w:rPr>
              <w:t>QRS? QTc? bradi/taqui? bloqueio? pupilas? pele seca/sudorese? secreções? hipertermia? clônus? rigidez? odor? queimadura química?</w:t>
            </w:r>
          </w:p>
        </w:tc>
      </w:tr>
      <w:tr>
        <w:trPr>
          <w:cantSplit/>
        </w:trPr>
        <w:tc>
          <w:tcPr>
            <w:tcW w:type="dxa" w:w="1152"/>
            <w:vAlign w:val="top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6"/>
              </w:rPr>
              <w:t>20–40 min</w:t>
            </w:r>
          </w:p>
        </w:tc>
        <w:tc>
          <w:tcPr>
            <w:tcW w:type="dxa" w:w="2160"/>
            <w:vAlign w:val="top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6"/>
              </w:rPr>
              <w:t>Antídoto/descontaminação</w:t>
            </w:r>
          </w:p>
        </w:tc>
        <w:tc>
          <w:tcPr>
            <w:tcW w:type="dxa" w:w="7200"/>
            <w:vAlign w:val="top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6"/>
              </w:rPr>
              <w:t>Antídotos tempo-dependentes; carvão ativado se indicação e via aérea protegida; descontaminação cutânea/ocular; evitar lavagem gástrica rotineira.</w:t>
            </w:r>
          </w:p>
        </w:tc>
      </w:tr>
      <w:tr>
        <w:trPr>
          <w:cantSplit/>
        </w:trPr>
        <w:tc>
          <w:tcPr>
            <w:tcW w:type="dxa" w:w="1152"/>
            <w:shd w:fill="F6FAFB"/>
            <w:vAlign w:val="top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6"/>
              </w:rPr>
              <w:t>40–60 min</w:t>
            </w:r>
          </w:p>
        </w:tc>
        <w:tc>
          <w:tcPr>
            <w:tcW w:type="dxa" w:w="2160"/>
            <w:shd w:fill="F6FAFB"/>
            <w:vAlign w:val="top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6"/>
              </w:rPr>
              <w:t>Plano de UTI</w:t>
            </w:r>
          </w:p>
        </w:tc>
        <w:tc>
          <w:tcPr>
            <w:tcW w:type="dxa" w:w="7200"/>
            <w:shd w:fill="F6FAFB"/>
            <w:vAlign w:val="top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6"/>
              </w:rPr>
              <w:t>Estratificar risco, repetir ECG/gasometria, monitorar glicose/K/Mg/lactato, prescrever sedação/vasopressor/antídoto, discutir diálise/ECMO, notificação e psiquiatria quando seguro.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70"/>
      </w:tblGrid>
      <w:tr>
        <w:tc>
          <w:tcPr>
            <w:tcW w:type="dxa" w:w="10570"/>
            <w:shd w:fill="EAF4FF"/>
            <w:tcBorders>
              <w:top w:sz="10" w:val="single" w:color="2563EB"/>
              <w:left w:sz="10" w:val="single" w:color="2563EB"/>
              <w:bottom w:sz="10" w:val="single" w:color="2563EB"/>
              <w:right w:sz="10" w:val="single" w:color="2563EB"/>
            </w:tcBorders>
          </w:tcPr>
          <w:p>
            <w:pPr>
              <w:spacing w:after="60"/>
            </w:pPr>
            <w:r>
              <w:rPr>
                <w:b/>
                <w:color w:val="0B5159"/>
                <w:sz w:val="20"/>
              </w:rPr>
              <w:t>Bundle TOX-60 para copiar no plantão</w:t>
            </w:r>
          </w:p>
          <w:p>
            <w:pPr>
              <w:spacing w:after="0" w:line="240" w:lineRule="auto"/>
            </w:pPr>
            <w:r>
              <w:rPr>
                <w:sz w:val="19"/>
              </w:rPr>
              <w:t>Monitor cardíaco + oximetria + PA invasiva se choque; ECG 12D repetido; glicemia agora e seriada; gasometria/lactato; eletrólitos incluindo K, Mg, Ca; função renal/hepática; CK; osmolaridade se suspeita de álcoois tóxicos; paracetamol/salicilato quando cabível; contato CIATox; documentação da fonte, dose, horário e coingestões.</w:t>
            </w:r>
          </w:p>
        </w:tc>
      </w:tr>
    </w:tbl>
    <w:p>
      <w:pPr>
        <w:pStyle w:val="Heading1"/>
      </w:pPr>
      <w:r>
        <w:t>4. Avaliação inicial: ABCDE + ECG + glicose + toxíndrome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85"/>
        <w:gridCol w:w="5285"/>
      </w:tblGrid>
      <w:tr>
        <w:trPr>
          <w:cantSplit/>
          <w:tblHeader/>
        </w:trPr>
        <w:tc>
          <w:tcPr>
            <w:tcW w:type="dxa" w:w="1512"/>
            <w:shd w:fill="0B5159"/>
            <w:vAlign w:val="top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</w:tcPr>
          <w:p>
            <w:pPr>
              <w:spacing w:after="0" w:before="0" w:line="240" w:lineRule="auto"/>
            </w:pPr>
            <w:r/>
            <w:r>
              <w:rPr>
                <w:b/>
                <w:color w:val="FFFFFF"/>
                <w:sz w:val="17"/>
              </w:rPr>
              <w:t>Etapa</w:t>
            </w:r>
          </w:p>
        </w:tc>
        <w:tc>
          <w:tcPr>
            <w:tcW w:type="dxa" w:w="9000"/>
            <w:shd w:fill="0B5159"/>
            <w:vAlign w:val="top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</w:tcPr>
          <w:p>
            <w:pPr>
              <w:spacing w:after="0" w:before="0" w:line="240" w:lineRule="auto"/>
            </w:pPr>
            <w:r/>
            <w:r>
              <w:rPr>
                <w:b/>
                <w:color w:val="FFFFFF"/>
                <w:sz w:val="17"/>
              </w:rPr>
              <w:t>O que não pode faltar</w:t>
            </w:r>
          </w:p>
        </w:tc>
      </w:tr>
      <w:tr>
        <w:trPr>
          <w:cantSplit/>
        </w:trPr>
        <w:tc>
          <w:tcPr>
            <w:tcW w:type="dxa" w:w="1512"/>
            <w:shd w:fill="F6FAFB"/>
            <w:vAlign w:val="top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7"/>
              </w:rPr>
              <w:t>A - Via aérea</w:t>
            </w:r>
          </w:p>
        </w:tc>
        <w:tc>
          <w:tcPr>
            <w:tcW w:type="dxa" w:w="9000"/>
            <w:shd w:fill="F6FAFB"/>
            <w:vAlign w:val="top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7"/>
              </w:rPr>
              <w:t>Avaliar proteção, vômitos, broncorreia, trauma, corrosivos. IOT precoce se Glasgow baixo, hipoventilação, convulsões repetidas, choque grave, necessidade de carvão em paciente não cooperativo ou transporte inseguro.</w:t>
            </w:r>
          </w:p>
        </w:tc>
      </w:tr>
      <w:tr>
        <w:trPr>
          <w:cantSplit/>
        </w:trPr>
        <w:tc>
          <w:tcPr>
            <w:tcW w:type="dxa" w:w="1512"/>
            <w:vAlign w:val="top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7"/>
              </w:rPr>
              <w:t>B - Respiração</w:t>
            </w:r>
          </w:p>
        </w:tc>
        <w:tc>
          <w:tcPr>
            <w:tcW w:type="dxa" w:w="9000"/>
            <w:vAlign w:val="top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7"/>
              </w:rPr>
              <w:t>Capnografia se IOT; gasometria; pesquisar hipoventilação por opioide/sedativo, broncoespasmo por colinérgico, pneumonite aspirativa/hidrocarbonetos, edema pulmonar não cardiogênico.</w:t>
            </w:r>
          </w:p>
        </w:tc>
      </w:tr>
      <w:tr>
        <w:trPr>
          <w:cantSplit/>
        </w:trPr>
        <w:tc>
          <w:tcPr>
            <w:tcW w:type="dxa" w:w="1512"/>
            <w:shd w:fill="F6FAFB"/>
            <w:vAlign w:val="top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7"/>
              </w:rPr>
              <w:t>C - Circulação</w:t>
            </w:r>
          </w:p>
        </w:tc>
        <w:tc>
          <w:tcPr>
            <w:tcW w:type="dxa" w:w="9000"/>
            <w:shd w:fill="F6FAFB"/>
            <w:vAlign w:val="top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7"/>
              </w:rPr>
              <w:t>Dois acessos calibrosos; cristaloide com cautela; noradrenalina se choque; tratar causa toxicológica: bicarbonato no bloqueio de sódio, cálcio/HDI em CCB/BB, atropina/pralidoxima em organofosforado, Fab em digoxina.</w:t>
            </w:r>
          </w:p>
        </w:tc>
      </w:tr>
      <w:tr>
        <w:trPr>
          <w:cantSplit/>
        </w:trPr>
        <w:tc>
          <w:tcPr>
            <w:tcW w:type="dxa" w:w="1512"/>
            <w:vAlign w:val="top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7"/>
              </w:rPr>
              <w:t>D - Neurológico</w:t>
            </w:r>
          </w:p>
        </w:tc>
        <w:tc>
          <w:tcPr>
            <w:tcW w:type="dxa" w:w="9000"/>
            <w:vAlign w:val="top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7"/>
              </w:rPr>
              <w:t>Glicemia imediata; naloxona se coma + hipoventilação/miose ou suspeita; benzodiazepínico para convulsão/agitação; temperatura; pupilas; clônus/rigidez; sinais focais não excluem tox.</w:t>
            </w:r>
          </w:p>
        </w:tc>
      </w:tr>
      <w:tr>
        <w:trPr>
          <w:cantSplit/>
        </w:trPr>
        <w:tc>
          <w:tcPr>
            <w:tcW w:type="dxa" w:w="1512"/>
            <w:shd w:fill="F6FAFB"/>
            <w:vAlign w:val="top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7"/>
              </w:rPr>
              <w:t>E - Exposição</w:t>
            </w:r>
          </w:p>
        </w:tc>
        <w:tc>
          <w:tcPr>
            <w:tcW w:type="dxa" w:w="9000"/>
            <w:shd w:fill="F6FAFB"/>
            <w:vAlign w:val="top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7"/>
              </w:rPr>
              <w:t>Retirar roupas contaminadas; irrigar pele/olhos; controlar hipertermia; procurar adesivos transdérmicos, comprimidos no bolso, frascos, odor, queimaduras, sinais de trauma/violência.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70"/>
      </w:tblGrid>
      <w:tr>
        <w:tc>
          <w:tcPr>
            <w:tcW w:type="dxa" w:w="10570"/>
            <w:shd w:fill="F2F6F7"/>
            <w:tcBorders>
              <w:top w:sz="10" w:val="single" w:color="6B7280"/>
              <w:left w:sz="10" w:val="single" w:color="6B7280"/>
              <w:bottom w:sz="10" w:val="single" w:color="6B7280"/>
              <w:right w:sz="10" w:val="single" w:color="6B7280"/>
            </w:tcBorders>
          </w:tcPr>
          <w:p>
            <w:pPr>
              <w:spacing w:after="60"/>
            </w:pPr>
            <w:r>
              <w:rPr>
                <w:b/>
                <w:color w:val="0B5159"/>
                <w:sz w:val="20"/>
              </w:rPr>
              <w:t>Tríade empírica em coma? Use com inteligência</w:t>
            </w:r>
          </w:p>
          <w:p>
            <w:pPr>
              <w:spacing w:after="0" w:line="240" w:lineRule="auto"/>
            </w:pPr>
            <w:r>
              <w:rPr>
                <w:sz w:val="19"/>
              </w:rPr>
              <w:t>Glicose se hipoglicemia ou impossibilidade de medir; tiamina antes/associada à glicose se risco nutricional/alcoolismo; naloxona se hipoventilação ou suspeita de opioide. Flumazenil NÃO é “antídoto universal do coma” e pode precipitar convulsão em intoxicação mista ou dependência de benzodiazepínicos.</w:t>
            </w:r>
          </w:p>
        </w:tc>
      </w:tr>
    </w:tbl>
    <w:p>
      <w:pPr>
        <w:pStyle w:val="Heading1"/>
      </w:pPr>
      <w:r>
        <w:t>5. História toxicológica dirigida e documentação</w:t>
      </w:r>
    </w:p>
    <w:p>
      <w:r>
        <w:t>A história deve ser curta, dirigida e repetida com familiares, SAMU, polícia, enfermagem, farmácia e prontuário. Um detalhe que parece pequeno pode mudar antídoto, diálise, tempo de observação e risco médico-legal.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85"/>
        <w:gridCol w:w="5285"/>
      </w:tblGrid>
      <w:tr>
        <w:trPr>
          <w:cantSplit/>
          <w:tblHeader/>
        </w:trPr>
        <w:tc>
          <w:tcPr>
            <w:tcW w:type="dxa" w:w="1584"/>
            <w:shd w:fill="0B5159"/>
            <w:vAlign w:val="top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</w:tcPr>
          <w:p>
            <w:pPr>
              <w:spacing w:after="0" w:before="0" w:line="240" w:lineRule="auto"/>
            </w:pPr>
            <w:r/>
            <w:r>
              <w:rPr>
                <w:b/>
                <w:color w:val="FFFFFF"/>
                <w:sz w:val="17"/>
              </w:rPr>
              <w:t>Pergunta</w:t>
            </w:r>
          </w:p>
        </w:tc>
        <w:tc>
          <w:tcPr>
            <w:tcW w:type="dxa" w:w="8928"/>
            <w:shd w:fill="0B5159"/>
            <w:vAlign w:val="top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</w:tcPr>
          <w:p>
            <w:pPr>
              <w:spacing w:after="0" w:before="0" w:line="240" w:lineRule="auto"/>
            </w:pPr>
            <w:r/>
            <w:r>
              <w:rPr>
                <w:b/>
                <w:color w:val="FFFFFF"/>
                <w:sz w:val="17"/>
              </w:rPr>
              <w:t>Detalhes práticos</w:t>
            </w:r>
          </w:p>
        </w:tc>
      </w:tr>
      <w:tr>
        <w:trPr>
          <w:cantSplit/>
        </w:trPr>
        <w:tc>
          <w:tcPr>
            <w:tcW w:type="dxa" w:w="1584"/>
            <w:shd w:fill="F6FAFB"/>
            <w:vAlign w:val="top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7"/>
              </w:rPr>
              <w:t>Quem?</w:t>
            </w:r>
          </w:p>
        </w:tc>
        <w:tc>
          <w:tcPr>
            <w:tcW w:type="dxa" w:w="8928"/>
            <w:shd w:fill="F6FAFB"/>
            <w:vAlign w:val="top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7"/>
              </w:rPr>
              <w:t>Idade, peso, comorbidades, gestação, doença renal/hepática, uso crônico de benzodiazepínico, opioide, antidepressivo, beta-bloqueador, anticonvulsivante, lítio, digoxina.</w:t>
            </w:r>
          </w:p>
        </w:tc>
      </w:tr>
      <w:tr>
        <w:trPr>
          <w:cantSplit/>
        </w:trPr>
        <w:tc>
          <w:tcPr>
            <w:tcW w:type="dxa" w:w="1584"/>
            <w:vAlign w:val="top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7"/>
              </w:rPr>
              <w:t>O quê?</w:t>
            </w:r>
          </w:p>
        </w:tc>
        <w:tc>
          <w:tcPr>
            <w:tcW w:type="dxa" w:w="8928"/>
            <w:vAlign w:val="top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7"/>
              </w:rPr>
              <w:t>Nome comercial, princípio ativo, concentração, número de comprimidos/frascos, formulação liberação prolongada, agrotóxico, solvente, produto doméstico, droga recreativa, mistura.</w:t>
            </w:r>
          </w:p>
        </w:tc>
      </w:tr>
      <w:tr>
        <w:trPr>
          <w:cantSplit/>
        </w:trPr>
        <w:tc>
          <w:tcPr>
            <w:tcW w:type="dxa" w:w="1584"/>
            <w:shd w:fill="F6FAFB"/>
            <w:vAlign w:val="top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7"/>
              </w:rPr>
              <w:t>Quanto?</w:t>
            </w:r>
          </w:p>
        </w:tc>
        <w:tc>
          <w:tcPr>
            <w:tcW w:type="dxa" w:w="8928"/>
            <w:shd w:fill="F6FAFB"/>
            <w:vAlign w:val="top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7"/>
              </w:rPr>
              <w:t>Dose estimada em mg/kg; pior cenário plausível; conferir blíster/frascos; checar receitas e farmácia.</w:t>
            </w:r>
          </w:p>
        </w:tc>
      </w:tr>
      <w:tr>
        <w:trPr>
          <w:cantSplit/>
        </w:trPr>
        <w:tc>
          <w:tcPr>
            <w:tcW w:type="dxa" w:w="1584"/>
            <w:vAlign w:val="top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7"/>
              </w:rPr>
              <w:t>Quando?</w:t>
            </w:r>
          </w:p>
        </w:tc>
        <w:tc>
          <w:tcPr>
            <w:tcW w:type="dxa" w:w="8928"/>
            <w:vAlign w:val="top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7"/>
              </w:rPr>
              <w:t>Hora da exposição, hora de início dos sintomas, tempo até chegada, vômitos, carvão/lavagem prévios, evolução temporal.</w:t>
            </w:r>
          </w:p>
        </w:tc>
      </w:tr>
      <w:tr>
        <w:trPr>
          <w:cantSplit/>
        </w:trPr>
        <w:tc>
          <w:tcPr>
            <w:tcW w:type="dxa" w:w="1584"/>
            <w:shd w:fill="F6FAFB"/>
            <w:vAlign w:val="top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7"/>
              </w:rPr>
              <w:t>Como?</w:t>
            </w:r>
          </w:p>
        </w:tc>
        <w:tc>
          <w:tcPr>
            <w:tcW w:type="dxa" w:w="8928"/>
            <w:shd w:fill="F6FAFB"/>
            <w:vAlign w:val="top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7"/>
              </w:rPr>
              <w:t>Via oral, inalatória, cutânea, ocular, parenteral; exposição ocupacional; ambiente fechado/incêndio; tentativa autoextermínio; violência/abuso.</w:t>
            </w:r>
          </w:p>
        </w:tc>
      </w:tr>
      <w:tr>
        <w:trPr>
          <w:cantSplit/>
        </w:trPr>
        <w:tc>
          <w:tcPr>
            <w:tcW w:type="dxa" w:w="1584"/>
            <w:vAlign w:val="top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7"/>
              </w:rPr>
              <w:t>Com o quê?</w:t>
            </w:r>
          </w:p>
        </w:tc>
        <w:tc>
          <w:tcPr>
            <w:tcW w:type="dxa" w:w="8928"/>
            <w:vAlign w:val="top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7"/>
              </w:rPr>
              <w:t>Álcool, sedativos, cocaína, opioides, anticolinérgicos, antidepressivos tricíclicos, drogas de abuso, plantas, medicamentos da casa.</w:t>
            </w:r>
          </w:p>
        </w:tc>
      </w:tr>
    </w:tbl>
    <w:p>
      <w:pPr>
        <w:spacing w:after="20"/>
      </w:pPr>
    </w:p>
    <w:p>
      <w:pPr>
        <w:pStyle w:val="ListBullet"/>
        <w:spacing w:after="40"/>
        <w:ind w:left="317"/>
      </w:pPr>
      <w:r>
        <w:rPr>
          <w:sz w:val="19"/>
        </w:rPr>
        <w:t>Fotografar ou guardar rótulos/frascos/blísteres conforme rotina institucional.</w:t>
      </w:r>
    </w:p>
    <w:p>
      <w:pPr>
        <w:pStyle w:val="ListBullet"/>
        <w:spacing w:after="40"/>
        <w:ind w:left="317"/>
      </w:pPr>
      <w:r>
        <w:rPr>
          <w:sz w:val="19"/>
        </w:rPr>
        <w:t>Registrar horário exato de antídotos, ECGs, convulsões, intervenções e contato com CIATox.</w:t>
      </w:r>
    </w:p>
    <w:p>
      <w:pPr>
        <w:pStyle w:val="ListBullet"/>
        <w:spacing w:after="40"/>
        <w:ind w:left="317"/>
      </w:pPr>
      <w:r>
        <w:rPr>
          <w:sz w:val="19"/>
        </w:rPr>
        <w:t>Notificar intoxicação exógena no Sinan quando caso suspeito ou confirmado, conforme vigilância local.</w:t>
      </w:r>
    </w:p>
    <w:p>
      <w:pPr>
        <w:pStyle w:val="ListBullet"/>
        <w:spacing w:after="40"/>
        <w:ind w:left="317"/>
      </w:pPr>
      <w:r>
        <w:rPr>
          <w:sz w:val="19"/>
        </w:rPr>
        <w:t>Em tentativa de autoextermínio: manter segurança, avaliação psiquiátrica após estabilização e planejamento de alta protegido.</w:t>
      </w:r>
    </w:p>
    <w:p>
      <w:pPr>
        <w:pStyle w:val="Heading1"/>
      </w:pPr>
      <w:r>
        <w:t>6. Toxíndromes de alta utilidade na UTI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2"/>
        <w:gridCol w:w="2642"/>
        <w:gridCol w:w="2642"/>
        <w:gridCol w:w="2642"/>
      </w:tblGrid>
      <w:tr>
        <w:trPr>
          <w:cantSplit/>
          <w:tblHeader/>
        </w:trPr>
        <w:tc>
          <w:tcPr>
            <w:tcW w:type="dxa" w:w="1656"/>
            <w:shd w:fill="0B5159"/>
            <w:vAlign w:val="top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</w:tcPr>
          <w:p>
            <w:pPr>
              <w:spacing w:after="0" w:before="0" w:line="240" w:lineRule="auto"/>
            </w:pPr>
            <w:r/>
            <w:r>
              <w:rPr>
                <w:b/>
                <w:color w:val="FFFFFF"/>
                <w:sz w:val="14"/>
              </w:rPr>
              <w:t>Toxíndrome</w:t>
            </w:r>
          </w:p>
        </w:tc>
        <w:tc>
          <w:tcPr>
            <w:tcW w:type="dxa" w:w="2952"/>
            <w:shd w:fill="0B5159"/>
            <w:vAlign w:val="top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</w:tcPr>
          <w:p>
            <w:pPr>
              <w:spacing w:after="0" w:before="0" w:line="240" w:lineRule="auto"/>
            </w:pPr>
            <w:r/>
            <w:r>
              <w:rPr>
                <w:b/>
                <w:color w:val="FFFFFF"/>
                <w:sz w:val="14"/>
              </w:rPr>
              <w:t>Pistas</w:t>
            </w:r>
          </w:p>
        </w:tc>
        <w:tc>
          <w:tcPr>
            <w:tcW w:type="dxa" w:w="2376"/>
            <w:shd w:fill="0B5159"/>
            <w:vAlign w:val="top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</w:tcPr>
          <w:p>
            <w:pPr>
              <w:spacing w:after="0" w:before="0" w:line="240" w:lineRule="auto"/>
            </w:pPr>
            <w:r/>
            <w:r>
              <w:rPr>
                <w:b/>
                <w:color w:val="FFFFFF"/>
                <w:sz w:val="14"/>
              </w:rPr>
              <w:t>Agentes comuns</w:t>
            </w:r>
          </w:p>
        </w:tc>
        <w:tc>
          <w:tcPr>
            <w:tcW w:type="dxa" w:w="3528"/>
            <w:shd w:fill="0B5159"/>
            <w:vAlign w:val="top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</w:tcPr>
          <w:p>
            <w:pPr>
              <w:spacing w:after="0" w:before="0" w:line="240" w:lineRule="auto"/>
            </w:pPr>
            <w:r/>
            <w:r>
              <w:rPr>
                <w:b/>
                <w:color w:val="FFFFFF"/>
                <w:sz w:val="14"/>
              </w:rPr>
              <w:t>Conduta-chave</w:t>
            </w:r>
          </w:p>
        </w:tc>
      </w:tr>
      <w:tr>
        <w:trPr>
          <w:cantSplit/>
        </w:trPr>
        <w:tc>
          <w:tcPr>
            <w:tcW w:type="dxa" w:w="1656"/>
            <w:shd w:fill="F6FAFB"/>
            <w:vAlign w:val="top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Opioide</w:t>
            </w:r>
          </w:p>
        </w:tc>
        <w:tc>
          <w:tcPr>
            <w:tcW w:type="dxa" w:w="2952"/>
            <w:shd w:fill="F6FAFB"/>
            <w:vAlign w:val="top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Miose, coma, bradipneia/hipercapnia, hipotensão; edema pulmonar pode ocorrer.</w:t>
            </w:r>
          </w:p>
        </w:tc>
        <w:tc>
          <w:tcPr>
            <w:tcW w:type="dxa" w:w="2376"/>
            <w:shd w:fill="F6FAFB"/>
            <w:vAlign w:val="top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Morfina, fentanil, metadona, tramadol, heroína.</w:t>
            </w:r>
          </w:p>
        </w:tc>
        <w:tc>
          <w:tcPr>
            <w:tcW w:type="dxa" w:w="3528"/>
            <w:shd w:fill="F6FAFB"/>
            <w:vAlign w:val="top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Ventilar primeiro; naloxona titulada; observar renarcotização, especialmente metadona ou formulação prolongada.</w:t>
            </w:r>
          </w:p>
        </w:tc>
      </w:tr>
      <w:tr>
        <w:trPr>
          <w:cantSplit/>
        </w:trPr>
        <w:tc>
          <w:tcPr>
            <w:tcW w:type="dxa" w:w="1656"/>
            <w:vAlign w:val="top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Sedativo-hipnótico</w:t>
            </w:r>
          </w:p>
        </w:tc>
        <w:tc>
          <w:tcPr>
            <w:tcW w:type="dxa" w:w="2952"/>
            <w:vAlign w:val="top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Depressão SNC, fala arrastada, ataxia, hipoventilação variável; sinais vitais muitas vezes preservados.</w:t>
            </w:r>
          </w:p>
        </w:tc>
        <w:tc>
          <w:tcPr>
            <w:tcW w:type="dxa" w:w="2376"/>
            <w:vAlign w:val="top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Benzodiazepínicos, barbitúricos, zolpidem, álcool.</w:t>
            </w:r>
          </w:p>
        </w:tc>
        <w:tc>
          <w:tcPr>
            <w:tcW w:type="dxa" w:w="3528"/>
            <w:vAlign w:val="top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Suporte. Evitar flumazenil se intoxicação mista, TCA, convulsão, dependência.</w:t>
            </w:r>
          </w:p>
        </w:tc>
      </w:tr>
      <w:tr>
        <w:trPr>
          <w:cantSplit/>
        </w:trPr>
        <w:tc>
          <w:tcPr>
            <w:tcW w:type="dxa" w:w="1656"/>
            <w:shd w:fill="F6FAFB"/>
            <w:vAlign w:val="top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Anticolinérgico</w:t>
            </w:r>
          </w:p>
        </w:tc>
        <w:tc>
          <w:tcPr>
            <w:tcW w:type="dxa" w:w="2952"/>
            <w:shd w:fill="F6FAFB"/>
            <w:vAlign w:val="top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Midríase, pele seca/quente, retenção urinária, íleo, delirium, taquicardia, hipertermia.</w:t>
            </w:r>
          </w:p>
        </w:tc>
        <w:tc>
          <w:tcPr>
            <w:tcW w:type="dxa" w:w="2376"/>
            <w:shd w:fill="F6FAFB"/>
            <w:vAlign w:val="top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TCA, anti-histamínicos, atropínicos, plantas.</w:t>
            </w:r>
          </w:p>
        </w:tc>
        <w:tc>
          <w:tcPr>
            <w:tcW w:type="dxa" w:w="3528"/>
            <w:shd w:fill="F6FAFB"/>
            <w:vAlign w:val="top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BZD para agitação; resfriamento; physostigmina só em caso selecionado sem QRS largo/risco convulsão.</w:t>
            </w:r>
          </w:p>
        </w:tc>
      </w:tr>
      <w:tr>
        <w:trPr>
          <w:cantSplit/>
        </w:trPr>
        <w:tc>
          <w:tcPr>
            <w:tcW w:type="dxa" w:w="1656"/>
            <w:vAlign w:val="top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Colinérgico</w:t>
            </w:r>
          </w:p>
        </w:tc>
        <w:tc>
          <w:tcPr>
            <w:tcW w:type="dxa" w:w="2952"/>
            <w:vAlign w:val="top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Sialorreia, lacrimejamento, broncorreia, broncoespasmo, vômitos/diarreia, miose, fasciculações, fraqueza.</w:t>
            </w:r>
          </w:p>
        </w:tc>
        <w:tc>
          <w:tcPr>
            <w:tcW w:type="dxa" w:w="2376"/>
            <w:vAlign w:val="top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Organofosforados, carbamatos, alguns inseticidas.</w:t>
            </w:r>
          </w:p>
        </w:tc>
        <w:tc>
          <w:tcPr>
            <w:tcW w:type="dxa" w:w="3528"/>
            <w:vAlign w:val="top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Descontaminação + atropina em doses repetidas/dobradas até secar secreções + pralidoxima quando indicado.</w:t>
            </w:r>
          </w:p>
        </w:tc>
      </w:tr>
      <w:tr>
        <w:trPr>
          <w:cantSplit/>
        </w:trPr>
        <w:tc>
          <w:tcPr>
            <w:tcW w:type="dxa" w:w="1656"/>
            <w:shd w:fill="F6FAFB"/>
            <w:vAlign w:val="top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Simpaticomimético</w:t>
            </w:r>
          </w:p>
        </w:tc>
        <w:tc>
          <w:tcPr>
            <w:tcW w:type="dxa" w:w="2952"/>
            <w:shd w:fill="F6FAFB"/>
            <w:vAlign w:val="top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Agitação, midríase, sudorese, hipertensão, taquicardia, hipertermia, dor torácica, rabdomiólise.</w:t>
            </w:r>
          </w:p>
        </w:tc>
        <w:tc>
          <w:tcPr>
            <w:tcW w:type="dxa" w:w="2376"/>
            <w:shd w:fill="F6FAFB"/>
            <w:vAlign w:val="top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Cocaína, anfetaminas, MDMA, efedrina.</w:t>
            </w:r>
          </w:p>
        </w:tc>
        <w:tc>
          <w:tcPr>
            <w:tcW w:type="dxa" w:w="3528"/>
            <w:shd w:fill="F6FAFB"/>
            <w:vAlign w:val="top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Benzodiazepínicos, resfriamento, fluidos, tratar hiperK/rabdo; evitar contenção física isolada.</w:t>
            </w:r>
          </w:p>
        </w:tc>
      </w:tr>
      <w:tr>
        <w:trPr>
          <w:cantSplit/>
        </w:trPr>
        <w:tc>
          <w:tcPr>
            <w:tcW w:type="dxa" w:w="1656"/>
            <w:vAlign w:val="top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Serotoninérgico</w:t>
            </w:r>
          </w:p>
        </w:tc>
        <w:tc>
          <w:tcPr>
            <w:tcW w:type="dxa" w:w="2952"/>
            <w:vAlign w:val="top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Agitação, hiperreflexia, clônus, tremor, diarreia, hipertermia; início geralmente rápido.</w:t>
            </w:r>
          </w:p>
        </w:tc>
        <w:tc>
          <w:tcPr>
            <w:tcW w:type="dxa" w:w="2376"/>
            <w:vAlign w:val="top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ISRS/IRSN, IMAO, linezolida, tramadol, MDMA, lítio.</w:t>
            </w:r>
          </w:p>
        </w:tc>
        <w:tc>
          <w:tcPr>
            <w:tcW w:type="dxa" w:w="3528"/>
            <w:vAlign w:val="top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Suspender agentes, BZD, resfriamento, cyproheptadina enteral; intubação/paralisia se hipertermia grave.</w:t>
            </w:r>
          </w:p>
        </w:tc>
      </w:tr>
      <w:tr>
        <w:trPr>
          <w:cantSplit/>
        </w:trPr>
        <w:tc>
          <w:tcPr>
            <w:tcW w:type="dxa" w:w="1656"/>
            <w:shd w:fill="F6FAFB"/>
            <w:vAlign w:val="top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Bloqueador de canal de sódio</w:t>
            </w:r>
          </w:p>
        </w:tc>
        <w:tc>
          <w:tcPr>
            <w:tcW w:type="dxa" w:w="2952"/>
            <w:shd w:fill="F6FAFB"/>
            <w:vAlign w:val="top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QRS largo, hipotensão, convulsão, acidose; pode ter R em aVR.</w:t>
            </w:r>
          </w:p>
        </w:tc>
        <w:tc>
          <w:tcPr>
            <w:tcW w:type="dxa" w:w="2376"/>
            <w:shd w:fill="F6FAFB"/>
            <w:vAlign w:val="top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TCA, cocaína, difenidramina, carbamazepina, propafenona.</w:t>
            </w:r>
          </w:p>
        </w:tc>
        <w:tc>
          <w:tcPr>
            <w:tcW w:type="dxa" w:w="3528"/>
            <w:shd w:fill="F6FAFB"/>
            <w:vAlign w:val="top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Bicarbonato de sódio bolus repetidos; corrigir acidose/hipóxia; evitar antiarrítmicos bloqueadores de Na.</w:t>
            </w:r>
          </w:p>
        </w:tc>
      </w:tr>
      <w:tr>
        <w:trPr>
          <w:cantSplit/>
        </w:trPr>
        <w:tc>
          <w:tcPr>
            <w:tcW w:type="dxa" w:w="1656"/>
            <w:vAlign w:val="top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CCB/BB</w:t>
            </w:r>
          </w:p>
        </w:tc>
        <w:tc>
          <w:tcPr>
            <w:tcW w:type="dxa" w:w="2952"/>
            <w:vAlign w:val="top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Choque, bradicardia/BAV, hiperglicemia em CCB, hipoglicemia em BB, acidose/lactato.</w:t>
            </w:r>
          </w:p>
        </w:tc>
        <w:tc>
          <w:tcPr>
            <w:tcW w:type="dxa" w:w="2376"/>
            <w:vAlign w:val="top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Verapamil/diltiazem/amlodipino; propranolol/metoprolol.</w:t>
            </w:r>
          </w:p>
        </w:tc>
        <w:tc>
          <w:tcPr>
            <w:tcW w:type="dxa" w:w="3528"/>
            <w:vAlign w:val="top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Cálcio, vasopressor, glucagon, insulina em alta dose precoce, considerar lipid/ECMO em refratário.</w:t>
            </w:r>
          </w:p>
        </w:tc>
      </w:tr>
      <w:tr>
        <w:trPr>
          <w:cantSplit/>
        </w:trPr>
        <w:tc>
          <w:tcPr>
            <w:tcW w:type="dxa" w:w="1656"/>
            <w:shd w:fill="F6FAFB"/>
            <w:vAlign w:val="top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Salicilato</w:t>
            </w:r>
          </w:p>
        </w:tc>
        <w:tc>
          <w:tcPr>
            <w:tcW w:type="dxa" w:w="2952"/>
            <w:shd w:fill="F6FAFB"/>
            <w:vAlign w:val="top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Zumbido, náuseas, hiperventilação, febre, alcalose respiratória + acidose metabólica, alteração SNC.</w:t>
            </w:r>
          </w:p>
        </w:tc>
        <w:tc>
          <w:tcPr>
            <w:tcW w:type="dxa" w:w="2376"/>
            <w:shd w:fill="F6FAFB"/>
            <w:vAlign w:val="top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AAS, salicilato de metila.</w:t>
            </w:r>
          </w:p>
        </w:tc>
        <w:tc>
          <w:tcPr>
            <w:tcW w:type="dxa" w:w="3528"/>
            <w:shd w:fill="F6FAFB"/>
            <w:vAlign w:val="top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Alcalinização sérica/urinária; evitar intubação se possível; diálise se grave.</w:t>
            </w:r>
          </w:p>
        </w:tc>
      </w:tr>
      <w:tr>
        <w:trPr>
          <w:cantSplit/>
        </w:trPr>
        <w:tc>
          <w:tcPr>
            <w:tcW w:type="dxa" w:w="1656"/>
            <w:vAlign w:val="top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Álcool tóxico</w:t>
            </w:r>
          </w:p>
        </w:tc>
        <w:tc>
          <w:tcPr>
            <w:tcW w:type="dxa" w:w="2952"/>
            <w:vAlign w:val="top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Depressão SNC, acidose com anion gap, osmolar gap, lesão visual/renal; sintomas tardios.</w:t>
            </w:r>
          </w:p>
        </w:tc>
        <w:tc>
          <w:tcPr>
            <w:tcW w:type="dxa" w:w="2376"/>
            <w:vAlign w:val="top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Metanol, etilenoglicol, dietilenoglicol.</w:t>
            </w:r>
          </w:p>
        </w:tc>
        <w:tc>
          <w:tcPr>
            <w:tcW w:type="dxa" w:w="3528"/>
            <w:vAlign w:val="top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Fomepizol/etanol, bicarbonato, cofatores, hemodiálise conforme gravidade.</w:t>
            </w:r>
          </w:p>
        </w:tc>
      </w:tr>
    </w:tbl>
    <w:p>
      <w:pPr>
        <w:spacing w:after="20"/>
      </w:pPr>
    </w:p>
    <w:p>
      <w:pPr>
        <w:pStyle w:val="Heading1"/>
      </w:pPr>
      <w:r>
        <w:t>7. Exames complementares e interpretação crítica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85"/>
        <w:gridCol w:w="5285"/>
      </w:tblGrid>
      <w:tr>
        <w:trPr>
          <w:cantSplit/>
          <w:tblHeader/>
        </w:trPr>
        <w:tc>
          <w:tcPr>
            <w:tcW w:type="dxa" w:w="2304"/>
            <w:shd w:fill="0B5159"/>
            <w:vAlign w:val="top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</w:tcPr>
          <w:p>
            <w:pPr>
              <w:spacing w:after="0" w:before="0" w:line="240" w:lineRule="auto"/>
            </w:pPr>
            <w:r/>
            <w:r>
              <w:rPr>
                <w:b/>
                <w:color w:val="FFFFFF"/>
                <w:sz w:val="17"/>
              </w:rPr>
              <w:t>Categoria</w:t>
            </w:r>
          </w:p>
        </w:tc>
        <w:tc>
          <w:tcPr>
            <w:tcW w:type="dxa" w:w="8208"/>
            <w:shd w:fill="0B5159"/>
            <w:vAlign w:val="top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</w:tcPr>
          <w:p>
            <w:pPr>
              <w:spacing w:after="0" w:before="0" w:line="240" w:lineRule="auto"/>
            </w:pPr>
            <w:r/>
            <w:r>
              <w:rPr>
                <w:b/>
                <w:color w:val="FFFFFF"/>
                <w:sz w:val="17"/>
              </w:rPr>
              <w:t>Uso prático</w:t>
            </w:r>
          </w:p>
        </w:tc>
      </w:tr>
      <w:tr>
        <w:trPr>
          <w:cantSplit/>
        </w:trPr>
        <w:tc>
          <w:tcPr>
            <w:tcW w:type="dxa" w:w="2304"/>
            <w:shd w:fill="F6FAFB"/>
            <w:vAlign w:val="top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7"/>
              </w:rPr>
              <w:t>Sempre/primeira linha</w:t>
            </w:r>
          </w:p>
        </w:tc>
        <w:tc>
          <w:tcPr>
            <w:tcW w:type="dxa" w:w="8208"/>
            <w:shd w:fill="F6FAFB"/>
            <w:vAlign w:val="top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7"/>
              </w:rPr>
              <w:t>ECG 12 derivações seriado; glicemia; gasometria venosa/arterial com lactato; Na/K/Cl/HCO3/Mg/Ca; ureia/creatinina; AST/ALT/bilirrubina/INR; hemograma; CK; urina; beta-HCG em mulher em idade fértil.</w:t>
            </w:r>
          </w:p>
        </w:tc>
      </w:tr>
      <w:tr>
        <w:trPr>
          <w:cantSplit/>
        </w:trPr>
        <w:tc>
          <w:tcPr>
            <w:tcW w:type="dxa" w:w="2304"/>
            <w:vAlign w:val="top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7"/>
              </w:rPr>
              <w:t>Quando suspeita</w:t>
            </w:r>
          </w:p>
        </w:tc>
        <w:tc>
          <w:tcPr>
            <w:tcW w:type="dxa" w:w="8208"/>
            <w:vAlign w:val="top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7"/>
              </w:rPr>
              <w:t>Paracetamol sérico, salicilato, digoxina, lítio, carbamazepina, valproato, fenitoína, etanol; osmolalidade medida; cetonas; COHb/metHb; colinesterase; toxicologia específica conforme disponibilidade.</w:t>
            </w:r>
          </w:p>
        </w:tc>
      </w:tr>
      <w:tr>
        <w:trPr>
          <w:cantSplit/>
        </w:trPr>
        <w:tc>
          <w:tcPr>
            <w:tcW w:type="dxa" w:w="2304"/>
            <w:shd w:fill="F6FAFB"/>
            <w:vAlign w:val="top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7"/>
              </w:rPr>
              <w:t>ECG toxicológico</w:t>
            </w:r>
          </w:p>
        </w:tc>
        <w:tc>
          <w:tcPr>
            <w:tcW w:type="dxa" w:w="8208"/>
            <w:shd w:fill="F6FAFB"/>
            <w:vAlign w:val="top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7"/>
              </w:rPr>
              <w:t>QRS &gt;100–120 ms sugere bloqueio de sódio e risco de convulsão/arritmia; QTc prolongado aumenta risco de torsades; bradicardia/BAV sugere CCB/BB/digoxina/colinérgico; taquicardia + hipertensão sugere simpaticomimético/anticolinérgico.</w:t>
            </w:r>
          </w:p>
        </w:tc>
      </w:tr>
      <w:tr>
        <w:trPr>
          <w:cantSplit/>
        </w:trPr>
        <w:tc>
          <w:tcPr>
            <w:tcW w:type="dxa" w:w="2304"/>
            <w:vAlign w:val="top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7"/>
              </w:rPr>
              <w:t>Anion gap/osmolar gap</w:t>
            </w:r>
          </w:p>
        </w:tc>
        <w:tc>
          <w:tcPr>
            <w:tcW w:type="dxa" w:w="8208"/>
            <w:vAlign w:val="top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7"/>
              </w:rPr>
              <w:t>AG elevado: salicilato, metanol, etilenoglicol, propilenoglicol, cetoacidose, lactato, renal. Osmolar gap elevado é pista, mas pode normalizar tardiamente; não exclui álcool tóxico.</w:t>
            </w:r>
          </w:p>
        </w:tc>
      </w:tr>
      <w:tr>
        <w:trPr>
          <w:cantSplit/>
        </w:trPr>
        <w:tc>
          <w:tcPr>
            <w:tcW w:type="dxa" w:w="2304"/>
            <w:shd w:fill="F6FAFB"/>
            <w:vAlign w:val="top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7"/>
              </w:rPr>
              <w:t>Imagem</w:t>
            </w:r>
          </w:p>
        </w:tc>
        <w:tc>
          <w:tcPr>
            <w:tcW w:type="dxa" w:w="8208"/>
            <w:shd w:fill="F6FAFB"/>
            <w:vAlign w:val="top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7"/>
              </w:rPr>
              <w:t>TC crânio se trauma, déficit focal persistente, coma não explicado, anticoagulação ou dúvida diagnóstica. RX/TC tórax se aspiração, hidrocarboneto, edema pulmonar, insuficiência respiratória.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70"/>
      </w:tblGrid>
      <w:tr>
        <w:tc>
          <w:tcPr>
            <w:tcW w:type="dxa" w:w="10570"/>
            <w:shd w:fill="F0FDF4"/>
            <w:tcBorders>
              <w:top w:sz="10" w:val="single" w:color="16A34A"/>
              <w:left w:sz="10" w:val="single" w:color="16A34A"/>
              <w:bottom w:sz="10" w:val="single" w:color="16A34A"/>
              <w:right w:sz="10" w:val="single" w:color="16A34A"/>
            </w:tcBorders>
          </w:tcPr>
          <w:p>
            <w:pPr>
              <w:spacing w:after="60"/>
            </w:pPr>
            <w:r>
              <w:rPr>
                <w:b/>
                <w:color w:val="0B5159"/>
                <w:sz w:val="20"/>
              </w:rPr>
              <w:t>ECG é exame toxicológico de beira-leito</w:t>
            </w:r>
          </w:p>
          <w:p>
            <w:pPr>
              <w:spacing w:after="0" w:line="240" w:lineRule="auto"/>
            </w:pPr>
            <w:r>
              <w:rPr>
                <w:sz w:val="19"/>
              </w:rPr>
              <w:t>Em intoxicação grave, repita o ECG após qualquer mudança clínica e após bicarbonato, cálcio, vasopressor, intubação ou piora metabólica. O ECG pode mudar antes do laboratório “explicar” o caso.</w:t>
            </w:r>
          </w:p>
        </w:tc>
      </w:tr>
    </w:tbl>
    <w:p>
      <w:pPr>
        <w:pStyle w:val="Heading1"/>
      </w:pPr>
      <w:r>
        <w:t>8. Descontaminação e prevenção de absorção</w:t>
      </w:r>
    </w:p>
    <w:p>
      <w:r>
        <w:t>Descontaminação é intervenção seletiva, dependente do agente, tempo, dose e segurança da via aérea. Não deve atrasar suporte vital, antídoto, ventilação, vasopressor ou transferência para centro com diálise/ECMO quando necessário.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23"/>
        <w:gridCol w:w="3523"/>
        <w:gridCol w:w="3523"/>
      </w:tblGrid>
      <w:tr>
        <w:trPr>
          <w:cantSplit/>
          <w:tblHeader/>
        </w:trPr>
        <w:tc>
          <w:tcPr>
            <w:tcW w:type="dxa" w:w="2232"/>
            <w:shd w:fill="0B5159"/>
            <w:vAlign w:val="top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</w:tcPr>
          <w:p>
            <w:pPr>
              <w:spacing w:after="0" w:before="0" w:line="240" w:lineRule="auto"/>
            </w:pPr>
            <w:r/>
            <w:r>
              <w:rPr>
                <w:b/>
                <w:color w:val="FFFFFF"/>
                <w:sz w:val="15"/>
              </w:rPr>
              <w:t>Método</w:t>
            </w:r>
          </w:p>
        </w:tc>
        <w:tc>
          <w:tcPr>
            <w:tcW w:type="dxa" w:w="3240"/>
            <w:shd w:fill="0B5159"/>
            <w:vAlign w:val="top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</w:tcPr>
          <w:p>
            <w:pPr>
              <w:spacing w:after="0" w:before="0" w:line="240" w:lineRule="auto"/>
            </w:pPr>
            <w:r/>
            <w:r>
              <w:rPr>
                <w:b/>
                <w:color w:val="FFFFFF"/>
                <w:sz w:val="15"/>
              </w:rPr>
              <w:t>Quando pensar</w:t>
            </w:r>
          </w:p>
        </w:tc>
        <w:tc>
          <w:tcPr>
            <w:tcW w:type="dxa" w:w="5040"/>
            <w:shd w:fill="0B5159"/>
            <w:vAlign w:val="top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</w:tcPr>
          <w:p>
            <w:pPr>
              <w:spacing w:after="0" w:before="0" w:line="240" w:lineRule="auto"/>
            </w:pPr>
            <w:r/>
            <w:r>
              <w:rPr>
                <w:b/>
                <w:color w:val="FFFFFF"/>
                <w:sz w:val="15"/>
              </w:rPr>
              <w:t>Como fazer/alertas</w:t>
            </w:r>
          </w:p>
        </w:tc>
      </w:tr>
      <w:tr>
        <w:trPr>
          <w:cantSplit/>
        </w:trPr>
        <w:tc>
          <w:tcPr>
            <w:tcW w:type="dxa" w:w="2232"/>
            <w:shd w:fill="F6FAFB"/>
            <w:vAlign w:val="top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Cutânea/ocular</w:t>
            </w:r>
          </w:p>
        </w:tc>
        <w:tc>
          <w:tcPr>
            <w:tcW w:type="dxa" w:w="3240"/>
            <w:shd w:fill="F6FAFB"/>
            <w:vAlign w:val="top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Indicação ampla em exposição externa.</w:t>
            </w:r>
          </w:p>
        </w:tc>
        <w:tc>
          <w:tcPr>
            <w:tcW w:type="dxa" w:w="5040"/>
            <w:shd w:fill="F6FAFB"/>
            <w:vAlign w:val="top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EPI para equipe; retirar roupas/objetos; lavar pele com água e sabão; irrigar olhos abundantemente; cuidado com hipotermia. É prioridade em organofosforados/agrotóxicos/corrosivos.</w:t>
            </w:r>
          </w:p>
        </w:tc>
      </w:tr>
      <w:tr>
        <w:trPr>
          <w:cantSplit/>
        </w:trPr>
        <w:tc>
          <w:tcPr>
            <w:tcW w:type="dxa" w:w="2232"/>
            <w:vAlign w:val="top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Carvão ativado dose única</w:t>
            </w:r>
          </w:p>
        </w:tc>
        <w:tc>
          <w:tcPr>
            <w:tcW w:type="dxa" w:w="3240"/>
            <w:vAlign w:val="top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Considerar até 1 hora de ingestão potencialmente tóxica de substância adsorvível; pode haver benefício tardio em liberação prolongada/retardo gástrico.</w:t>
            </w:r>
          </w:p>
        </w:tc>
        <w:tc>
          <w:tcPr>
            <w:tcW w:type="dxa" w:w="5040"/>
            <w:vAlign w:val="top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Adulto usual 50 g VO/SNG. Só com via aérea íntegra ou protegida. Não adsorve bem álcoois, metais, lítio, ferro, cáusticos, hidrocarbonetos simples.</w:t>
            </w:r>
          </w:p>
        </w:tc>
      </w:tr>
      <w:tr>
        <w:trPr>
          <w:cantSplit/>
        </w:trPr>
        <w:tc>
          <w:tcPr>
            <w:tcW w:type="dxa" w:w="2232"/>
            <w:shd w:fill="F6FAFB"/>
            <w:vAlign w:val="top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Lavagem gástrica</w:t>
            </w:r>
          </w:p>
        </w:tc>
        <w:tc>
          <w:tcPr>
            <w:tcW w:type="dxa" w:w="3240"/>
            <w:shd w:fill="F6FAFB"/>
            <w:vAlign w:val="top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Raríssima. Considerar apenas ingestão potencialmente letal, muito recente, em ambiente com equipe experiente e via aérea protegida.</w:t>
            </w:r>
          </w:p>
        </w:tc>
        <w:tc>
          <w:tcPr>
            <w:tcW w:type="dxa" w:w="5040"/>
            <w:shd w:fill="F6FAFB"/>
            <w:vAlign w:val="top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Risco de aspiração, trauma e atraso. Não usar rotineiramente; contraindicações incluem cáusticos/hidrocarbonetos e via aérea desprotegida.</w:t>
            </w:r>
          </w:p>
        </w:tc>
      </w:tr>
      <w:tr>
        <w:trPr>
          <w:cantSplit/>
        </w:trPr>
        <w:tc>
          <w:tcPr>
            <w:tcW w:type="dxa" w:w="2232"/>
            <w:vAlign w:val="top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Irrigação intestinal total</w:t>
            </w:r>
          </w:p>
        </w:tc>
        <w:tc>
          <w:tcPr>
            <w:tcW w:type="dxa" w:w="3240"/>
            <w:vAlign w:val="top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Considerar para ferro, lítio, potássio, chumbo, drogas de liberação prolongada, body packers selecionados.</w:t>
            </w:r>
          </w:p>
        </w:tc>
        <w:tc>
          <w:tcPr>
            <w:tcW w:type="dxa" w:w="5040"/>
            <w:vAlign w:val="top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Polietilenoglicol via oral/SNG até efluente claro; evitar em íleo, obstrução, instabilidade não controlada, perfuração.</w:t>
            </w:r>
          </w:p>
        </w:tc>
      </w:tr>
      <w:tr>
        <w:trPr>
          <w:cantSplit/>
        </w:trPr>
        <w:tc>
          <w:tcPr>
            <w:tcW w:type="dxa" w:w="2232"/>
            <w:shd w:fill="F6FAFB"/>
            <w:vAlign w:val="top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Carvão ativado múltiplas doses</w:t>
            </w:r>
          </w:p>
        </w:tc>
        <w:tc>
          <w:tcPr>
            <w:tcW w:type="dxa" w:w="3240"/>
            <w:shd w:fill="F6FAFB"/>
            <w:vAlign w:val="top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Pode aumentar eliminação de carbamazepina, dapsona, fenobarbital, quinina e teofilina.</w:t>
            </w:r>
          </w:p>
        </w:tc>
        <w:tc>
          <w:tcPr>
            <w:tcW w:type="dxa" w:w="5040"/>
            <w:shd w:fill="F6FAFB"/>
            <w:vAlign w:val="top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Exige via aérea segura, ruídos hidroaéreos e monitorização. Vigiar vômitos, íleo, aspiração e distúrbios hidroeletrolíticos.</w:t>
            </w:r>
          </w:p>
        </w:tc>
      </w:tr>
    </w:tbl>
    <w:p>
      <w:pPr>
        <w:spacing w:after="20"/>
      </w:pPr>
    </w:p>
    <w:p>
      <w:pPr>
        <w:pStyle w:val="Heading1"/>
      </w:pPr>
      <w:r>
        <w:t>9. Antídotos: tabela de dose e armadilhas</w:t>
      </w:r>
    </w:p>
    <w:p>
      <w:pPr>
        <w:pStyle w:val="Heading2"/>
      </w:pPr>
      <w:r>
        <w:t>9.1 Antídotos respiratórios, metabólicos e cardiotóxicos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2"/>
        <w:gridCol w:w="2642"/>
        <w:gridCol w:w="2642"/>
        <w:gridCol w:w="2642"/>
      </w:tblGrid>
      <w:tr>
        <w:trPr>
          <w:cantSplit/>
          <w:tblHeader/>
        </w:trPr>
        <w:tc>
          <w:tcPr>
            <w:tcW w:type="dxa" w:w="1800"/>
            <w:shd w:fill="0B5159"/>
            <w:vAlign w:val="top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</w:tcPr>
          <w:p>
            <w:pPr>
              <w:spacing w:after="0" w:before="0" w:line="240" w:lineRule="auto"/>
            </w:pPr>
            <w:r/>
            <w:r>
              <w:rPr>
                <w:b/>
                <w:color w:val="FFFFFF"/>
                <w:sz w:val="13"/>
              </w:rPr>
              <w:t>Antídoto</w:t>
            </w:r>
          </w:p>
        </w:tc>
        <w:tc>
          <w:tcPr>
            <w:tcW w:type="dxa" w:w="2376"/>
            <w:shd w:fill="0B5159"/>
            <w:vAlign w:val="top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</w:tcPr>
          <w:p>
            <w:pPr>
              <w:spacing w:after="0" w:before="0" w:line="240" w:lineRule="auto"/>
            </w:pPr>
            <w:r/>
            <w:r>
              <w:rPr>
                <w:b/>
                <w:color w:val="FFFFFF"/>
                <w:sz w:val="13"/>
              </w:rPr>
              <w:t>Indicação</w:t>
            </w:r>
          </w:p>
        </w:tc>
        <w:tc>
          <w:tcPr>
            <w:tcW w:type="dxa" w:w="3168"/>
            <w:shd w:fill="0B5159"/>
            <w:vAlign w:val="top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</w:tcPr>
          <w:p>
            <w:pPr>
              <w:spacing w:after="0" w:before="0" w:line="240" w:lineRule="auto"/>
            </w:pPr>
            <w:r/>
            <w:r>
              <w:rPr>
                <w:b/>
                <w:color w:val="FFFFFF"/>
                <w:sz w:val="13"/>
              </w:rPr>
              <w:t>Dose adulta usual</w:t>
            </w:r>
          </w:p>
        </w:tc>
        <w:tc>
          <w:tcPr>
            <w:tcW w:type="dxa" w:w="3168"/>
            <w:shd w:fill="0B5159"/>
            <w:vAlign w:val="top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</w:tcPr>
          <w:p>
            <w:pPr>
              <w:spacing w:after="0" w:before="0" w:line="240" w:lineRule="auto"/>
            </w:pPr>
            <w:r/>
            <w:r>
              <w:rPr>
                <w:b/>
                <w:color w:val="FFFFFF"/>
                <w:sz w:val="13"/>
              </w:rPr>
              <w:t>Armadilhas</w:t>
            </w:r>
          </w:p>
        </w:tc>
      </w:tr>
      <w:tr>
        <w:trPr>
          <w:cantSplit/>
        </w:trPr>
        <w:tc>
          <w:tcPr>
            <w:tcW w:type="dxa" w:w="1800"/>
            <w:shd w:fill="F6FAFB"/>
            <w:vAlign w:val="top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Naloxona</w:t>
            </w:r>
          </w:p>
        </w:tc>
        <w:tc>
          <w:tcPr>
            <w:tcW w:type="dxa" w:w="2376"/>
            <w:shd w:fill="F6FAFB"/>
            <w:vAlign w:val="top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Opioide com depressão respiratória/coma.</w:t>
            </w:r>
          </w:p>
        </w:tc>
        <w:tc>
          <w:tcPr>
            <w:tcW w:type="dxa" w:w="3168"/>
            <w:shd w:fill="F6FAFB"/>
            <w:vAlign w:val="top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0,04 mg IV e titular; se grave 0,4–2 mg IV/IN/IM, repetir a cada 2–3 min. Infusão: ~2/3 da dose efetiva por hora.</w:t>
            </w:r>
          </w:p>
        </w:tc>
        <w:tc>
          <w:tcPr>
            <w:tcW w:type="dxa" w:w="3168"/>
            <w:shd w:fill="F6FAFB"/>
            <w:vAlign w:val="top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Ventilar primeiro. Renarcotização em metadona/fentanil/liberação prolongada. Titular para respirar, não para “acordar bravo”.</w:t>
            </w:r>
          </w:p>
        </w:tc>
      </w:tr>
      <w:tr>
        <w:trPr>
          <w:cantSplit/>
        </w:trPr>
        <w:tc>
          <w:tcPr>
            <w:tcW w:type="dxa" w:w="1800"/>
            <w:vAlign w:val="top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Flumazenil</w:t>
            </w:r>
          </w:p>
        </w:tc>
        <w:tc>
          <w:tcPr>
            <w:tcW w:type="dxa" w:w="2376"/>
            <w:vAlign w:val="top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Benzodiazepínico iatrogênico isolado, paciente sem risco de convulsão.</w:t>
            </w:r>
          </w:p>
        </w:tc>
        <w:tc>
          <w:tcPr>
            <w:tcW w:type="dxa" w:w="3168"/>
            <w:vAlign w:val="top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0,2 mg IV lento; repetir 0,2 mg a cada 60 s até resposta, geralmente máx. 1–3 mg.</w:t>
            </w:r>
          </w:p>
        </w:tc>
        <w:tc>
          <w:tcPr>
            <w:tcW w:type="dxa" w:w="3168"/>
            <w:vAlign w:val="top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Evitar em uso crônico de BZD, TCA, intoxicação mista, convulsão, QRS largo. Pode precipitar crise convulsiva.</w:t>
            </w:r>
          </w:p>
        </w:tc>
      </w:tr>
      <w:tr>
        <w:trPr>
          <w:cantSplit/>
        </w:trPr>
        <w:tc>
          <w:tcPr>
            <w:tcW w:type="dxa" w:w="1800"/>
            <w:shd w:fill="F6FAFB"/>
            <w:vAlign w:val="top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N-acetilcisteína</w:t>
            </w:r>
          </w:p>
        </w:tc>
        <w:tc>
          <w:tcPr>
            <w:tcW w:type="dxa" w:w="2376"/>
            <w:shd w:fill="F6FAFB"/>
            <w:vAlign w:val="top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Paracetamol ou hepatotoxicidade suspeita.</w:t>
            </w:r>
          </w:p>
        </w:tc>
        <w:tc>
          <w:tcPr>
            <w:tcW w:type="dxa" w:w="3168"/>
            <w:shd w:fill="F6FAFB"/>
            <w:vAlign w:val="top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IV clássico: 150 mg/kg 1 h, depois 50 mg/kg 4 h, depois 100 mg/kg 16 h. Ajustar ao protocolo local.</w:t>
            </w:r>
          </w:p>
        </w:tc>
        <w:tc>
          <w:tcPr>
            <w:tcW w:type="dxa" w:w="3168"/>
            <w:shd w:fill="F6FAFB"/>
            <w:vAlign w:val="top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Não esperar transaminase subir se nomograma/tempo indicar. Coletar nível, AST/ALT/INR/creatinina.</w:t>
            </w:r>
          </w:p>
        </w:tc>
      </w:tr>
      <w:tr>
        <w:trPr>
          <w:cantSplit/>
        </w:trPr>
        <w:tc>
          <w:tcPr>
            <w:tcW w:type="dxa" w:w="1800"/>
            <w:vAlign w:val="top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Bicarbonato de sódio</w:t>
            </w:r>
          </w:p>
        </w:tc>
        <w:tc>
          <w:tcPr>
            <w:tcW w:type="dxa" w:w="2376"/>
            <w:vAlign w:val="top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QRS largo por bloqueador de canal de Na, acidose grave, salicilato.</w:t>
            </w:r>
          </w:p>
        </w:tc>
        <w:tc>
          <w:tcPr>
            <w:tcW w:type="dxa" w:w="3168"/>
            <w:vAlign w:val="top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1–2 mEq/kg IV bolus, repetir até estreitar QRS/estabilizar. Infusão alcalinizante conforme alvo.</w:t>
            </w:r>
          </w:p>
        </w:tc>
        <w:tc>
          <w:tcPr>
            <w:tcW w:type="dxa" w:w="3168"/>
            <w:vAlign w:val="top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Monitorar pH, K, Na, Ca. No bloqueio de Na, meta prática: QRS &lt;100–120 ms e pH ~7,50–7,55.</w:t>
            </w:r>
          </w:p>
        </w:tc>
      </w:tr>
      <w:tr>
        <w:trPr>
          <w:cantSplit/>
        </w:trPr>
        <w:tc>
          <w:tcPr>
            <w:tcW w:type="dxa" w:w="1800"/>
            <w:shd w:fill="F6FAFB"/>
            <w:vAlign w:val="top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Cálcio IV</w:t>
            </w:r>
          </w:p>
        </w:tc>
        <w:tc>
          <w:tcPr>
            <w:tcW w:type="dxa" w:w="2376"/>
            <w:shd w:fill="F6FAFB"/>
            <w:vAlign w:val="top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CCB, hipercalemia, hipocalcemia.</w:t>
            </w:r>
          </w:p>
        </w:tc>
        <w:tc>
          <w:tcPr>
            <w:tcW w:type="dxa" w:w="3168"/>
            <w:shd w:fill="F6FAFB"/>
            <w:vAlign w:val="top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Gluconato 10% 30–60 mL IV ou cloreto 10% 10–20 mL IV central; repetir conforme resposta.</w:t>
            </w:r>
          </w:p>
        </w:tc>
        <w:tc>
          <w:tcPr>
            <w:tcW w:type="dxa" w:w="3168"/>
            <w:shd w:fill="F6FAFB"/>
            <w:vAlign w:val="top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Cloreto de cálcio é mais irritante: preferir acesso central. Não substitui HDI/vasopressor no choque por CCB.</w:t>
            </w:r>
          </w:p>
        </w:tc>
      </w:tr>
      <w:tr>
        <w:trPr>
          <w:cantSplit/>
        </w:trPr>
        <w:tc>
          <w:tcPr>
            <w:tcW w:type="dxa" w:w="1800"/>
            <w:vAlign w:val="top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Insulina em alta dose - HDI</w:t>
            </w:r>
          </w:p>
        </w:tc>
        <w:tc>
          <w:tcPr>
            <w:tcW w:type="dxa" w:w="2376"/>
            <w:vAlign w:val="top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Choque por CCB/BB.</w:t>
            </w:r>
          </w:p>
        </w:tc>
        <w:tc>
          <w:tcPr>
            <w:tcW w:type="dxa" w:w="3168"/>
            <w:vAlign w:val="top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Regular 1 U/kg IV bolus; depois 1 U/kg/h, titular até 10 U/kg/h conforme choque. Dextrose e K seriados.</w:t>
            </w:r>
          </w:p>
        </w:tc>
        <w:tc>
          <w:tcPr>
            <w:tcW w:type="dxa" w:w="3168"/>
            <w:vAlign w:val="top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Terapia precoce. Hipoglicemia/hipocalemia são esperadas e tratáveis; não suspender sem plano.</w:t>
            </w:r>
          </w:p>
        </w:tc>
      </w:tr>
      <w:tr>
        <w:trPr>
          <w:cantSplit/>
        </w:trPr>
        <w:tc>
          <w:tcPr>
            <w:tcW w:type="dxa" w:w="1800"/>
            <w:shd w:fill="F6FAFB"/>
            <w:vAlign w:val="top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Glucagon</w:t>
            </w:r>
          </w:p>
        </w:tc>
        <w:tc>
          <w:tcPr>
            <w:tcW w:type="dxa" w:w="2376"/>
            <w:shd w:fill="F6FAFB"/>
            <w:vAlign w:val="top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Beta-bloqueador com bradicardia/choque.</w:t>
            </w:r>
          </w:p>
        </w:tc>
        <w:tc>
          <w:tcPr>
            <w:tcW w:type="dxa" w:w="3168"/>
            <w:shd w:fill="F6FAFB"/>
            <w:vAlign w:val="top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5–10 mg IV lento; infusão 1–10 mg/h se resposta.</w:t>
            </w:r>
          </w:p>
        </w:tc>
        <w:tc>
          <w:tcPr>
            <w:tcW w:type="dxa" w:w="3168"/>
            <w:shd w:fill="F6FAFB"/>
            <w:vAlign w:val="top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Náusea/vômitos; estoque pode limitar. Não atrasar HDI/vasopressor.</w:t>
            </w:r>
          </w:p>
        </w:tc>
      </w:tr>
      <w:tr>
        <w:trPr>
          <w:cantSplit/>
        </w:trPr>
        <w:tc>
          <w:tcPr>
            <w:tcW w:type="dxa" w:w="1800"/>
            <w:vAlign w:val="top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Atropina</w:t>
            </w:r>
          </w:p>
        </w:tc>
        <w:tc>
          <w:tcPr>
            <w:tcW w:type="dxa" w:w="2376"/>
            <w:vAlign w:val="top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Organofosforado/carbamato com broncorreia/bradicardia; bradi sintomática.</w:t>
            </w:r>
          </w:p>
        </w:tc>
        <w:tc>
          <w:tcPr>
            <w:tcW w:type="dxa" w:w="3168"/>
            <w:vAlign w:val="top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Organofosforado: 1–3 mg IV, repetir/dobrar a cada 3–5 min até secar secreções; depois infusão 10–20% da dose total/h.</w:t>
            </w:r>
          </w:p>
        </w:tc>
        <w:tc>
          <w:tcPr>
            <w:tcW w:type="dxa" w:w="3168"/>
            <w:vAlign w:val="top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Meta é pulmão seco/ventilação, não frequência cardíaca. Doses podem ser muito altas.</w:t>
            </w:r>
          </w:p>
        </w:tc>
      </w:tr>
      <w:tr>
        <w:trPr>
          <w:cantSplit/>
        </w:trPr>
        <w:tc>
          <w:tcPr>
            <w:tcW w:type="dxa" w:w="1800"/>
            <w:shd w:fill="F6FAFB"/>
            <w:vAlign w:val="top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Pralidoxima</w:t>
            </w:r>
          </w:p>
        </w:tc>
        <w:tc>
          <w:tcPr>
            <w:tcW w:type="dxa" w:w="2376"/>
            <w:shd w:fill="F6FAFB"/>
            <w:vAlign w:val="top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Organofosforado com fraqueza/fasciculações ou exposição significativa.</w:t>
            </w:r>
          </w:p>
        </w:tc>
        <w:tc>
          <w:tcPr>
            <w:tcW w:type="dxa" w:w="3168"/>
            <w:shd w:fill="F6FAFB"/>
            <w:vAlign w:val="top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1–2 g IV em 30 min; depois 500 mg/h ou 8–10 mg/kg/h conforme protocolo.</w:t>
            </w:r>
          </w:p>
        </w:tc>
        <w:tc>
          <w:tcPr>
            <w:tcW w:type="dxa" w:w="3168"/>
            <w:shd w:fill="F6FAFB"/>
            <w:vAlign w:val="top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Mais útil precoce. Não substitui atropina.</w:t>
            </w:r>
          </w:p>
        </w:tc>
      </w:tr>
    </w:tbl>
    <w:p>
      <w:pPr>
        <w:spacing w:after="20"/>
      </w:pPr>
    </w:p>
    <w:p>
      <w:pPr>
        <w:pStyle w:val="Heading2"/>
      </w:pPr>
      <w:r>
        <w:t>9.2 Antídotos específicos e resgate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2"/>
        <w:gridCol w:w="2642"/>
        <w:gridCol w:w="2642"/>
        <w:gridCol w:w="2642"/>
      </w:tblGrid>
      <w:tr>
        <w:trPr>
          <w:cantSplit/>
          <w:tblHeader/>
        </w:trPr>
        <w:tc>
          <w:tcPr>
            <w:tcW w:type="dxa" w:w="1800"/>
            <w:shd w:fill="0B5159"/>
            <w:vAlign w:val="top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</w:tcPr>
          <w:p>
            <w:pPr>
              <w:spacing w:after="0" w:before="0" w:line="240" w:lineRule="auto"/>
            </w:pPr>
            <w:r/>
            <w:r>
              <w:rPr>
                <w:b/>
                <w:color w:val="FFFFFF"/>
                <w:sz w:val="13"/>
              </w:rPr>
              <w:t>Antídoto</w:t>
            </w:r>
          </w:p>
        </w:tc>
        <w:tc>
          <w:tcPr>
            <w:tcW w:type="dxa" w:w="2376"/>
            <w:shd w:fill="0B5159"/>
            <w:vAlign w:val="top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</w:tcPr>
          <w:p>
            <w:pPr>
              <w:spacing w:after="0" w:before="0" w:line="240" w:lineRule="auto"/>
            </w:pPr>
            <w:r/>
            <w:r>
              <w:rPr>
                <w:b/>
                <w:color w:val="FFFFFF"/>
                <w:sz w:val="13"/>
              </w:rPr>
              <w:t>Indicação</w:t>
            </w:r>
          </w:p>
        </w:tc>
        <w:tc>
          <w:tcPr>
            <w:tcW w:type="dxa" w:w="3168"/>
            <w:shd w:fill="0B5159"/>
            <w:vAlign w:val="top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</w:tcPr>
          <w:p>
            <w:pPr>
              <w:spacing w:after="0" w:before="0" w:line="240" w:lineRule="auto"/>
            </w:pPr>
            <w:r/>
            <w:r>
              <w:rPr>
                <w:b/>
                <w:color w:val="FFFFFF"/>
                <w:sz w:val="13"/>
              </w:rPr>
              <w:t>Dose adulta usual</w:t>
            </w:r>
          </w:p>
        </w:tc>
        <w:tc>
          <w:tcPr>
            <w:tcW w:type="dxa" w:w="3168"/>
            <w:shd w:fill="0B5159"/>
            <w:vAlign w:val="top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</w:tcPr>
          <w:p>
            <w:pPr>
              <w:spacing w:after="0" w:before="0" w:line="240" w:lineRule="auto"/>
            </w:pPr>
            <w:r/>
            <w:r>
              <w:rPr>
                <w:b/>
                <w:color w:val="FFFFFF"/>
                <w:sz w:val="13"/>
              </w:rPr>
              <w:t>Armadilhas</w:t>
            </w:r>
          </w:p>
        </w:tc>
      </w:tr>
      <w:tr>
        <w:trPr>
          <w:cantSplit/>
        </w:trPr>
        <w:tc>
          <w:tcPr>
            <w:tcW w:type="dxa" w:w="1800"/>
            <w:shd w:fill="F6FAFB"/>
            <w:vAlign w:val="top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Digoxin immune Fab</w:t>
            </w:r>
          </w:p>
        </w:tc>
        <w:tc>
          <w:tcPr>
            <w:tcW w:type="dxa" w:w="2376"/>
            <w:shd w:fill="F6FAFB"/>
            <w:vAlign w:val="top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Arritmia ameaçadora, hipercalemia, choque por digoxina/cardioglicosídeo.</w:t>
            </w:r>
          </w:p>
        </w:tc>
        <w:tc>
          <w:tcPr>
            <w:tcW w:type="dxa" w:w="3168"/>
            <w:shd w:fill="F6FAFB"/>
            <w:vAlign w:val="top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Empírico 10–20 frascos em instabilidade grave; ou calcular por nível/carga corporal.</w:t>
            </w:r>
          </w:p>
        </w:tc>
        <w:tc>
          <w:tcPr>
            <w:tcW w:type="dxa" w:w="3168"/>
            <w:shd w:fill="F6FAFB"/>
            <w:vAlign w:val="top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Após Fab, nível total de digoxina fica difícil de interpretar. Monitorar K e resposta clínica.</w:t>
            </w:r>
          </w:p>
        </w:tc>
      </w:tr>
      <w:tr>
        <w:trPr>
          <w:cantSplit/>
        </w:trPr>
        <w:tc>
          <w:tcPr>
            <w:tcW w:type="dxa" w:w="1800"/>
            <w:vAlign w:val="top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Hidroxocobalamina</w:t>
            </w:r>
          </w:p>
        </w:tc>
        <w:tc>
          <w:tcPr>
            <w:tcW w:type="dxa" w:w="2376"/>
            <w:vAlign w:val="top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Suspeita de cianeto/incêndio em ambiente fechado + coma/choque/lactato alto.</w:t>
            </w:r>
          </w:p>
        </w:tc>
        <w:tc>
          <w:tcPr>
            <w:tcW w:type="dxa" w:w="3168"/>
            <w:vAlign w:val="top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5 g IV em 15 min; repetir 5 g se grave.</w:t>
            </w:r>
          </w:p>
        </w:tc>
        <w:tc>
          <w:tcPr>
            <w:tcW w:type="dxa" w:w="3168"/>
            <w:vAlign w:val="top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Não esperar exame. Pode avermelhar pele/urina e interferir em exames/diálise.</w:t>
            </w:r>
          </w:p>
        </w:tc>
      </w:tr>
      <w:tr>
        <w:trPr>
          <w:cantSplit/>
        </w:trPr>
        <w:tc>
          <w:tcPr>
            <w:tcW w:type="dxa" w:w="1800"/>
            <w:shd w:fill="F6FAFB"/>
            <w:vAlign w:val="top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Azul de metileno</w:t>
            </w:r>
          </w:p>
        </w:tc>
        <w:tc>
          <w:tcPr>
            <w:tcW w:type="dxa" w:w="2376"/>
            <w:shd w:fill="F6FAFB"/>
            <w:vAlign w:val="top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Metemoglobinemia sintomática ou nível alto.</w:t>
            </w:r>
          </w:p>
        </w:tc>
        <w:tc>
          <w:tcPr>
            <w:tcW w:type="dxa" w:w="3168"/>
            <w:shd w:fill="F6FAFB"/>
            <w:vAlign w:val="top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1–2 mg/kg IV em 5 min; repetir se necessário.</w:t>
            </w:r>
          </w:p>
        </w:tc>
        <w:tc>
          <w:tcPr>
            <w:tcW w:type="dxa" w:w="3168"/>
            <w:shd w:fill="F6FAFB"/>
            <w:vAlign w:val="top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Cautela em G6PD e fármacos serotoninérgicos; pode causar hemólise/serotoninérgico.</w:t>
            </w:r>
          </w:p>
        </w:tc>
      </w:tr>
      <w:tr>
        <w:trPr>
          <w:cantSplit/>
        </w:trPr>
        <w:tc>
          <w:tcPr>
            <w:tcW w:type="dxa" w:w="1800"/>
            <w:vAlign w:val="top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Fomepizol</w:t>
            </w:r>
          </w:p>
        </w:tc>
        <w:tc>
          <w:tcPr>
            <w:tcW w:type="dxa" w:w="2376"/>
            <w:vAlign w:val="top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Metanol/etilenoglicol suspeito ou confirmado.</w:t>
            </w:r>
          </w:p>
        </w:tc>
        <w:tc>
          <w:tcPr>
            <w:tcW w:type="dxa" w:w="3168"/>
            <w:vAlign w:val="top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15 mg/kg IV; depois 10 mg/kg a cada 12 h por 4 doses; depois 15 mg/kg a cada 12 h. Ajustar na diálise.</w:t>
            </w:r>
          </w:p>
        </w:tc>
        <w:tc>
          <w:tcPr>
            <w:tcW w:type="dxa" w:w="3168"/>
            <w:vAlign w:val="top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Iniciar por suspeita forte: acidose + osmolar gap/anion gap + história. Discutir hemodiálise.</w:t>
            </w:r>
          </w:p>
        </w:tc>
      </w:tr>
      <w:tr>
        <w:trPr>
          <w:cantSplit/>
        </w:trPr>
        <w:tc>
          <w:tcPr>
            <w:tcW w:type="dxa" w:w="1800"/>
            <w:shd w:fill="F6FAFB"/>
            <w:vAlign w:val="top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Piridoxina</w:t>
            </w:r>
          </w:p>
        </w:tc>
        <w:tc>
          <w:tcPr>
            <w:tcW w:type="dxa" w:w="2376"/>
            <w:shd w:fill="F6FAFB"/>
            <w:vAlign w:val="top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Isoniazida com convulsão/acidose.</w:t>
            </w:r>
          </w:p>
        </w:tc>
        <w:tc>
          <w:tcPr>
            <w:tcW w:type="dxa" w:w="3168"/>
            <w:shd w:fill="F6FAFB"/>
            <w:vAlign w:val="top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Dose grama por grama da INH ingerida; se desconhecida, 5 g IV adulto.</w:t>
            </w:r>
          </w:p>
        </w:tc>
        <w:tc>
          <w:tcPr>
            <w:tcW w:type="dxa" w:w="3168"/>
            <w:shd w:fill="F6FAFB"/>
            <w:vAlign w:val="top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Convulsão costuma ser refratária sem piridoxina. Usar BZD simultâneo.</w:t>
            </w:r>
          </w:p>
        </w:tc>
      </w:tr>
      <w:tr>
        <w:trPr>
          <w:cantSplit/>
        </w:trPr>
        <w:tc>
          <w:tcPr>
            <w:tcW w:type="dxa" w:w="1800"/>
            <w:vAlign w:val="top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Octreotida</w:t>
            </w:r>
          </w:p>
        </w:tc>
        <w:tc>
          <w:tcPr>
            <w:tcW w:type="dxa" w:w="2376"/>
            <w:vAlign w:val="top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Hipoglicemia recorrente por sulfonilureia.</w:t>
            </w:r>
          </w:p>
        </w:tc>
        <w:tc>
          <w:tcPr>
            <w:tcW w:type="dxa" w:w="3168"/>
            <w:vAlign w:val="top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50–100 mcg SC/IV a cada 6 h ou infusão 25–50 mcg/h.</w:t>
            </w:r>
          </w:p>
        </w:tc>
        <w:tc>
          <w:tcPr>
            <w:tcW w:type="dxa" w:w="3168"/>
            <w:vAlign w:val="top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Evita ciclo glicose-insulina-hipoglicemia. Observar 12–24 h após última dose.</w:t>
            </w:r>
          </w:p>
        </w:tc>
      </w:tr>
      <w:tr>
        <w:trPr>
          <w:cantSplit/>
        </w:trPr>
        <w:tc>
          <w:tcPr>
            <w:tcW w:type="dxa" w:w="1800"/>
            <w:shd w:fill="F6FAFB"/>
            <w:vAlign w:val="top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Emulsão lipídica 20%</w:t>
            </w:r>
          </w:p>
        </w:tc>
        <w:tc>
          <w:tcPr>
            <w:tcW w:type="dxa" w:w="2376"/>
            <w:shd w:fill="F6FAFB"/>
            <w:vAlign w:val="top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Toxicidade grave por anestésico local; resgate em toxinas lipossolúveis selecionadas.</w:t>
            </w:r>
          </w:p>
        </w:tc>
        <w:tc>
          <w:tcPr>
            <w:tcW w:type="dxa" w:w="3168"/>
            <w:shd w:fill="F6FAFB"/>
            <w:vAlign w:val="top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Bolus 1,5 mL/kg; infusão 0,25 mL/kg/min; repetir bolus/aumentar infusão se colapso. Máx. ~10–12 mL/kg/30 min.</w:t>
            </w:r>
          </w:p>
        </w:tc>
        <w:tc>
          <w:tcPr>
            <w:tcW w:type="dxa" w:w="3168"/>
            <w:shd w:fill="F6FAFB"/>
            <w:vAlign w:val="top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3"/>
              </w:rPr>
              <w:t>Não é “panaceia”. Pode atrapalhar exames e circuitos; usar em colapso refratário/indicação forte.</w:t>
            </w:r>
          </w:p>
        </w:tc>
      </w:tr>
    </w:tbl>
    <w:p>
      <w:pPr>
        <w:spacing w:after="20"/>
      </w:pPr>
    </w:p>
    <w:p>
      <w:pPr>
        <w:spacing w:after="80"/>
        <w:ind w:left="216"/>
      </w:pPr>
      <w:r>
        <w:rPr>
          <w:i/>
          <w:color w:val="505050"/>
          <w:sz w:val="18"/>
        </w:rPr>
        <w:t>As doses acima são de referência para adultos e devem ser individualizadas por peso, disponibilidade, bula/protocolo local, CIATox e farmácia clínica. Em gestantes/crianças, ajustar dose e risco-benefício.</w:t>
      </w:r>
    </w:p>
    <w:p>
      <w:pPr>
        <w:pStyle w:val="Heading1"/>
      </w:pPr>
      <w:r>
        <w:t>10. Choque e arritmias por intoxicação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23"/>
        <w:gridCol w:w="3523"/>
        <w:gridCol w:w="3523"/>
      </w:tblGrid>
      <w:tr>
        <w:trPr>
          <w:cantSplit/>
          <w:tblHeader/>
        </w:trPr>
        <w:tc>
          <w:tcPr>
            <w:tcW w:type="dxa" w:w="2520"/>
            <w:shd w:fill="0B5159"/>
            <w:vAlign w:val="top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</w:tcPr>
          <w:p>
            <w:pPr>
              <w:spacing w:after="0" w:before="0" w:line="240" w:lineRule="auto"/>
            </w:pPr>
            <w:r/>
            <w:r>
              <w:rPr>
                <w:b/>
                <w:color w:val="FFFFFF"/>
                <w:sz w:val="15"/>
              </w:rPr>
              <w:t>Cenário</w:t>
            </w:r>
          </w:p>
        </w:tc>
        <w:tc>
          <w:tcPr>
            <w:tcW w:type="dxa" w:w="3240"/>
            <w:shd w:fill="0B5159"/>
            <w:vAlign w:val="top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</w:tcPr>
          <w:p>
            <w:pPr>
              <w:spacing w:after="0" w:before="0" w:line="240" w:lineRule="auto"/>
            </w:pPr>
            <w:r/>
            <w:r>
              <w:rPr>
                <w:b/>
                <w:color w:val="FFFFFF"/>
                <w:sz w:val="15"/>
              </w:rPr>
              <w:t>Pense em</w:t>
            </w:r>
          </w:p>
        </w:tc>
        <w:tc>
          <w:tcPr>
            <w:tcW w:type="dxa" w:w="4752"/>
            <w:shd w:fill="0B5159"/>
            <w:vAlign w:val="top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</w:tcPr>
          <w:p>
            <w:pPr>
              <w:spacing w:after="0" w:before="0" w:line="240" w:lineRule="auto"/>
            </w:pPr>
            <w:r/>
            <w:r>
              <w:rPr>
                <w:b/>
                <w:color w:val="FFFFFF"/>
                <w:sz w:val="15"/>
              </w:rPr>
              <w:t>Conduta prática</w:t>
            </w:r>
          </w:p>
        </w:tc>
      </w:tr>
      <w:tr>
        <w:trPr>
          <w:cantSplit/>
        </w:trPr>
        <w:tc>
          <w:tcPr>
            <w:tcW w:type="dxa" w:w="2520"/>
            <w:shd w:fill="F6FAFB"/>
            <w:vAlign w:val="top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QRS largo + choque/convulsão</w:t>
            </w:r>
          </w:p>
        </w:tc>
        <w:tc>
          <w:tcPr>
            <w:tcW w:type="dxa" w:w="3240"/>
            <w:shd w:fill="F6FAFB"/>
            <w:vAlign w:val="top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Bloqueio de canal de sódio: TCA, cocaína, difenidramina, carbamazepina, flecainida/propafenona.</w:t>
            </w:r>
          </w:p>
        </w:tc>
        <w:tc>
          <w:tcPr>
            <w:tcW w:type="dxa" w:w="4752"/>
            <w:shd w:fill="F6FAFB"/>
            <w:vAlign w:val="top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Bicarbonato 1–2 mEq/kg repetido; corrigir acidose/hipóxia; vasopressor; considerar lidocaína em arritmia refratária sob especialista. Evitar procainamida, flecainida, propafenona.</w:t>
            </w:r>
          </w:p>
        </w:tc>
      </w:tr>
      <w:tr>
        <w:trPr>
          <w:cantSplit/>
        </w:trPr>
        <w:tc>
          <w:tcPr>
            <w:tcW w:type="dxa" w:w="2520"/>
            <w:vAlign w:val="top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QT longo/torsades</w:t>
            </w:r>
          </w:p>
        </w:tc>
        <w:tc>
          <w:tcPr>
            <w:tcW w:type="dxa" w:w="3240"/>
            <w:vAlign w:val="top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Antipsicóticos, macrolídeos, metadona, antieméticos, antidepressivos, hipoK/hipoMg.</w:t>
            </w:r>
          </w:p>
        </w:tc>
        <w:tc>
          <w:tcPr>
            <w:tcW w:type="dxa" w:w="4752"/>
            <w:vAlign w:val="top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Sulfato de magnésio 2 g IV; corrigir K &gt;4, Mg &gt;2; tratar bradicardia com overdrive/isoproterenol se torsades recorrente; evitar drogas que prolongam QT.</w:t>
            </w:r>
          </w:p>
        </w:tc>
      </w:tr>
      <w:tr>
        <w:trPr>
          <w:cantSplit/>
        </w:trPr>
        <w:tc>
          <w:tcPr>
            <w:tcW w:type="dxa" w:w="2520"/>
            <w:shd w:fill="F6FAFB"/>
            <w:vAlign w:val="top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Bradicardia + choque</w:t>
            </w:r>
          </w:p>
        </w:tc>
        <w:tc>
          <w:tcPr>
            <w:tcW w:type="dxa" w:w="3240"/>
            <w:shd w:fill="F6FAFB"/>
            <w:vAlign w:val="top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CCB/BB, digoxina, opioide/hipóxia, clonidina, organofosforado, hipercalemia.</w:t>
            </w:r>
          </w:p>
        </w:tc>
        <w:tc>
          <w:tcPr>
            <w:tcW w:type="dxa" w:w="4752"/>
            <w:shd w:fill="F6FAFB"/>
            <w:vAlign w:val="top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Atropina se apropriado; cálcio/HDI/glucagon para CCB/BB; Fab digoxina; tratar hipercalemia; marcapasso pode falhar em CCB/BB grave se miocárdio sem energia.</w:t>
            </w:r>
          </w:p>
        </w:tc>
      </w:tr>
      <w:tr>
        <w:trPr>
          <w:cantSplit/>
        </w:trPr>
        <w:tc>
          <w:tcPr>
            <w:tcW w:type="dxa" w:w="2520"/>
            <w:vAlign w:val="top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Taquicardia/hipertensão + agitação</w:t>
            </w:r>
          </w:p>
        </w:tc>
        <w:tc>
          <w:tcPr>
            <w:tcW w:type="dxa" w:w="3240"/>
            <w:vAlign w:val="top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Simpaticomimético, abstinência, anticolinérgico, serotoninérgico.</w:t>
            </w:r>
          </w:p>
        </w:tc>
        <w:tc>
          <w:tcPr>
            <w:tcW w:type="dxa" w:w="4752"/>
            <w:vAlign w:val="top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Benzodiazepínico em doses repetidas; resfriamento; nitrato/fentolamina em crise hipertensiva por catecolamina se necessário; evitar contenção física isolada.</w:t>
            </w:r>
          </w:p>
        </w:tc>
      </w:tr>
      <w:tr>
        <w:trPr>
          <w:cantSplit/>
        </w:trPr>
        <w:tc>
          <w:tcPr>
            <w:tcW w:type="dxa" w:w="2520"/>
            <w:shd w:fill="F6FAFB"/>
            <w:vAlign w:val="top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Choque refratário</w:t>
            </w:r>
          </w:p>
        </w:tc>
        <w:tc>
          <w:tcPr>
            <w:tcW w:type="dxa" w:w="3240"/>
            <w:shd w:fill="F6FAFB"/>
            <w:vAlign w:val="top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CCB/BB, cardiotóxicos, cianeto, anestésico local, organofosforado grave.</w:t>
            </w:r>
          </w:p>
        </w:tc>
        <w:tc>
          <w:tcPr>
            <w:tcW w:type="dxa" w:w="4752"/>
            <w:shd w:fill="F6FAFB"/>
            <w:vAlign w:val="top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Vasopressor/inotrópico guiado por eco/pressão; antídoto; corrigir acidose; acionar ECMO-VA se centro disponível e intoxicação potencialmente reversível.</w:t>
            </w:r>
          </w:p>
        </w:tc>
      </w:tr>
    </w:tbl>
    <w:p>
      <w:pPr>
        <w:spacing w:after="20"/>
      </w:pPr>
    </w:p>
    <w:p>
      <w:pPr>
        <w:pStyle w:val="Heading1"/>
      </w:pPr>
      <w:r>
        <w:t>11. Convulsão, coma, agitação e hipertermia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85"/>
        <w:gridCol w:w="5285"/>
      </w:tblGrid>
      <w:tr>
        <w:trPr>
          <w:cantSplit/>
          <w:tblHeader/>
        </w:trPr>
        <w:tc>
          <w:tcPr>
            <w:tcW w:type="dxa" w:w="2592"/>
            <w:shd w:fill="0B5159"/>
            <w:vAlign w:val="top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</w:tcPr>
          <w:p>
            <w:pPr>
              <w:spacing w:after="0" w:before="0" w:line="240" w:lineRule="auto"/>
            </w:pPr>
            <w:r/>
            <w:r>
              <w:rPr>
                <w:b/>
                <w:color w:val="FFFFFF"/>
                <w:sz w:val="17"/>
              </w:rPr>
              <w:t>Problema</w:t>
            </w:r>
          </w:p>
        </w:tc>
        <w:tc>
          <w:tcPr>
            <w:tcW w:type="dxa" w:w="7920"/>
            <w:shd w:fill="0B5159"/>
            <w:vAlign w:val="top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</w:tcPr>
          <w:p>
            <w:pPr>
              <w:spacing w:after="0" w:before="0" w:line="240" w:lineRule="auto"/>
            </w:pPr>
            <w:r/>
            <w:r>
              <w:rPr>
                <w:b/>
                <w:color w:val="FFFFFF"/>
                <w:sz w:val="17"/>
              </w:rPr>
              <w:t>Conduta</w:t>
            </w:r>
          </w:p>
        </w:tc>
      </w:tr>
      <w:tr>
        <w:trPr>
          <w:cantSplit/>
        </w:trPr>
        <w:tc>
          <w:tcPr>
            <w:tcW w:type="dxa" w:w="2592"/>
            <w:shd w:fill="F6FAFB"/>
            <w:vAlign w:val="top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7"/>
              </w:rPr>
              <w:t>Convulsão</w:t>
            </w:r>
          </w:p>
        </w:tc>
        <w:tc>
          <w:tcPr>
            <w:tcW w:type="dxa" w:w="7920"/>
            <w:shd w:fill="F6FAFB"/>
            <w:vAlign w:val="top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7"/>
              </w:rPr>
              <w:t>Benzodiazepínico em dose plena; repetir. Se refratária: propofol, fenobarbital ou midazolam contínuo conforme UTI. Procurar isoniazida, TCA, cocaína, tramadol, bupropiona, teofilina, hiponatremia/hipoglicemia.</w:t>
            </w:r>
          </w:p>
        </w:tc>
      </w:tr>
      <w:tr>
        <w:trPr>
          <w:cantSplit/>
        </w:trPr>
        <w:tc>
          <w:tcPr>
            <w:tcW w:type="dxa" w:w="2592"/>
            <w:vAlign w:val="top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7"/>
              </w:rPr>
              <w:t>Coma/hipoventilação</w:t>
            </w:r>
          </w:p>
        </w:tc>
        <w:tc>
          <w:tcPr>
            <w:tcW w:type="dxa" w:w="7920"/>
            <w:vAlign w:val="top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7"/>
              </w:rPr>
              <w:t>Suporte ventilatório; glicose/tiamina/naloxona conforme contexto; IOT se incapaz de proteger via aérea. Evitar “antagonizar” sedação crônica com flumazenil sem indicação limpa.</w:t>
            </w:r>
          </w:p>
        </w:tc>
      </w:tr>
      <w:tr>
        <w:trPr>
          <w:cantSplit/>
        </w:trPr>
        <w:tc>
          <w:tcPr>
            <w:tcW w:type="dxa" w:w="2592"/>
            <w:shd w:fill="F6FAFB"/>
            <w:vAlign w:val="top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7"/>
              </w:rPr>
              <w:t>Agitação grave</w:t>
            </w:r>
          </w:p>
        </w:tc>
        <w:tc>
          <w:tcPr>
            <w:tcW w:type="dxa" w:w="7920"/>
            <w:shd w:fill="F6FAFB"/>
            <w:vAlign w:val="top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7"/>
              </w:rPr>
              <w:t>Benzodiazepínicos são base em simpaticomimético/serotoninérgico. Antipsicótico pode piorar QT/hipertermia em alguns cenários; usar com cautela e ECG.</w:t>
            </w:r>
          </w:p>
        </w:tc>
      </w:tr>
      <w:tr>
        <w:trPr>
          <w:cantSplit/>
        </w:trPr>
        <w:tc>
          <w:tcPr>
            <w:tcW w:type="dxa" w:w="2592"/>
            <w:vAlign w:val="top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7"/>
              </w:rPr>
              <w:t>Hipertermia tóxica</w:t>
            </w:r>
          </w:p>
        </w:tc>
        <w:tc>
          <w:tcPr>
            <w:tcW w:type="dxa" w:w="7920"/>
            <w:vAlign w:val="top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7"/>
              </w:rPr>
              <w:t>Emergência. Resfriamento externo/interno, BZD, fluidos, corrigir rabdomiólise/hipercalemia. Antitérmico não resolve hipertermia por excesso de produção muscular.</w:t>
            </w:r>
          </w:p>
        </w:tc>
      </w:tr>
      <w:tr>
        <w:trPr>
          <w:cantSplit/>
        </w:trPr>
        <w:tc>
          <w:tcPr>
            <w:tcW w:type="dxa" w:w="2592"/>
            <w:shd w:fill="F6FAFB"/>
            <w:vAlign w:val="top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7"/>
              </w:rPr>
              <w:t>Síndrome serotoninérgica</w:t>
            </w:r>
          </w:p>
        </w:tc>
        <w:tc>
          <w:tcPr>
            <w:tcW w:type="dxa" w:w="7920"/>
            <w:shd w:fill="F6FAFB"/>
            <w:vAlign w:val="top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7"/>
              </w:rPr>
              <w:t>Suspender agente; BZD; resfriamento; cyproheptadina via enteral; IOT + bloqueio neuromuscular em hipertermia grave. Evitar succinilcolina se hiperK/rabdomiólise importante.</w:t>
            </w:r>
          </w:p>
        </w:tc>
      </w:tr>
    </w:tbl>
    <w:p>
      <w:pPr>
        <w:spacing w:after="20"/>
      </w:pPr>
    </w:p>
    <w:p>
      <w:pPr>
        <w:pStyle w:val="Heading1"/>
      </w:pPr>
      <w:r>
        <w:t>12. Síndromes específicas de alta frequência/letalidade</w:t>
      </w:r>
    </w:p>
    <w:p>
      <w:pPr>
        <w:pStyle w:val="Heading2"/>
      </w:pPr>
      <w:r>
        <w:t>12.1 Opioides</w:t>
      </w:r>
    </w:p>
    <w:p>
      <w:pPr>
        <w:pStyle w:val="ListBullet"/>
        <w:spacing w:after="40"/>
        <w:ind w:left="317"/>
      </w:pPr>
      <w:r>
        <w:rPr>
          <w:sz w:val="19"/>
        </w:rPr>
        <w:t>O risco imediato é hipóxia/hipercapnia por depressão respiratória. Ventilação com bolsa-válvula-máscara e oxigênio vêm antes de qualquer “dose heroica” de naloxona.</w:t>
      </w:r>
    </w:p>
    <w:p>
      <w:pPr>
        <w:pStyle w:val="ListBullet"/>
        <w:spacing w:after="40"/>
        <w:ind w:left="317"/>
      </w:pPr>
      <w:r>
        <w:rPr>
          <w:sz w:val="19"/>
        </w:rPr>
        <w:t>Naloxona deve ser titulada para FR/ventilação adequadas. Reversão abrupta pode causar agitação, vômitos, dor, hipertensão, edema pulmonar e abstinência.</w:t>
      </w:r>
    </w:p>
    <w:p>
      <w:pPr>
        <w:pStyle w:val="ListBullet"/>
        <w:spacing w:after="40"/>
        <w:ind w:left="317"/>
      </w:pPr>
      <w:r>
        <w:rPr>
          <w:sz w:val="19"/>
        </w:rPr>
        <w:t>Observar por mais tempo se metadona, fentanil potente, formulação prolongada, coingestão sedativa ou necessidade de infusão de naloxona.</w:t>
      </w:r>
    </w:p>
    <w:p>
      <w:pPr>
        <w:pStyle w:val="Heading2"/>
      </w:pPr>
      <w:r>
        <w:t>12.2 Benzodiazepínicos e sedativo-hipnóticos</w:t>
      </w:r>
    </w:p>
    <w:p>
      <w:pPr>
        <w:pStyle w:val="ListBullet"/>
        <w:spacing w:after="40"/>
        <w:ind w:left="317"/>
      </w:pPr>
      <w:r>
        <w:rPr>
          <w:sz w:val="19"/>
        </w:rPr>
        <w:t>Benzodiazepínico isolado raramente causa instabilidade profunda; coma profundo, choque ou arritmia sugerem coingestão.</w:t>
      </w:r>
    </w:p>
    <w:p>
      <w:pPr>
        <w:pStyle w:val="ListBullet"/>
        <w:spacing w:after="40"/>
        <w:ind w:left="317"/>
      </w:pPr>
      <w:r>
        <w:rPr>
          <w:sz w:val="19"/>
        </w:rPr>
        <w:t>Flumazenil tem papel restrito: iatrogenia em paciente não dependente, procedimento/sedação, cenário controlado. Evite no “coma de causa desconhecida”.</w:t>
      </w:r>
    </w:p>
    <w:p>
      <w:pPr>
        <w:pStyle w:val="ListBullet"/>
        <w:spacing w:after="40"/>
        <w:ind w:left="317"/>
      </w:pPr>
      <w:r>
        <w:rPr>
          <w:sz w:val="19"/>
        </w:rPr>
        <w:t>Barbitúricos podem exigir suporte ventilatório prolongado, carvão múltiplas doses e, em casos selecionados, eliminação extracorpórea.</w:t>
      </w:r>
    </w:p>
    <w:p>
      <w:pPr>
        <w:pStyle w:val="Heading2"/>
      </w:pPr>
      <w:r>
        <w:t>12.3 Antidepressivos tricíclicos e bloqueadores de canal de sódio</w:t>
      </w:r>
    </w:p>
    <w:p>
      <w:pPr>
        <w:pStyle w:val="ListBullet"/>
        <w:spacing w:after="40"/>
        <w:ind w:left="317"/>
      </w:pPr>
      <w:r>
        <w:rPr>
          <w:sz w:val="19"/>
        </w:rPr>
        <w:t>Pistas: QRS alargado, R em aVR, hipotensão, convulsão, acidose, anticolinérgico associado.</w:t>
      </w:r>
    </w:p>
    <w:p>
      <w:pPr>
        <w:pStyle w:val="ListBullet"/>
        <w:spacing w:after="40"/>
        <w:ind w:left="317"/>
      </w:pPr>
      <w:r>
        <w:rPr>
          <w:sz w:val="19"/>
        </w:rPr>
        <w:t>Bicarbonato de sódio é terapia central. Repetir bolus conforme QRS/hemodinâmica; corrigir hipóxia e acidose, pois acidemia aumenta fração livre e toxicidade.</w:t>
      </w:r>
    </w:p>
    <w:p>
      <w:pPr>
        <w:pStyle w:val="ListBullet"/>
        <w:spacing w:after="40"/>
        <w:ind w:left="317"/>
      </w:pPr>
      <w:r>
        <w:rPr>
          <w:sz w:val="19"/>
        </w:rPr>
        <w:t>Evitar flumazenil e antiarrítmicos que bloqueiam canal de sódio. Tratar convulsão agressivamente com benzodiazepínicos.</w:t>
      </w:r>
    </w:p>
    <w:p>
      <w:pPr>
        <w:pStyle w:val="Heading2"/>
      </w:pPr>
      <w:r>
        <w:t>12.4 Bloqueadores de canal de cálcio e beta-bloqueadores</w:t>
      </w:r>
    </w:p>
    <w:p>
      <w:pPr>
        <w:pStyle w:val="ListBullet"/>
        <w:spacing w:after="40"/>
        <w:ind w:left="317"/>
      </w:pPr>
      <w:r>
        <w:rPr>
          <w:sz w:val="19"/>
        </w:rPr>
        <w:t>CCB: choque vasodilatado/cardiogênico, bradicardia, hiperglicemia, acidose/lactato; amlodipino pode ter início tardio e choque vasoplégico intenso.</w:t>
      </w:r>
    </w:p>
    <w:p>
      <w:pPr>
        <w:pStyle w:val="ListBullet"/>
        <w:spacing w:after="40"/>
        <w:ind w:left="317"/>
      </w:pPr>
      <w:r>
        <w:rPr>
          <w:sz w:val="19"/>
        </w:rPr>
        <w:t>BB: bradicardia/choque; propranolol pode causar QRS largo e convulsão por bloqueio de sódio; sotalol prolonga QT.</w:t>
      </w:r>
    </w:p>
    <w:p>
      <w:pPr>
        <w:pStyle w:val="ListBullet"/>
        <w:spacing w:after="40"/>
        <w:ind w:left="317"/>
      </w:pPr>
      <w:r>
        <w:rPr>
          <w:sz w:val="19"/>
        </w:rPr>
        <w:t>Tratamento: cálcio, vasopressores, glucagon, insulina em alta dose precoce, correção metabólica. Considerar emulsão lipídica/ECMO-VA em colapso refratário e intoxicação reversível.</w:t>
      </w:r>
    </w:p>
    <w:p>
      <w:pPr>
        <w:pStyle w:val="Heading2"/>
      </w:pPr>
      <w:r>
        <w:t>12.5 Digoxina e cardioglicosídeos</w:t>
      </w:r>
    </w:p>
    <w:p>
      <w:pPr>
        <w:pStyle w:val="ListBullet"/>
        <w:spacing w:after="40"/>
        <w:ind w:left="317"/>
      </w:pPr>
      <w:r>
        <w:rPr>
          <w:sz w:val="19"/>
        </w:rPr>
        <w:t>Pistas: náuseas/vômitos, confusão, alterações visuais, bradi/BAV, extrassístoles, taquiarritmias, hipercalemia na intoxicação aguda.</w:t>
      </w:r>
    </w:p>
    <w:p>
      <w:pPr>
        <w:pStyle w:val="ListBullet"/>
        <w:spacing w:after="40"/>
        <w:ind w:left="317"/>
      </w:pPr>
      <w:r>
        <w:rPr>
          <w:sz w:val="19"/>
        </w:rPr>
        <w:t>Indicações fortes de Fab: arritmia ameaçadora, choque, hipercalemia importante, ingestão massiva ou nível muito alto com sintomas.</w:t>
      </w:r>
    </w:p>
    <w:p>
      <w:pPr>
        <w:pStyle w:val="ListBullet"/>
        <w:spacing w:after="40"/>
        <w:ind w:left="317"/>
      </w:pPr>
      <w:r>
        <w:rPr>
          <w:sz w:val="19"/>
        </w:rPr>
        <w:t>Evitar cardioversão elétrica se possível; se inevitável, usar menor energia efetiva. Corrigir K/Mg com cuidado.</w:t>
      </w:r>
    </w:p>
    <w:p>
      <w:pPr>
        <w:pStyle w:val="Heading2"/>
      </w:pPr>
      <w:r>
        <w:t>12.6 Organofosforados/carbamatos/agrotóxicos</w:t>
      </w:r>
    </w:p>
    <w:p>
      <w:pPr>
        <w:pStyle w:val="ListBullet"/>
        <w:spacing w:after="40"/>
        <w:ind w:left="317"/>
      </w:pPr>
      <w:r>
        <w:rPr>
          <w:sz w:val="19"/>
        </w:rPr>
        <w:t>Prioridades: EPI, retirar roupa, lavar pele/cabelos, aspirar secreções, oxigênio, IOT se necessário e atropinização agressiva.</w:t>
      </w:r>
    </w:p>
    <w:p>
      <w:pPr>
        <w:pStyle w:val="ListBullet"/>
        <w:spacing w:after="40"/>
        <w:ind w:left="317"/>
      </w:pPr>
      <w:r>
        <w:rPr>
          <w:sz w:val="19"/>
        </w:rPr>
        <w:t>Atropina deve ser titulada por broncorreia/broncoespasmo: pulmão seco e ventilação adequada. Taquicardia isolada não contraindica atropina se o paciente ainda está “molhado”.</w:t>
      </w:r>
    </w:p>
    <w:p>
      <w:pPr>
        <w:pStyle w:val="ListBullet"/>
        <w:spacing w:after="40"/>
        <w:ind w:left="317"/>
      </w:pPr>
      <w:r>
        <w:rPr>
          <w:sz w:val="19"/>
        </w:rPr>
        <w:t>Pralidoxima é considerada especialmente em organofosforados com fraqueza/fasciculações, insuficiência respiratória ou exposição relevante. Acionar CIATox.</w:t>
      </w:r>
    </w:p>
    <w:p>
      <w:pPr>
        <w:pStyle w:val="Heading2"/>
      </w:pPr>
      <w:r>
        <w:t>12.7 Paracetamol</w:t>
      </w:r>
    </w:p>
    <w:p>
      <w:pPr>
        <w:pStyle w:val="ListBullet"/>
        <w:spacing w:after="40"/>
        <w:ind w:left="317"/>
      </w:pPr>
      <w:r>
        <w:rPr>
          <w:sz w:val="19"/>
        </w:rPr>
        <w:t>N-acetilcisteína é mais eficaz quando iniciada precocemente, mas ainda pode beneficiar hepatotoxicidade estabelecida.</w:t>
      </w:r>
    </w:p>
    <w:p>
      <w:pPr>
        <w:pStyle w:val="ListBullet"/>
        <w:spacing w:after="40"/>
        <w:ind w:left="317"/>
      </w:pPr>
      <w:r>
        <w:rPr>
          <w:sz w:val="19"/>
        </w:rPr>
        <w:t>Usar nomograma de Rumack-Matthew quando ingestão aguda única e horário confiável. Em tempo desconhecido, uso repetido, dose alta ou hepatotoxicidade: tratar por risco clínico/laboratorial.</w:t>
      </w:r>
    </w:p>
    <w:p>
      <w:pPr>
        <w:pStyle w:val="ListBullet"/>
        <w:spacing w:after="40"/>
        <w:ind w:left="317"/>
      </w:pPr>
      <w:r>
        <w:rPr>
          <w:sz w:val="19"/>
        </w:rPr>
        <w:t>Monitorar AST/ALT, INR, bilirrubina, creatinina, lactato, pH, encefalopatia e hipoglicemia. Acionar transplante/hepatologia se falência hepática.</w:t>
      </w:r>
    </w:p>
    <w:p>
      <w:pPr>
        <w:pStyle w:val="Heading2"/>
      </w:pPr>
      <w:r>
        <w:t>12.8 Salicilatos</w:t>
      </w:r>
    </w:p>
    <w:p>
      <w:pPr>
        <w:pStyle w:val="ListBullet"/>
        <w:spacing w:after="40"/>
        <w:ind w:left="317"/>
      </w:pPr>
      <w:r>
        <w:rPr>
          <w:sz w:val="19"/>
        </w:rPr>
        <w:t>Quadro clássico: hiperventilação, zumbido, náuseas, febre, confusão; gasometria pode mostrar alcalose respiratória + acidose metabólica.</w:t>
      </w:r>
    </w:p>
    <w:p>
      <w:pPr>
        <w:pStyle w:val="ListBullet"/>
        <w:spacing w:after="40"/>
        <w:ind w:left="317"/>
      </w:pPr>
      <w:r>
        <w:rPr>
          <w:sz w:val="19"/>
        </w:rPr>
        <w:t>Alcalinização com bicarbonato aumenta ionização e eliminação urinária. Corrigir K é essencial para alcalinizar urina.</w:t>
      </w:r>
    </w:p>
    <w:p>
      <w:pPr>
        <w:pStyle w:val="ListBullet"/>
        <w:spacing w:after="40"/>
        <w:ind w:left="317"/>
      </w:pPr>
      <w:r>
        <w:rPr>
          <w:sz w:val="19"/>
        </w:rPr>
        <w:t>Evitar intubação se possível; se inevitável, manter ventilação minuto alta para não permitir queda brusca do pH. Diálise precoce se grave.</w:t>
      </w:r>
    </w:p>
    <w:p>
      <w:pPr>
        <w:pStyle w:val="Heading2"/>
      </w:pPr>
      <w:r>
        <w:t>12.9 Álcoois tóxicos: metanol e etilenoglicol</w:t>
      </w:r>
    </w:p>
    <w:p>
      <w:pPr>
        <w:pStyle w:val="ListBullet"/>
        <w:spacing w:after="40"/>
        <w:ind w:left="317"/>
      </w:pPr>
      <w:r>
        <w:rPr>
          <w:sz w:val="19"/>
        </w:rPr>
        <w:t>Suspeite se acidose metabólica com anion gap, osmolar gap, alteração visual, insuficiência renal, cristais, história de solvente/anticongelante/bebida adulterada.</w:t>
      </w:r>
    </w:p>
    <w:p>
      <w:pPr>
        <w:pStyle w:val="ListBullet"/>
        <w:spacing w:after="40"/>
        <w:ind w:left="317"/>
      </w:pPr>
      <w:r>
        <w:rPr>
          <w:sz w:val="19"/>
        </w:rPr>
        <w:t>Fomepizol bloqueia álcool desidrogenase. Não espere confirmação se suspeita forte com acidose grave.</w:t>
      </w:r>
    </w:p>
    <w:p>
      <w:pPr>
        <w:pStyle w:val="ListBullet"/>
        <w:spacing w:after="40"/>
        <w:ind w:left="317"/>
      </w:pPr>
      <w:r>
        <w:rPr>
          <w:sz w:val="19"/>
        </w:rPr>
        <w:t>Hemodiálise remove toxina e metabólitos e corrige acidose; discutir precocemente com nefrologia/CIATox.</w:t>
      </w:r>
    </w:p>
    <w:p>
      <w:pPr>
        <w:pStyle w:val="Heading2"/>
      </w:pPr>
      <w:r>
        <w:t>12.10 Monóxido de carbono, cianeto e metemoglobinemia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23"/>
        <w:gridCol w:w="3523"/>
        <w:gridCol w:w="3523"/>
      </w:tblGrid>
      <w:tr>
        <w:trPr>
          <w:cantSplit/>
          <w:tblHeader/>
        </w:trPr>
        <w:tc>
          <w:tcPr>
            <w:tcW w:type="dxa" w:w="2160"/>
            <w:shd w:fill="0B5159"/>
            <w:vAlign w:val="top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</w:tcPr>
          <w:p>
            <w:pPr>
              <w:spacing w:after="0" w:before="0" w:line="240" w:lineRule="auto"/>
            </w:pPr>
            <w:r/>
            <w:r>
              <w:rPr>
                <w:b/>
                <w:color w:val="FFFFFF"/>
                <w:sz w:val="16"/>
              </w:rPr>
              <w:t>Toxina</w:t>
            </w:r>
          </w:p>
        </w:tc>
        <w:tc>
          <w:tcPr>
            <w:tcW w:type="dxa" w:w="3888"/>
            <w:shd w:fill="0B5159"/>
            <w:vAlign w:val="top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</w:tcPr>
          <w:p>
            <w:pPr>
              <w:spacing w:after="0" w:before="0" w:line="240" w:lineRule="auto"/>
            </w:pPr>
            <w:r/>
            <w:r>
              <w:rPr>
                <w:b/>
                <w:color w:val="FFFFFF"/>
                <w:sz w:val="16"/>
              </w:rPr>
              <w:t>Pistas</w:t>
            </w:r>
          </w:p>
        </w:tc>
        <w:tc>
          <w:tcPr>
            <w:tcW w:type="dxa" w:w="4464"/>
            <w:shd w:fill="0B5159"/>
            <w:vAlign w:val="top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</w:tcPr>
          <w:p>
            <w:pPr>
              <w:spacing w:after="0" w:before="0" w:line="240" w:lineRule="auto"/>
            </w:pPr>
            <w:r/>
            <w:r>
              <w:rPr>
                <w:b/>
                <w:color w:val="FFFFFF"/>
                <w:sz w:val="16"/>
              </w:rPr>
              <w:t>Conduta</w:t>
            </w:r>
          </w:p>
        </w:tc>
      </w:tr>
      <w:tr>
        <w:trPr>
          <w:cantSplit/>
        </w:trPr>
        <w:tc>
          <w:tcPr>
            <w:tcW w:type="dxa" w:w="2160"/>
            <w:shd w:fill="F6FAFB"/>
            <w:vAlign w:val="top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6"/>
              </w:rPr>
              <w:t>Monóxido de carbono</w:t>
            </w:r>
          </w:p>
        </w:tc>
        <w:tc>
          <w:tcPr>
            <w:tcW w:type="dxa" w:w="3888"/>
            <w:shd w:fill="F6FAFB"/>
            <w:vAlign w:val="top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6"/>
              </w:rPr>
              <w:t>Cefaleia, confusão, síncope, isquemia, acidose/lactato; oximetria pode ser falsamente normal.</w:t>
            </w:r>
          </w:p>
        </w:tc>
        <w:tc>
          <w:tcPr>
            <w:tcW w:type="dxa" w:w="4464"/>
            <w:shd w:fill="F6FAFB"/>
            <w:vAlign w:val="top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6"/>
              </w:rPr>
              <w:t>O2 100%; dosar COHb; considerar câmara hiperbárica se grave/gestante/neurológico/cardiovascular conforme disponibilidade.</w:t>
            </w:r>
          </w:p>
        </w:tc>
      </w:tr>
      <w:tr>
        <w:trPr>
          <w:cantSplit/>
        </w:trPr>
        <w:tc>
          <w:tcPr>
            <w:tcW w:type="dxa" w:w="2160"/>
            <w:vAlign w:val="top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6"/>
              </w:rPr>
              <w:t>Cianeto</w:t>
            </w:r>
          </w:p>
        </w:tc>
        <w:tc>
          <w:tcPr>
            <w:tcW w:type="dxa" w:w="3888"/>
            <w:vAlign w:val="top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6"/>
              </w:rPr>
              <w:t>Incêndio em ambiente fechado, fuligem, coma, choque, lactato muito alto.</w:t>
            </w:r>
          </w:p>
        </w:tc>
        <w:tc>
          <w:tcPr>
            <w:tcW w:type="dxa" w:w="4464"/>
            <w:vAlign w:val="top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6"/>
              </w:rPr>
              <w:t>Hidroxocobalamina imediata se suspeita forte; suporte hemodinâmico e ventilatório.</w:t>
            </w:r>
          </w:p>
        </w:tc>
      </w:tr>
      <w:tr>
        <w:trPr>
          <w:cantSplit/>
        </w:trPr>
        <w:tc>
          <w:tcPr>
            <w:tcW w:type="dxa" w:w="2160"/>
            <w:shd w:fill="F6FAFB"/>
            <w:vAlign w:val="top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6"/>
              </w:rPr>
              <w:t>Metemoglobinemia</w:t>
            </w:r>
          </w:p>
        </w:tc>
        <w:tc>
          <w:tcPr>
            <w:tcW w:type="dxa" w:w="3888"/>
            <w:shd w:fill="F6FAFB"/>
            <w:vAlign w:val="top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6"/>
              </w:rPr>
              <w:t>Cianose com PaO2 normal, SpO2 em torno de 85%, sangue achocolatado, exposição a anestésicos locais/nitritos/dapsona.</w:t>
            </w:r>
          </w:p>
        </w:tc>
        <w:tc>
          <w:tcPr>
            <w:tcW w:type="dxa" w:w="4464"/>
            <w:shd w:fill="F6FAFB"/>
            <w:vAlign w:val="top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6"/>
              </w:rPr>
              <w:t>Azul de metileno 1–2 mg/kg se sintomático/nível alto; cuidado em G6PD e serotonérgicos.</w:t>
            </w:r>
          </w:p>
        </w:tc>
      </w:tr>
    </w:tbl>
    <w:p>
      <w:pPr>
        <w:spacing w:after="20"/>
      </w:pPr>
    </w:p>
    <w:p>
      <w:pPr>
        <w:pStyle w:val="Heading1"/>
      </w:pPr>
      <w:r>
        <w:t>13. Eliminação extracorpórea/EXTRIP: quando acionar nefrologia</w:t>
      </w:r>
    </w:p>
    <w:p>
      <w:r>
        <w:t>A eliminação extracorpórea deve ser pensada cedo, não como “último recurso”, quando a toxina é dialisável, há acidose/choque/rebaixamento grave ou o tempo para eliminação espontânea é incompatível com segurança. O grupo EXTRIP publica recomendações por substância para orientar essa decisão.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23"/>
        <w:gridCol w:w="3523"/>
        <w:gridCol w:w="3523"/>
      </w:tblGrid>
      <w:tr>
        <w:trPr>
          <w:cantSplit/>
          <w:tblHeader/>
        </w:trPr>
        <w:tc>
          <w:tcPr>
            <w:tcW w:type="dxa" w:w="2304"/>
            <w:shd w:fill="0B5159"/>
            <w:vAlign w:val="top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</w:tcPr>
          <w:p>
            <w:pPr>
              <w:spacing w:after="0" w:before="0" w:line="240" w:lineRule="auto"/>
            </w:pPr>
            <w:r/>
            <w:r>
              <w:rPr>
                <w:b/>
                <w:color w:val="FFFFFF"/>
                <w:sz w:val="16"/>
              </w:rPr>
              <w:t>Substância</w:t>
            </w:r>
          </w:p>
        </w:tc>
        <w:tc>
          <w:tcPr>
            <w:tcW w:type="dxa" w:w="4608"/>
            <w:shd w:fill="0B5159"/>
            <w:vAlign w:val="top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</w:tcPr>
          <w:p>
            <w:pPr>
              <w:spacing w:after="0" w:before="0" w:line="240" w:lineRule="auto"/>
            </w:pPr>
            <w:r/>
            <w:r>
              <w:rPr>
                <w:b/>
                <w:color w:val="FFFFFF"/>
                <w:sz w:val="16"/>
              </w:rPr>
              <w:t>Quando pensar em ECTR</w:t>
            </w:r>
          </w:p>
        </w:tc>
        <w:tc>
          <w:tcPr>
            <w:tcW w:type="dxa" w:w="3600"/>
            <w:shd w:fill="0B5159"/>
            <w:vAlign w:val="top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</w:tcPr>
          <w:p>
            <w:pPr>
              <w:spacing w:after="0" w:before="0" w:line="240" w:lineRule="auto"/>
            </w:pPr>
            <w:r/>
            <w:r>
              <w:rPr>
                <w:b/>
                <w:color w:val="FFFFFF"/>
                <w:sz w:val="16"/>
              </w:rPr>
              <w:t>Observações</w:t>
            </w:r>
          </w:p>
        </w:tc>
      </w:tr>
      <w:tr>
        <w:trPr>
          <w:cantSplit/>
        </w:trPr>
        <w:tc>
          <w:tcPr>
            <w:tcW w:type="dxa" w:w="2304"/>
            <w:shd w:fill="F6FAFB"/>
            <w:vAlign w:val="top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6"/>
              </w:rPr>
              <w:t>Metanol/etilenoglicol</w:t>
            </w:r>
          </w:p>
        </w:tc>
        <w:tc>
          <w:tcPr>
            <w:tcW w:type="dxa" w:w="4608"/>
            <w:shd w:fill="F6FAFB"/>
            <w:vAlign w:val="top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6"/>
              </w:rPr>
              <w:t>Acidose grave, alteração visual, insuficiência renal, níveis altos, eletrólitos/metabólitos graves.</w:t>
            </w:r>
          </w:p>
        </w:tc>
        <w:tc>
          <w:tcPr>
            <w:tcW w:type="dxa" w:w="3600"/>
            <w:shd w:fill="F6FAFB"/>
            <w:vAlign w:val="top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6"/>
              </w:rPr>
              <w:t>Hemodiálise intermitente preferida quando disponível; fomepizol durante todo o processo.</w:t>
            </w:r>
          </w:p>
        </w:tc>
      </w:tr>
      <w:tr>
        <w:trPr>
          <w:cantSplit/>
        </w:trPr>
        <w:tc>
          <w:tcPr>
            <w:tcW w:type="dxa" w:w="2304"/>
            <w:vAlign w:val="top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6"/>
              </w:rPr>
              <w:t>Salicilato</w:t>
            </w:r>
          </w:p>
        </w:tc>
        <w:tc>
          <w:tcPr>
            <w:tcW w:type="dxa" w:w="4608"/>
            <w:vAlign w:val="top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6"/>
              </w:rPr>
              <w:t>Alteração neurológica, edema pulmonar, acidemia, insuficiência renal, nível alto ou piora apesar de alcalinização.</w:t>
            </w:r>
          </w:p>
        </w:tc>
        <w:tc>
          <w:tcPr>
            <w:tcW w:type="dxa" w:w="3600"/>
            <w:vAlign w:val="top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6"/>
              </w:rPr>
              <w:t>Hemodiálise precoce; cuidado extremo se intubação for necessária.</w:t>
            </w:r>
          </w:p>
        </w:tc>
      </w:tr>
      <w:tr>
        <w:trPr>
          <w:cantSplit/>
        </w:trPr>
        <w:tc>
          <w:tcPr>
            <w:tcW w:type="dxa" w:w="2304"/>
            <w:shd w:fill="F6FAFB"/>
            <w:vAlign w:val="top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6"/>
              </w:rPr>
              <w:t>Lítio</w:t>
            </w:r>
          </w:p>
        </w:tc>
        <w:tc>
          <w:tcPr>
            <w:tcW w:type="dxa" w:w="4608"/>
            <w:shd w:fill="F6FAFB"/>
            <w:vAlign w:val="top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6"/>
              </w:rPr>
              <w:t>Sintomas neurológicos graves, nível alto, insuficiência renal, exposição crônica com neurotoxicidade, eliminação prevista prolongada.</w:t>
            </w:r>
          </w:p>
        </w:tc>
        <w:tc>
          <w:tcPr>
            <w:tcW w:type="dxa" w:w="3600"/>
            <w:shd w:fill="F6FAFB"/>
            <w:vAlign w:val="top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6"/>
              </w:rPr>
              <w:t>Hemodiálise; monitorar rebote pós-diálise.</w:t>
            </w:r>
          </w:p>
        </w:tc>
      </w:tr>
      <w:tr>
        <w:trPr>
          <w:cantSplit/>
        </w:trPr>
        <w:tc>
          <w:tcPr>
            <w:tcW w:type="dxa" w:w="2304"/>
            <w:vAlign w:val="top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6"/>
              </w:rPr>
              <w:t>Metformina</w:t>
            </w:r>
          </w:p>
        </w:tc>
        <w:tc>
          <w:tcPr>
            <w:tcW w:type="dxa" w:w="4608"/>
            <w:vAlign w:val="top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6"/>
              </w:rPr>
              <w:t>Acidose láctica grave, choque, insuficiência renal, lactato/pH críticos.</w:t>
            </w:r>
          </w:p>
        </w:tc>
        <w:tc>
          <w:tcPr>
            <w:tcW w:type="dxa" w:w="3600"/>
            <w:vAlign w:val="top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6"/>
              </w:rPr>
              <w:t>Hemodiálise/CRRT conforme estabilidade; suporte intensivo agressivo.</w:t>
            </w:r>
          </w:p>
        </w:tc>
      </w:tr>
      <w:tr>
        <w:trPr>
          <w:cantSplit/>
        </w:trPr>
        <w:tc>
          <w:tcPr>
            <w:tcW w:type="dxa" w:w="2304"/>
            <w:shd w:fill="F6FAFB"/>
            <w:vAlign w:val="top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6"/>
              </w:rPr>
              <w:t>Valproato</w:t>
            </w:r>
          </w:p>
        </w:tc>
        <w:tc>
          <w:tcPr>
            <w:tcW w:type="dxa" w:w="4608"/>
            <w:shd w:fill="F6FAFB"/>
            <w:vAlign w:val="top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6"/>
              </w:rPr>
              <w:t>Nível muito alto, coma, hiperamonemia, acidose, choque/cerebral edema.</w:t>
            </w:r>
          </w:p>
        </w:tc>
        <w:tc>
          <w:tcPr>
            <w:tcW w:type="dxa" w:w="3600"/>
            <w:shd w:fill="F6FAFB"/>
            <w:vAlign w:val="top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6"/>
              </w:rPr>
              <w:t>L-carnitina; considerar diálise em grave.</w:t>
            </w:r>
          </w:p>
        </w:tc>
      </w:tr>
      <w:tr>
        <w:trPr>
          <w:cantSplit/>
        </w:trPr>
        <w:tc>
          <w:tcPr>
            <w:tcW w:type="dxa" w:w="2304"/>
            <w:vAlign w:val="top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6"/>
              </w:rPr>
              <w:t>Carbamazepina/fenobarbital/teofilina</w:t>
            </w:r>
          </w:p>
        </w:tc>
        <w:tc>
          <w:tcPr>
            <w:tcW w:type="dxa" w:w="4608"/>
            <w:vAlign w:val="top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6"/>
              </w:rPr>
              <w:t>Coma prolongado, arritmia/convulsão, níveis altos ou deterioração.</w:t>
            </w:r>
          </w:p>
        </w:tc>
        <w:tc>
          <w:tcPr>
            <w:tcW w:type="dxa" w:w="3600"/>
            <w:vAlign w:val="top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6"/>
              </w:rPr>
              <w:t>Carvão múltiplas doses; diálise/hemoperfusão em casos selecionados.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70"/>
      </w:tblGrid>
      <w:tr>
        <w:tc>
          <w:tcPr>
            <w:tcW w:type="dxa" w:w="10570"/>
            <w:shd w:fill="F5F3FF"/>
            <w:tcBorders>
              <w:top w:sz="10" w:val="single" w:color="7C3AED"/>
              <w:left w:sz="10" w:val="single" w:color="7C3AED"/>
              <w:bottom w:sz="10" w:val="single" w:color="7C3AED"/>
              <w:right w:sz="10" w:val="single" w:color="7C3AED"/>
            </w:tcBorders>
          </w:tcPr>
          <w:p>
            <w:pPr>
              <w:spacing w:after="60"/>
            </w:pPr>
            <w:r>
              <w:rPr>
                <w:b/>
                <w:color w:val="0B5159"/>
                <w:sz w:val="20"/>
              </w:rPr>
              <w:t>Pense em EXTRIP quando...</w:t>
            </w:r>
          </w:p>
          <w:p>
            <w:pPr>
              <w:spacing w:after="0" w:line="240" w:lineRule="auto"/>
            </w:pPr>
            <w:r>
              <w:rPr>
                <w:sz w:val="19"/>
              </w:rPr>
              <w:t>Toxina pequena, pouco ligada a proteína, baixo volume de distribuição, hidrossolúvel, com nível sérico correlacionado à gravidade — e, principalmente, quando o paciente está deteriorando apesar do suporte e antídoto.</w:t>
            </w:r>
          </w:p>
        </w:tc>
      </w:tr>
    </w:tbl>
    <w:p>
      <w:pPr>
        <w:pStyle w:val="Heading1"/>
      </w:pPr>
      <w:r>
        <w:t>14. Monitorização em UTI, alta e notificação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85"/>
        <w:gridCol w:w="5285"/>
      </w:tblGrid>
      <w:tr>
        <w:trPr>
          <w:cantSplit/>
          <w:tblHeader/>
        </w:trPr>
        <w:tc>
          <w:tcPr>
            <w:tcW w:type="dxa" w:w="2232"/>
            <w:shd w:fill="0B5159"/>
            <w:vAlign w:val="top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</w:tcPr>
          <w:p>
            <w:pPr>
              <w:spacing w:after="0" w:before="0" w:line="240" w:lineRule="auto"/>
            </w:pPr>
            <w:r/>
            <w:r>
              <w:rPr>
                <w:b/>
                <w:color w:val="FFFFFF"/>
                <w:sz w:val="16"/>
              </w:rPr>
              <w:t>Eixo</w:t>
            </w:r>
          </w:p>
        </w:tc>
        <w:tc>
          <w:tcPr>
            <w:tcW w:type="dxa" w:w="8280"/>
            <w:shd w:fill="0B5159"/>
            <w:vAlign w:val="top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</w:tcPr>
          <w:p>
            <w:pPr>
              <w:spacing w:after="0" w:before="0" w:line="240" w:lineRule="auto"/>
            </w:pPr>
            <w:r/>
            <w:r>
              <w:rPr>
                <w:b/>
                <w:color w:val="FFFFFF"/>
                <w:sz w:val="16"/>
              </w:rPr>
              <w:t>Como monitorar</w:t>
            </w:r>
          </w:p>
        </w:tc>
      </w:tr>
      <w:tr>
        <w:trPr>
          <w:cantSplit/>
        </w:trPr>
        <w:tc>
          <w:tcPr>
            <w:tcW w:type="dxa" w:w="2232"/>
            <w:shd w:fill="F6FAFB"/>
            <w:vAlign w:val="top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6"/>
              </w:rPr>
              <w:t>Monitor cardíaco/ECG</w:t>
            </w:r>
          </w:p>
        </w:tc>
        <w:tc>
          <w:tcPr>
            <w:tcW w:type="dxa" w:w="8280"/>
            <w:shd w:fill="F6FAFB"/>
            <w:vAlign w:val="top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6"/>
              </w:rPr>
              <w:t>ECG admissional e seriado; monitor contínuo se cardiotóxico, QRS/QT alterado, choque, distúrbio eletrolítico, TCA/CCB/BB/digoxina/cocaína.</w:t>
            </w:r>
          </w:p>
        </w:tc>
      </w:tr>
      <w:tr>
        <w:trPr>
          <w:cantSplit/>
        </w:trPr>
        <w:tc>
          <w:tcPr>
            <w:tcW w:type="dxa" w:w="2232"/>
            <w:vAlign w:val="top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6"/>
              </w:rPr>
              <w:t>Respiração</w:t>
            </w:r>
          </w:p>
        </w:tc>
        <w:tc>
          <w:tcPr>
            <w:tcW w:type="dxa" w:w="8280"/>
            <w:vAlign w:val="top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6"/>
              </w:rPr>
              <w:t>Capnografia se IOT; gasometrias seriadas; metas ventilatórias compatíveis com intoxicação: em salicilato intubado, manter ventilação minuto alta.</w:t>
            </w:r>
          </w:p>
        </w:tc>
      </w:tr>
      <w:tr>
        <w:trPr>
          <w:cantSplit/>
        </w:trPr>
        <w:tc>
          <w:tcPr>
            <w:tcW w:type="dxa" w:w="2232"/>
            <w:shd w:fill="F6FAFB"/>
            <w:vAlign w:val="top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6"/>
              </w:rPr>
              <w:t>Metabolismo</w:t>
            </w:r>
          </w:p>
        </w:tc>
        <w:tc>
          <w:tcPr>
            <w:tcW w:type="dxa" w:w="8280"/>
            <w:shd w:fill="F6FAFB"/>
            <w:vAlign w:val="top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6"/>
              </w:rPr>
              <w:t>Glicose seriada em sulfonilureia, insulina, CCB/BB/HDI; K/Mg/Ca seriados; lactato/pH; CK/mioglobina se hipertermia/agitação/rabdo.</w:t>
            </w:r>
          </w:p>
        </w:tc>
      </w:tr>
      <w:tr>
        <w:trPr>
          <w:cantSplit/>
        </w:trPr>
        <w:tc>
          <w:tcPr>
            <w:tcW w:type="dxa" w:w="2232"/>
            <w:vAlign w:val="top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6"/>
              </w:rPr>
              <w:t>Rim/fígado</w:t>
            </w:r>
          </w:p>
        </w:tc>
        <w:tc>
          <w:tcPr>
            <w:tcW w:type="dxa" w:w="8280"/>
            <w:vAlign w:val="top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6"/>
              </w:rPr>
              <w:t>Diurese horária; creatinina; AST/ALT/INR em paracetamol, cogumelos, valproato, choque; considerar critérios de transplante/hepatologia.</w:t>
            </w:r>
          </w:p>
        </w:tc>
      </w:tr>
      <w:tr>
        <w:trPr>
          <w:cantSplit/>
        </w:trPr>
        <w:tc>
          <w:tcPr>
            <w:tcW w:type="dxa" w:w="2232"/>
            <w:shd w:fill="F6FAFB"/>
            <w:vAlign w:val="top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6"/>
              </w:rPr>
              <w:t>Critérios gerais de melhora</w:t>
            </w:r>
          </w:p>
        </w:tc>
        <w:tc>
          <w:tcPr>
            <w:tcW w:type="dxa" w:w="8280"/>
            <w:shd w:fill="F6FAFB"/>
            <w:vAlign w:val="top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6"/>
              </w:rPr>
              <w:t>Sinais vitais estáveis sem suporte crescente; ECG normalizando; estado mental basal; janela de pico superada; sem hipoglicemia/convulsão recorrente; plano psiquiátrico/social quando necessário.</w:t>
            </w:r>
          </w:p>
        </w:tc>
      </w:tr>
      <w:tr>
        <w:trPr>
          <w:cantSplit/>
        </w:trPr>
        <w:tc>
          <w:tcPr>
            <w:tcW w:type="dxa" w:w="2232"/>
            <w:vAlign w:val="top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6"/>
              </w:rPr>
              <w:t>Notificação</w:t>
            </w:r>
          </w:p>
        </w:tc>
        <w:tc>
          <w:tcPr>
            <w:tcW w:type="dxa" w:w="8280"/>
            <w:vAlign w:val="top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6"/>
              </w:rPr>
              <w:t>Registrar intoxicação exógena suspeita/confirmada conforme Sinan/vigilância. Em agrotóxicos, ocupacional, violência ou tentativa autoextermínio, documentação detalhada é essencial.</w:t>
            </w:r>
          </w:p>
        </w:tc>
      </w:tr>
    </w:tbl>
    <w:p>
      <w:pPr>
        <w:spacing w:after="20"/>
      </w:pPr>
    </w:p>
    <w:p>
      <w:pPr>
        <w:pStyle w:val="Heading1"/>
      </w:pPr>
      <w:r>
        <w:t>15. Modelos prontos para plantão</w:t>
      </w:r>
    </w:p>
    <w:p>
      <w:pPr>
        <w:pStyle w:val="Heading2"/>
      </w:pPr>
      <w:r>
        <w:t>15.1 Evolução médica – copiar e adaptar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70"/>
      </w:tblGrid>
      <w:tr>
        <w:tc>
          <w:tcPr>
            <w:tcW w:type="dxa" w:w="10570"/>
            <w:shd w:fill="F8FAFC"/>
            <w:tcBorders>
              <w:top w:sz="10" w:val="single" w:color="94A3B8"/>
              <w:left w:sz="10" w:val="single" w:color="94A3B8"/>
              <w:bottom w:sz="10" w:val="single" w:color="94A3B8"/>
              <w:right w:sz="10" w:val="single" w:color="94A3B8"/>
            </w:tcBorders>
          </w:tcPr>
          <w:p>
            <w:pPr>
              <w:spacing w:after="60"/>
            </w:pPr>
            <w:r>
              <w:rPr>
                <w:b/>
                <w:color w:val="0B5159"/>
                <w:sz w:val="20"/>
              </w:rPr>
              <w:t>Texto-base de evolução</w:t>
            </w:r>
          </w:p>
          <w:p>
            <w:pPr>
              <w:spacing w:after="0" w:line="240" w:lineRule="auto"/>
            </w:pPr>
            <w:r>
              <w:rPr>
                <w:sz w:val="19"/>
              </w:rPr>
              <w:t>Paciente admitido em UTI por suspeita de intoxicação exógena por [substância/medicação/produto], exposição em [data/hora], via [oral/inalatória/cutânea/etc.], dose estimada [ ], contexto [acidental/intencional/ocupacional/desconhecido]. Na admissão: ABCDE realizado; via aérea [protegida/IOT]; ventilação [ ]; hemodinâmica [ ]; Glasgow [ ]; pupilas [ ]; temperatura [ ]; glicemia [ ]; ECG: FC [ ], PR [ ], QRS [ ], QTc [ ], alterações [ ]. Exames iniciais: gaso pH [ ], HCO3 [ ], lactato [ ], K [ ], Mg [ ], Ca [ ], Cr [ ], AST/ALT [ ], INR [ ], CK [ ], níveis específicos [ ]. Toxíndrome provável: [ ]. Condutas: suporte ventilatório/hemodinâmico, descontaminação [ ], carvão [sim/não, motivo], antídoto [dose/hora], contato CIATox [horário/orientação], nefrologia [ ], psiquiatria/segurança [ ]. Plano: monitorização contínua, ECG/gaso/labs seriados, metas [ ], observar complicações [ ], notificação Sinan [ ].</w:t>
            </w:r>
          </w:p>
        </w:tc>
      </w:tr>
    </w:tbl>
    <w:p>
      <w:pPr>
        <w:pStyle w:val="Heading2"/>
      </w:pPr>
      <w:r>
        <w:t>15.2 Prescrição inicial –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85"/>
        <w:gridCol w:w="5285"/>
      </w:tblGrid>
      <w:tr>
        <w:trPr>
          <w:cantSplit/>
          <w:tblHeader/>
        </w:trPr>
        <w:tc>
          <w:tcPr>
            <w:tcW w:type="dxa" w:w="2232"/>
            <w:shd w:fill="0B5159"/>
            <w:vAlign w:val="top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</w:tcPr>
          <w:p>
            <w:pPr>
              <w:spacing w:after="0" w:before="0" w:line="240" w:lineRule="auto"/>
            </w:pPr>
            <w:r/>
            <w:r>
              <w:rPr>
                <w:b/>
                <w:color w:val="FFFFFF"/>
                <w:sz w:val="17"/>
              </w:rPr>
              <w:t>Bloco</w:t>
            </w:r>
          </w:p>
        </w:tc>
        <w:tc>
          <w:tcPr>
            <w:tcW w:type="dxa" w:w="8280"/>
            <w:shd w:fill="0B5159"/>
            <w:vAlign w:val="top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</w:tcPr>
          <w:p>
            <w:pPr>
              <w:spacing w:after="0" w:before="0" w:line="240" w:lineRule="auto"/>
            </w:pPr>
            <w:r/>
            <w:r>
              <w:rPr>
                <w:b/>
                <w:color w:val="FFFFFF"/>
                <w:sz w:val="17"/>
              </w:rPr>
              <w:t>Itens</w:t>
            </w:r>
          </w:p>
        </w:tc>
      </w:tr>
      <w:tr>
        <w:trPr>
          <w:cantSplit/>
        </w:trPr>
        <w:tc>
          <w:tcPr>
            <w:tcW w:type="dxa" w:w="2232"/>
            <w:shd w:fill="F6FAFB"/>
            <w:vAlign w:val="top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7"/>
              </w:rPr>
              <w:t>Monitorização</w:t>
            </w:r>
          </w:p>
        </w:tc>
        <w:tc>
          <w:tcPr>
            <w:tcW w:type="dxa" w:w="8280"/>
            <w:shd w:fill="F6FAFB"/>
            <w:vAlign w:val="top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7"/>
              </w:rPr>
              <w:t>Monitor cardíaco contínuo; SpO2; PA não invasiva ou invasiva se choque; temperatura central; glicemia capilar seriada conforme risco.</w:t>
            </w:r>
          </w:p>
        </w:tc>
      </w:tr>
      <w:tr>
        <w:trPr>
          <w:cantSplit/>
        </w:trPr>
        <w:tc>
          <w:tcPr>
            <w:tcW w:type="dxa" w:w="2232"/>
            <w:vAlign w:val="top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7"/>
              </w:rPr>
              <w:t>Acesso/coleta</w:t>
            </w:r>
          </w:p>
        </w:tc>
        <w:tc>
          <w:tcPr>
            <w:tcW w:type="dxa" w:w="8280"/>
            <w:vAlign w:val="top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7"/>
              </w:rPr>
              <w:t>2 acessos venosos calibrosos ou CVC; coletar gaso/lactato/eletrólitos/renal/hepático/INR/CK/níveis específicos antes do antídoto se não atrasar tratamento.</w:t>
            </w:r>
          </w:p>
        </w:tc>
      </w:tr>
      <w:tr>
        <w:trPr>
          <w:cantSplit/>
        </w:trPr>
        <w:tc>
          <w:tcPr>
            <w:tcW w:type="dxa" w:w="2232"/>
            <w:shd w:fill="F6FAFB"/>
            <w:vAlign w:val="top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7"/>
              </w:rPr>
              <w:t>Via aérea</w:t>
            </w:r>
          </w:p>
        </w:tc>
        <w:tc>
          <w:tcPr>
            <w:tcW w:type="dxa" w:w="8280"/>
            <w:shd w:fill="F6FAFB"/>
            <w:vAlign w:val="top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7"/>
              </w:rPr>
              <w:t>O2; preparo de IOT se Glasgow baixo, vômitos, hipoventilação, choque, convulsão ou necessidade de procedimento com via aérea insegura.</w:t>
            </w:r>
          </w:p>
        </w:tc>
      </w:tr>
      <w:tr>
        <w:trPr>
          <w:cantSplit/>
        </w:trPr>
        <w:tc>
          <w:tcPr>
            <w:tcW w:type="dxa" w:w="2232"/>
            <w:vAlign w:val="top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7"/>
              </w:rPr>
              <w:t>Fluidos/vasopressor</w:t>
            </w:r>
          </w:p>
        </w:tc>
        <w:tc>
          <w:tcPr>
            <w:tcW w:type="dxa" w:w="8280"/>
            <w:vAlign w:val="top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7"/>
              </w:rPr>
              <w:t>Cristaloide em bolus pequenos conforme fenótipo; noradrenalina se PAM baixa; eco à beira-leito quando possível.</w:t>
            </w:r>
          </w:p>
        </w:tc>
      </w:tr>
      <w:tr>
        <w:trPr>
          <w:cantSplit/>
        </w:trPr>
        <w:tc>
          <w:tcPr>
            <w:tcW w:type="dxa" w:w="2232"/>
            <w:shd w:fill="F6FAFB"/>
            <w:vAlign w:val="top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7"/>
              </w:rPr>
              <w:t>Antídoto</w:t>
            </w:r>
          </w:p>
        </w:tc>
        <w:tc>
          <w:tcPr>
            <w:tcW w:type="dxa" w:w="8280"/>
            <w:shd w:fill="F6FAFB"/>
            <w:vAlign w:val="top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7"/>
              </w:rPr>
              <w:t>Prescrever droga, dose, diluição, velocidade, metas e monitorização. Checar estoque e farmácia.</w:t>
            </w:r>
          </w:p>
        </w:tc>
      </w:tr>
      <w:tr>
        <w:trPr>
          <w:cantSplit/>
        </w:trPr>
        <w:tc>
          <w:tcPr>
            <w:tcW w:type="dxa" w:w="2232"/>
            <w:vAlign w:val="top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7"/>
              </w:rPr>
              <w:t>Descontaminação</w:t>
            </w:r>
          </w:p>
        </w:tc>
        <w:tc>
          <w:tcPr>
            <w:tcW w:type="dxa" w:w="8280"/>
            <w:vAlign w:val="top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7"/>
              </w:rPr>
              <w:t>Banho/irrigação se externo; carvão ativado somente se indicado e via aérea segura; registrar contraindicações.</w:t>
            </w:r>
          </w:p>
        </w:tc>
      </w:tr>
      <w:tr>
        <w:trPr>
          <w:cantSplit/>
        </w:trPr>
        <w:tc>
          <w:tcPr>
            <w:tcW w:type="dxa" w:w="2232"/>
            <w:shd w:fill="F6FAFB"/>
            <w:vAlign w:val="top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7"/>
              </w:rPr>
              <w:t>Prevenção de complicações</w:t>
            </w:r>
          </w:p>
        </w:tc>
        <w:tc>
          <w:tcPr>
            <w:tcW w:type="dxa" w:w="8280"/>
            <w:shd w:fill="F6FAFB"/>
            <w:vAlign w:val="top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7"/>
              </w:rPr>
              <w:t>Cabeceira elevada; profilaxia broncoaspiração conforme risco; controle de temperatura; sonda vesical se choque/rabdo; balanço hídrico.</w:t>
            </w:r>
          </w:p>
        </w:tc>
      </w:tr>
    </w:tbl>
    <w:p>
      <w:pPr>
        <w:spacing w:after="20"/>
      </w:pPr>
    </w:p>
    <w:p>
      <w:pPr>
        <w:pStyle w:val="Heading2"/>
      </w:pPr>
      <w:r>
        <w:t>15.3 Handoff SBAR toxicológico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85"/>
        <w:gridCol w:w="5285"/>
      </w:tblGrid>
      <w:tr>
        <w:trPr>
          <w:cantSplit/>
          <w:tblHeader/>
        </w:trPr>
        <w:tc>
          <w:tcPr>
            <w:tcW w:type="dxa" w:w="1728"/>
            <w:shd w:fill="0B5159"/>
            <w:vAlign w:val="top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</w:tcPr>
          <w:p>
            <w:pPr>
              <w:spacing w:after="0" w:before="0" w:line="240" w:lineRule="auto"/>
            </w:pPr>
            <w:r/>
            <w:r>
              <w:rPr>
                <w:b/>
                <w:color w:val="FFFFFF"/>
                <w:sz w:val="17"/>
              </w:rPr>
              <w:t>SBAR</w:t>
            </w:r>
          </w:p>
        </w:tc>
        <w:tc>
          <w:tcPr>
            <w:tcW w:type="dxa" w:w="8784"/>
            <w:shd w:fill="0B5159"/>
            <w:vAlign w:val="top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</w:tcPr>
          <w:p>
            <w:pPr>
              <w:spacing w:after="0" w:before="0" w:line="240" w:lineRule="auto"/>
            </w:pPr>
            <w:r/>
            <w:r>
              <w:rPr>
                <w:b/>
                <w:color w:val="FFFFFF"/>
                <w:sz w:val="17"/>
              </w:rPr>
              <w:t>Conteúdo</w:t>
            </w:r>
          </w:p>
        </w:tc>
      </w:tr>
      <w:tr>
        <w:trPr>
          <w:cantSplit/>
        </w:trPr>
        <w:tc>
          <w:tcPr>
            <w:tcW w:type="dxa" w:w="1728"/>
            <w:shd w:fill="F6FAFB"/>
            <w:vAlign w:val="top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7"/>
              </w:rPr>
              <w:t>S - Situation</w:t>
            </w:r>
          </w:p>
        </w:tc>
        <w:tc>
          <w:tcPr>
            <w:tcW w:type="dxa" w:w="8784"/>
            <w:shd w:fill="F6FAFB"/>
            <w:vAlign w:val="top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7"/>
              </w:rPr>
              <w:t>Paciente [idade], intoxicação por [ ], tempo desde exposição [ ], gravidade atual [IOT/choque/convulsão/arrítmia].</w:t>
            </w:r>
          </w:p>
        </w:tc>
      </w:tr>
      <w:tr>
        <w:trPr>
          <w:cantSplit/>
        </w:trPr>
        <w:tc>
          <w:tcPr>
            <w:tcW w:type="dxa" w:w="1728"/>
            <w:vAlign w:val="top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7"/>
              </w:rPr>
              <w:t>B - Background</w:t>
            </w:r>
          </w:p>
        </w:tc>
        <w:tc>
          <w:tcPr>
            <w:tcW w:type="dxa" w:w="8784"/>
            <w:vAlign w:val="top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7"/>
              </w:rPr>
              <w:t>Comorbidades, medicações crônicas, tentativa autoextermínio, coingestões, produto/frascos, função renal/hepática, gravidez.</w:t>
            </w:r>
          </w:p>
        </w:tc>
      </w:tr>
      <w:tr>
        <w:trPr>
          <w:cantSplit/>
        </w:trPr>
        <w:tc>
          <w:tcPr>
            <w:tcW w:type="dxa" w:w="1728"/>
            <w:shd w:fill="F6FAFB"/>
            <w:vAlign w:val="top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7"/>
              </w:rPr>
              <w:t>A - Assessment</w:t>
            </w:r>
          </w:p>
        </w:tc>
        <w:tc>
          <w:tcPr>
            <w:tcW w:type="dxa" w:w="8784"/>
            <w:shd w:fill="F6FAFB"/>
            <w:vAlign w:val="top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7"/>
              </w:rPr>
              <w:t>Toxíndrome, ECG QRS/QTc, gaso/lactato, eletrólitos, níveis séricos, evolução nas últimas horas, resposta a antídotos.</w:t>
            </w:r>
          </w:p>
        </w:tc>
      </w:tr>
      <w:tr>
        <w:trPr>
          <w:cantSplit/>
        </w:trPr>
        <w:tc>
          <w:tcPr>
            <w:tcW w:type="dxa" w:w="1728"/>
            <w:vAlign w:val="top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7"/>
              </w:rPr>
              <w:t>R - Recommendation</w:t>
            </w:r>
          </w:p>
        </w:tc>
        <w:tc>
          <w:tcPr>
            <w:tcW w:type="dxa" w:w="8784"/>
            <w:vAlign w:val="top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7"/>
              </w:rPr>
              <w:t>Próximos ECG/labs, metas hemodinâmicas/ventilatórias, redoses/infusões de antídoto, critérios de diálise, contato CIATox, segurança/psiquiatria.</w:t>
            </w:r>
          </w:p>
        </w:tc>
      </w:tr>
    </w:tbl>
    <w:p>
      <w:pPr>
        <w:spacing w:after="20"/>
      </w:pPr>
    </w:p>
    <w:p>
      <w:pPr>
        <w:pStyle w:val="Heading1"/>
      </w:pPr>
      <w:r>
        <w:t>16. Erros fatais e PERLAS TEMI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85"/>
        <w:gridCol w:w="5285"/>
      </w:tblGrid>
      <w:tr>
        <w:trPr>
          <w:cantSplit/>
          <w:tblHeader/>
        </w:trPr>
        <w:tc>
          <w:tcPr>
            <w:tcW w:type="dxa" w:w="3384"/>
            <w:shd w:fill="0B5159"/>
            <w:vAlign w:val="top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</w:tcPr>
          <w:p>
            <w:pPr>
              <w:spacing w:after="0" w:before="0" w:line="240" w:lineRule="auto"/>
            </w:pPr>
            <w:r/>
            <w:r>
              <w:rPr>
                <w:b/>
                <w:color w:val="FFFFFF"/>
                <w:sz w:val="17"/>
              </w:rPr>
              <w:t>Erro</w:t>
            </w:r>
          </w:p>
        </w:tc>
        <w:tc>
          <w:tcPr>
            <w:tcW w:type="dxa" w:w="7128"/>
            <w:shd w:fill="0B5159"/>
            <w:vAlign w:val="top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</w:tcPr>
          <w:p>
            <w:pPr>
              <w:spacing w:after="0" w:before="0" w:line="240" w:lineRule="auto"/>
            </w:pPr>
            <w:r/>
            <w:r>
              <w:rPr>
                <w:b/>
                <w:color w:val="FFFFFF"/>
                <w:sz w:val="17"/>
              </w:rPr>
              <w:t>Por que mata / como evitar</w:t>
            </w:r>
          </w:p>
        </w:tc>
      </w:tr>
      <w:tr>
        <w:trPr>
          <w:cantSplit/>
        </w:trPr>
        <w:tc>
          <w:tcPr>
            <w:tcW w:type="dxa" w:w="3384"/>
            <w:shd w:fill="F6FAFB"/>
            <w:vAlign w:val="top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7"/>
              </w:rPr>
              <w:t>Intubar salicilato grave sem hiperventilar depois</w:t>
            </w:r>
          </w:p>
        </w:tc>
        <w:tc>
          <w:tcPr>
            <w:tcW w:type="dxa" w:w="7128"/>
            <w:shd w:fill="F6FAFB"/>
            <w:vAlign w:val="top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7"/>
              </w:rPr>
              <w:t>Pode causar acidemia abrupta e entrada de salicilato no SNC. Planeje ventilação minuto alta e bicarbonato.</w:t>
            </w:r>
          </w:p>
        </w:tc>
      </w:tr>
      <w:tr>
        <w:trPr>
          <w:cantSplit/>
        </w:trPr>
        <w:tc>
          <w:tcPr>
            <w:tcW w:type="dxa" w:w="3384"/>
            <w:vAlign w:val="top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7"/>
              </w:rPr>
              <w:t>Flumazenil no coma de causa desconhecida</w:t>
            </w:r>
          </w:p>
        </w:tc>
        <w:tc>
          <w:tcPr>
            <w:tcW w:type="dxa" w:w="7128"/>
            <w:vAlign w:val="top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7"/>
              </w:rPr>
              <w:t>Pode precipitar convulsão, especialmente em TCA/coingestão ou dependência de benzodiazepínico.</w:t>
            </w:r>
          </w:p>
        </w:tc>
      </w:tr>
      <w:tr>
        <w:trPr>
          <w:cantSplit/>
        </w:trPr>
        <w:tc>
          <w:tcPr>
            <w:tcW w:type="dxa" w:w="3384"/>
            <w:shd w:fill="F6FAFB"/>
            <w:vAlign w:val="top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7"/>
              </w:rPr>
              <w:t>Carvão em via aérea desprotegida</w:t>
            </w:r>
          </w:p>
        </w:tc>
        <w:tc>
          <w:tcPr>
            <w:tcW w:type="dxa" w:w="7128"/>
            <w:shd w:fill="F6FAFB"/>
            <w:vAlign w:val="top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7"/>
              </w:rPr>
              <w:t>Aspiração de carvão pode ser desastrosa. Proteja via aérea se benefício real superar risco.</w:t>
            </w:r>
          </w:p>
        </w:tc>
      </w:tr>
      <w:tr>
        <w:trPr>
          <w:cantSplit/>
        </w:trPr>
        <w:tc>
          <w:tcPr>
            <w:tcW w:type="dxa" w:w="3384"/>
            <w:vAlign w:val="top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7"/>
              </w:rPr>
              <w:t>Esperar toxicologia para tratar</w:t>
            </w:r>
          </w:p>
        </w:tc>
        <w:tc>
          <w:tcPr>
            <w:tcW w:type="dxa" w:w="7128"/>
            <w:vAlign w:val="top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7"/>
              </w:rPr>
              <w:t>Choque, convulsão, hipoglicemia, QRS largo e hipertermia são diagnósticos terapêuticos.</w:t>
            </w:r>
          </w:p>
        </w:tc>
      </w:tr>
      <w:tr>
        <w:trPr>
          <w:cantSplit/>
        </w:trPr>
        <w:tc>
          <w:tcPr>
            <w:tcW w:type="dxa" w:w="3384"/>
            <w:shd w:fill="F6FAFB"/>
            <w:vAlign w:val="top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7"/>
              </w:rPr>
              <w:t>Subdose de atropina em organofosforado</w:t>
            </w:r>
          </w:p>
        </w:tc>
        <w:tc>
          <w:tcPr>
            <w:tcW w:type="dxa" w:w="7128"/>
            <w:shd w:fill="F6FAFB"/>
            <w:vAlign w:val="top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7"/>
              </w:rPr>
              <w:t>A meta é secar secreções e ventilar; doses muito maiores que bradicardia ACLS podem ser necessárias.</w:t>
            </w:r>
          </w:p>
        </w:tc>
      </w:tr>
      <w:tr>
        <w:trPr>
          <w:cantSplit/>
        </w:trPr>
        <w:tc>
          <w:tcPr>
            <w:tcW w:type="dxa" w:w="3384"/>
            <w:vAlign w:val="top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7"/>
              </w:rPr>
              <w:t>Não repetir ECG</w:t>
            </w:r>
          </w:p>
        </w:tc>
        <w:tc>
          <w:tcPr>
            <w:tcW w:type="dxa" w:w="7128"/>
            <w:vAlign w:val="top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7"/>
              </w:rPr>
              <w:t>QRS/QTc podem piorar horas depois em liberação prolongada ou coingestão.</w:t>
            </w:r>
          </w:p>
        </w:tc>
      </w:tr>
      <w:tr>
        <w:trPr>
          <w:cantSplit/>
        </w:trPr>
        <w:tc>
          <w:tcPr>
            <w:tcW w:type="dxa" w:w="3384"/>
            <w:shd w:fill="F6FAFB"/>
            <w:vAlign w:val="top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7"/>
              </w:rPr>
              <w:t>Esquecer hipoglicemia recorrente por sulfonilureia</w:t>
            </w:r>
          </w:p>
        </w:tc>
        <w:tc>
          <w:tcPr>
            <w:tcW w:type="dxa" w:w="7128"/>
            <w:shd w:fill="F6FAFB"/>
            <w:vAlign w:val="top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7"/>
              </w:rPr>
              <w:t>Dextrose isolada estimula insulina; octreotida reduz recorrência.</w:t>
            </w:r>
          </w:p>
        </w:tc>
      </w:tr>
      <w:tr>
        <w:trPr>
          <w:cantSplit/>
        </w:trPr>
        <w:tc>
          <w:tcPr>
            <w:tcW w:type="dxa" w:w="3384"/>
            <w:vAlign w:val="top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7"/>
              </w:rPr>
              <w:t>Não acionar diálise cedo</w:t>
            </w:r>
          </w:p>
        </w:tc>
        <w:tc>
          <w:tcPr>
            <w:tcW w:type="dxa" w:w="7128"/>
            <w:vAlign w:val="top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7"/>
              </w:rPr>
              <w:t>Metanol, etilenoglicol, salicilato, lítio e metformina grave podem deteriorar rapidamente.</w:t>
            </w:r>
          </w:p>
        </w:tc>
      </w:tr>
    </w:tbl>
    <w:p>
      <w:pPr>
        <w:spacing w:after="20"/>
      </w:pPr>
    </w:p>
    <w:p>
      <w:pPr>
        <w:pStyle w:val="Heading2"/>
      </w:pPr>
      <w:r>
        <w:t>PERLAS TEMI/UTI</w:t>
      </w:r>
    </w:p>
    <w:p>
      <w:pPr>
        <w:pStyle w:val="ListBullet"/>
        <w:spacing w:after="40"/>
        <w:ind w:left="317"/>
      </w:pPr>
      <w:r>
        <w:rPr>
          <w:b/>
          <w:sz w:val="19"/>
        </w:rPr>
        <w:t xml:space="preserve">PERLA 1: </w:t>
      </w:r>
      <w:r>
        <w:rPr>
          <w:sz w:val="19"/>
        </w:rPr>
        <w:t>pupila + pele + pulmão + ECG + temperatura dão o toxíndrome antes do laboratório.</w:t>
      </w:r>
    </w:p>
    <w:p>
      <w:pPr>
        <w:pStyle w:val="ListBullet"/>
        <w:spacing w:after="40"/>
        <w:ind w:left="317"/>
      </w:pPr>
      <w:r>
        <w:rPr>
          <w:b/>
          <w:sz w:val="19"/>
        </w:rPr>
        <w:t xml:space="preserve">PERLA 2: </w:t>
      </w:r>
      <w:r>
        <w:rPr>
          <w:sz w:val="19"/>
        </w:rPr>
        <w:t>QRS largo em intoxicação é bicarbonato até prova em contrário, não amiodarona automática.</w:t>
      </w:r>
    </w:p>
    <w:p>
      <w:pPr>
        <w:pStyle w:val="ListBullet"/>
        <w:spacing w:after="40"/>
        <w:ind w:left="317"/>
      </w:pPr>
      <w:r>
        <w:rPr>
          <w:b/>
          <w:sz w:val="19"/>
        </w:rPr>
        <w:t xml:space="preserve">PERLA 3: </w:t>
      </w:r>
      <w:r>
        <w:rPr>
          <w:sz w:val="19"/>
        </w:rPr>
        <w:t>hipertermia tóxica é falência de resfriamento/produção muscular; dipirona/paracetamol não resolvem.</w:t>
      </w:r>
    </w:p>
    <w:p>
      <w:pPr>
        <w:pStyle w:val="ListBullet"/>
        <w:spacing w:after="40"/>
        <w:ind w:left="317"/>
      </w:pPr>
      <w:r>
        <w:rPr>
          <w:b/>
          <w:sz w:val="19"/>
        </w:rPr>
        <w:t xml:space="preserve">PERLA 4: </w:t>
      </w:r>
      <w:r>
        <w:rPr>
          <w:sz w:val="19"/>
        </w:rPr>
        <w:t>no choque por CCB/BB, marcapasso pode capturar eletricamente e ainda assim não gerar débito; dê energia ao miócito com HDI.</w:t>
      </w:r>
    </w:p>
    <w:p>
      <w:pPr>
        <w:pStyle w:val="ListBullet"/>
        <w:spacing w:after="40"/>
        <w:ind w:left="317"/>
      </w:pPr>
      <w:r>
        <w:rPr>
          <w:b/>
          <w:sz w:val="19"/>
        </w:rPr>
        <w:t xml:space="preserve">PERLA 5: </w:t>
      </w:r>
      <w:r>
        <w:rPr>
          <w:sz w:val="19"/>
        </w:rPr>
        <w:t>em organofosforado, “secreção mata”: pulmão seco é desfecho inicial.</w:t>
      </w:r>
    </w:p>
    <w:p>
      <w:pPr>
        <w:pStyle w:val="ListBullet"/>
        <w:spacing w:after="40"/>
        <w:ind w:left="317"/>
      </w:pPr>
      <w:r>
        <w:rPr>
          <w:b/>
          <w:sz w:val="19"/>
        </w:rPr>
        <w:t xml:space="preserve">PERLA 6: </w:t>
      </w:r>
      <w:r>
        <w:rPr>
          <w:sz w:val="19"/>
        </w:rPr>
        <w:t>em intoxicação potencialmente reversível com colapso refratário, ECMO-VA pode ser ponte para metabolismo/eliminação.</w:t>
      </w:r>
    </w:p>
    <w:p>
      <w:pPr>
        <w:pStyle w:val="Heading1"/>
      </w:pPr>
      <w:r>
        <w:t>17. Referências essenciais</w:t>
      </w:r>
    </w:p>
    <w:p>
      <w:pPr>
        <w:spacing w:after="40"/>
        <w:ind w:left="216" w:hanging="216"/>
      </w:pPr>
      <w:r>
        <w:rPr>
          <w:b/>
          <w:sz w:val="18"/>
        </w:rPr>
        <w:t xml:space="preserve">1. </w:t>
      </w:r>
      <w:r>
        <w:rPr>
          <w:sz w:val="18"/>
        </w:rPr>
        <w:t xml:space="preserve">Lavonas EJ, Akpunonu PD, Arens AM, et al. 2023 American Heart Association Focused Update on the Management of Patients With Cardiac Arrest or Life-Threatening Toxicity Due to Poisoning. Circulation. 2023;148:e149-e184. DOI: 10.1161/CIR.0000000000001161. </w:t>
      </w:r>
      <w:hyperlink r:id="rId11">
        <w:r>
          <w:rPr>
            <w:color w:val="0563C1"/>
            <w:u w:val="single"/>
          </w:rPr>
          <w:t>https://www.ahajournals.org/doi/10.1161/CIR.0000000000001161</w:t>
        </w:r>
      </w:hyperlink>
    </w:p>
    <w:p>
      <w:pPr>
        <w:spacing w:after="40"/>
        <w:ind w:left="216" w:hanging="216"/>
      </w:pPr>
      <w:r>
        <w:rPr>
          <w:b/>
          <w:sz w:val="18"/>
        </w:rPr>
        <w:t xml:space="preserve">2. </w:t>
      </w:r>
      <w:r>
        <w:rPr>
          <w:sz w:val="18"/>
        </w:rPr>
        <w:t xml:space="preserve">American Heart Association. Opioid-Associated Emergency for Healthcare Providers Algorithm. </w:t>
      </w:r>
      <w:hyperlink r:id="rId12">
        <w:r>
          <w:rPr>
            <w:color w:val="0563C1"/>
            <w:u w:val="single"/>
          </w:rPr>
          <w:t>https://cpr.heart.org/-/media/CPR-Files/CPR-Guidelines-Files/Algorithms/AlgorithmOpioidHC_Provider_200615.pdf</w:t>
        </w:r>
      </w:hyperlink>
    </w:p>
    <w:p>
      <w:pPr>
        <w:spacing w:after="40"/>
        <w:ind w:left="216" w:hanging="216"/>
      </w:pPr>
      <w:r>
        <w:rPr>
          <w:b/>
          <w:sz w:val="18"/>
        </w:rPr>
        <w:t xml:space="preserve">3. </w:t>
      </w:r>
      <w:r>
        <w:rPr>
          <w:sz w:val="18"/>
        </w:rPr>
        <w:t xml:space="preserve">American Academy of Clinical Toxicology; European Association of Poisons Centres and Clinical Toxicologists. Position paper/statement: single-dose activated charcoal. </w:t>
      </w:r>
      <w:hyperlink r:id="rId13">
        <w:r>
          <w:rPr>
            <w:color w:val="0563C1"/>
            <w:u w:val="single"/>
          </w:rPr>
          <w:t>https://eapcct.org/wp-content/uploads/2024/09/PS_SingleDoseActivatedCharcoal.pdf</w:t>
        </w:r>
      </w:hyperlink>
    </w:p>
    <w:p>
      <w:pPr>
        <w:spacing w:after="40"/>
        <w:ind w:left="216" w:hanging="216"/>
      </w:pPr>
      <w:r>
        <w:rPr>
          <w:b/>
          <w:sz w:val="18"/>
        </w:rPr>
        <w:t xml:space="preserve">4. </w:t>
      </w:r>
      <w:r>
        <w:rPr>
          <w:sz w:val="18"/>
        </w:rPr>
        <w:t xml:space="preserve">EXTRIP Workgroup. Recommendations for extracorporeal treatments in poisoning. </w:t>
      </w:r>
      <w:hyperlink r:id="rId14">
        <w:r>
          <w:rPr>
            <w:color w:val="0563C1"/>
            <w:u w:val="single"/>
          </w:rPr>
          <w:t>https://www.extrip-workgroup.org/recommendations</w:t>
        </w:r>
      </w:hyperlink>
    </w:p>
    <w:p>
      <w:pPr>
        <w:spacing w:after="40"/>
        <w:ind w:left="216" w:hanging="216"/>
      </w:pPr>
      <w:r>
        <w:rPr>
          <w:b/>
          <w:sz w:val="18"/>
        </w:rPr>
        <w:t xml:space="preserve">5. </w:t>
      </w:r>
      <w:r>
        <w:rPr>
          <w:sz w:val="18"/>
        </w:rPr>
        <w:t xml:space="preserve">Ministério da Saúde. Centro de Informação e Assistência Toxicológica (CIATox). </w:t>
      </w:r>
      <w:hyperlink r:id="rId15">
        <w:r>
          <w:rPr>
            <w:color w:val="0563C1"/>
            <w:u w:val="single"/>
          </w:rPr>
          <w:t>https://www.gov.br/saude/pt-br/composicao/svsa/saude-ambiental/vigipeq/ciatox</w:t>
        </w:r>
      </w:hyperlink>
    </w:p>
    <w:p>
      <w:pPr>
        <w:spacing w:after="40"/>
        <w:ind w:left="216" w:hanging="216"/>
      </w:pPr>
      <w:r>
        <w:rPr>
          <w:b/>
          <w:sz w:val="18"/>
        </w:rPr>
        <w:t xml:space="preserve">6. </w:t>
      </w:r>
      <w:r>
        <w:rPr>
          <w:sz w:val="18"/>
        </w:rPr>
        <w:t xml:space="preserve">Anvisa. Disque-Intoxicação: 0800-722-6001. </w:t>
      </w:r>
      <w:hyperlink r:id="rId16">
        <w:r>
          <w:rPr>
            <w:color w:val="0563C1"/>
            <w:u w:val="single"/>
          </w:rPr>
          <w:t>https://www.gov.br/anvisa/pt-br/assuntos/agrotoxicos/disque-intoxicacao</w:t>
        </w:r>
      </w:hyperlink>
    </w:p>
    <w:p>
      <w:pPr>
        <w:spacing w:after="40"/>
        <w:ind w:left="216" w:hanging="216"/>
      </w:pPr>
      <w:r>
        <w:rPr>
          <w:b/>
          <w:sz w:val="18"/>
        </w:rPr>
        <w:t xml:space="preserve">7. </w:t>
      </w:r>
      <w:r>
        <w:rPr>
          <w:sz w:val="18"/>
        </w:rPr>
        <w:t xml:space="preserve">Ministério da Saúde/Sinan. Intoxicação Exógena: ficha e instrucional de notificação/investigação. </w:t>
      </w:r>
      <w:hyperlink r:id="rId17">
        <w:r>
          <w:rPr>
            <w:color w:val="0563C1"/>
            <w:u w:val="single"/>
          </w:rPr>
          <w:t>https://portalsinan.saude.gov.br/intoxicacao-exogena</w:t>
        </w:r>
      </w:hyperlink>
    </w:p>
    <w:p>
      <w:pPr>
        <w:spacing w:after="40"/>
        <w:ind w:left="216" w:hanging="216"/>
      </w:pPr>
      <w:r>
        <w:rPr>
          <w:b/>
          <w:sz w:val="18"/>
        </w:rPr>
        <w:t xml:space="preserve">8. </w:t>
      </w:r>
      <w:r>
        <w:rPr>
          <w:sz w:val="18"/>
        </w:rPr>
        <w:t xml:space="preserve">ABRACIT. Lista de centros CIATox no Brasil, incluindo CIATox/CE. </w:t>
      </w:r>
      <w:hyperlink r:id="rId18">
        <w:r>
          <w:rPr>
            <w:color w:val="0563C1"/>
            <w:u w:val="single"/>
          </w:rPr>
          <w:t>https://abracit.org.br/centros/</w:t>
        </w:r>
      </w:hyperlink>
    </w:p>
    <w:p>
      <w:pPr>
        <w:spacing w:after="40"/>
        <w:ind w:left="216" w:hanging="216"/>
      </w:pPr>
      <w:r>
        <w:rPr>
          <w:b/>
          <w:sz w:val="18"/>
        </w:rPr>
        <w:t xml:space="preserve">9. </w:t>
      </w:r>
      <w:r>
        <w:rPr>
          <w:sz w:val="18"/>
        </w:rPr>
        <w:t xml:space="preserve">Ministério da Saúde/Conitec. Diretrizes Brasileiras para diagnóstico e tratamento das intoxicações por agrotóxicos. </w:t>
      </w:r>
      <w:hyperlink r:id="rId19">
        <w:r>
          <w:rPr>
            <w:color w:val="0563C1"/>
            <w:u w:val="single"/>
          </w:rPr>
          <w:t>https://www.gov.br/conitec/pt-br/midias/protocolos/resumidos/ddt_resumido_intoxicacoes_por_agrotoxicos_cap1.pdf</w:t>
        </w:r>
      </w:hyperlink>
    </w:p>
    <w:p>
      <w:pPr>
        <w:spacing w:after="40"/>
        <w:ind w:left="216" w:hanging="216"/>
      </w:pPr>
      <w:r>
        <w:rPr>
          <w:b/>
          <w:sz w:val="18"/>
        </w:rPr>
        <w:t xml:space="preserve">10. </w:t>
      </w:r>
      <w:r>
        <w:rPr>
          <w:sz w:val="18"/>
        </w:rPr>
        <w:t xml:space="preserve">Olson KR, Anderson IB, Benowitz NL, et al. Manual de Toxicologia Clínica / Poisoning &amp; Drug Overdose. Referência de consulta para condutas toxicológicas. </w:t>
      </w:r>
      <w:hyperlink r:id="rId20">
        <w:r>
          <w:rPr>
            <w:color w:val="0563C1"/>
            <w:u w:val="single"/>
          </w:rPr>
          <w:t>https://saude.ufpr.br/medtrab/wp-content/uploads/sites/25/2016/08/Manual-de-Toxicologia-Cl%C3%ADnica_pdf.pdf</w:t>
        </w:r>
      </w:hyperlink>
    </w:p>
    <w:p>
      <w:pPr>
        <w:pStyle w:val="Heading1"/>
      </w:pPr>
      <w:r>
        <w:t>Anexo rápido: cartão de bolso “TOX ICU”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85"/>
        <w:gridCol w:w="5285"/>
      </w:tblGrid>
      <w:tr>
        <w:trPr>
          <w:cantSplit/>
          <w:tblHeader/>
        </w:trPr>
        <w:tc>
          <w:tcPr>
            <w:tcW w:type="dxa" w:w="2592"/>
            <w:shd w:fill="0B5159"/>
            <w:vAlign w:val="top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</w:tcPr>
          <w:p>
            <w:pPr>
              <w:spacing w:after="0" w:before="0" w:line="240" w:lineRule="auto"/>
            </w:pPr>
            <w:r/>
            <w:r>
              <w:rPr>
                <w:b/>
                <w:color w:val="FFFFFF"/>
                <w:sz w:val="17"/>
              </w:rPr>
              <w:t>Achado</w:t>
            </w:r>
          </w:p>
        </w:tc>
        <w:tc>
          <w:tcPr>
            <w:tcW w:type="dxa" w:w="7920"/>
            <w:shd w:fill="0B5159"/>
            <w:vAlign w:val="top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</w:tcPr>
          <w:p>
            <w:pPr>
              <w:spacing w:after="0" w:before="0" w:line="240" w:lineRule="auto"/>
            </w:pPr>
            <w:r/>
            <w:r>
              <w:rPr>
                <w:b/>
                <w:color w:val="FFFFFF"/>
                <w:sz w:val="17"/>
              </w:rPr>
              <w:t>Ação imediata</w:t>
            </w:r>
          </w:p>
        </w:tc>
      </w:tr>
      <w:tr>
        <w:trPr>
          <w:cantSplit/>
        </w:trPr>
        <w:tc>
          <w:tcPr>
            <w:tcW w:type="dxa" w:w="2592"/>
            <w:shd w:fill="F6FAFB"/>
            <w:vAlign w:val="top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7"/>
              </w:rPr>
              <w:t>QRS largo</w:t>
            </w:r>
          </w:p>
        </w:tc>
        <w:tc>
          <w:tcPr>
            <w:tcW w:type="dxa" w:w="7920"/>
            <w:shd w:fill="F6FAFB"/>
            <w:vAlign w:val="top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7"/>
              </w:rPr>
              <w:t>Bicarbonato 1–2 mEq/kg, repetir; meta QRS &lt;100–120 ms; corrigir pH/K.</w:t>
            </w:r>
          </w:p>
        </w:tc>
      </w:tr>
      <w:tr>
        <w:trPr>
          <w:cantSplit/>
        </w:trPr>
        <w:tc>
          <w:tcPr>
            <w:tcW w:type="dxa" w:w="2592"/>
            <w:vAlign w:val="top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7"/>
              </w:rPr>
              <w:t>QT longo/torsades</w:t>
            </w:r>
          </w:p>
        </w:tc>
        <w:tc>
          <w:tcPr>
            <w:tcW w:type="dxa" w:w="7920"/>
            <w:vAlign w:val="top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7"/>
              </w:rPr>
              <w:t>MgSO4 2 g IV; K &gt;4; Mg &gt;2; tratar bradicardia; evitar drogas QT.</w:t>
            </w:r>
          </w:p>
        </w:tc>
      </w:tr>
      <w:tr>
        <w:trPr>
          <w:cantSplit/>
        </w:trPr>
        <w:tc>
          <w:tcPr>
            <w:tcW w:type="dxa" w:w="2592"/>
            <w:shd w:fill="F6FAFB"/>
            <w:vAlign w:val="top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7"/>
              </w:rPr>
              <w:t>Coma + bradipneia</w:t>
            </w:r>
          </w:p>
        </w:tc>
        <w:tc>
          <w:tcPr>
            <w:tcW w:type="dxa" w:w="7920"/>
            <w:shd w:fill="F6FAFB"/>
            <w:vAlign w:val="top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7"/>
              </w:rPr>
              <w:t>Ventilar; naloxona titulada; observar renarcotização.</w:t>
            </w:r>
          </w:p>
        </w:tc>
      </w:tr>
      <w:tr>
        <w:trPr>
          <w:cantSplit/>
        </w:trPr>
        <w:tc>
          <w:tcPr>
            <w:tcW w:type="dxa" w:w="2592"/>
            <w:vAlign w:val="top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7"/>
              </w:rPr>
              <w:t>Secreções + broncoespasmo</w:t>
            </w:r>
          </w:p>
        </w:tc>
        <w:tc>
          <w:tcPr>
            <w:tcW w:type="dxa" w:w="7920"/>
            <w:vAlign w:val="top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7"/>
              </w:rPr>
              <w:t>Organofosforado: EPI, banho, atropina até pulmão seco + pralidoxima.</w:t>
            </w:r>
          </w:p>
        </w:tc>
      </w:tr>
      <w:tr>
        <w:trPr>
          <w:cantSplit/>
        </w:trPr>
        <w:tc>
          <w:tcPr>
            <w:tcW w:type="dxa" w:w="2592"/>
            <w:shd w:fill="F6FAFB"/>
            <w:vAlign w:val="top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7"/>
              </w:rPr>
              <w:t>Choque CCB/BB</w:t>
            </w:r>
          </w:p>
        </w:tc>
        <w:tc>
          <w:tcPr>
            <w:tcW w:type="dxa" w:w="7920"/>
            <w:shd w:fill="F6FAFB"/>
            <w:vAlign w:val="top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7"/>
              </w:rPr>
              <w:t>Cálcio + noradrenalina/adrenalina + glucagon + HDI precoce; considerar lipid/ECMO.</w:t>
            </w:r>
          </w:p>
        </w:tc>
      </w:tr>
      <w:tr>
        <w:trPr>
          <w:cantSplit/>
        </w:trPr>
        <w:tc>
          <w:tcPr>
            <w:tcW w:type="dxa" w:w="2592"/>
            <w:vAlign w:val="top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7"/>
              </w:rPr>
              <w:t>Acidose AG + osm gap</w:t>
            </w:r>
          </w:p>
        </w:tc>
        <w:tc>
          <w:tcPr>
            <w:tcW w:type="dxa" w:w="7920"/>
            <w:vAlign w:val="top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7"/>
              </w:rPr>
              <w:t>Metanol/EG: fomepizol + bicarbonato + hemodiálise se grave.</w:t>
            </w:r>
          </w:p>
        </w:tc>
      </w:tr>
      <w:tr>
        <w:trPr>
          <w:cantSplit/>
        </w:trPr>
        <w:tc>
          <w:tcPr>
            <w:tcW w:type="dxa" w:w="2592"/>
            <w:shd w:fill="F6FAFB"/>
            <w:vAlign w:val="top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7"/>
              </w:rPr>
              <w:t>Hipoglicemia recorrente</w:t>
            </w:r>
          </w:p>
        </w:tc>
        <w:tc>
          <w:tcPr>
            <w:tcW w:type="dxa" w:w="7920"/>
            <w:shd w:fill="F6FAFB"/>
            <w:vAlign w:val="top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7"/>
              </w:rPr>
              <w:t>Sulfonilureia: glicose + octreotida + observação prolongada.</w:t>
            </w:r>
          </w:p>
        </w:tc>
      </w:tr>
      <w:tr>
        <w:trPr>
          <w:cantSplit/>
        </w:trPr>
        <w:tc>
          <w:tcPr>
            <w:tcW w:type="dxa" w:w="2592"/>
            <w:vAlign w:val="top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7"/>
              </w:rPr>
              <w:t>Hipertermia tóxica</w:t>
            </w:r>
          </w:p>
        </w:tc>
        <w:tc>
          <w:tcPr>
            <w:tcW w:type="dxa" w:w="7920"/>
            <w:vAlign w:val="top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7"/>
              </w:rPr>
              <w:t>BZD + resfriamento agressivo + tratar rabdo/hiperK; considerar IOT/paralisia.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70"/>
      </w:tblGrid>
      <w:tr>
        <w:tc>
          <w:tcPr>
            <w:tcW w:type="dxa" w:w="10570"/>
            <w:shd w:fill="ECFDF5"/>
            <w:tcBorders>
              <w:top w:sz="10" w:val="single" w:color="059669"/>
              <w:left w:sz="10" w:val="single" w:color="059669"/>
              <w:bottom w:sz="10" w:val="single" w:color="059669"/>
              <w:right w:sz="10" w:val="single" w:color="059669"/>
            </w:tcBorders>
          </w:tcPr>
          <w:p>
            <w:pPr>
              <w:spacing w:after="60"/>
            </w:pPr>
            <w:r>
              <w:rPr>
                <w:b/>
                <w:color w:val="0B5159"/>
                <w:sz w:val="20"/>
              </w:rPr>
              <w:t>Checklist final antes de encerrar caso</w:t>
            </w:r>
          </w:p>
          <w:p>
            <w:pPr>
              <w:spacing w:after="0" w:line="240" w:lineRule="auto"/>
            </w:pPr>
            <w:r>
              <w:rPr>
                <w:sz w:val="19"/>
              </w:rPr>
              <w:t>Substância e tempo estimados registrados? ECG normal ou em queda de risco? Janela de pico superada? Antídoto concluído ou plano de redose? Risco de hipoglicemia/renarcotização/rebote de lítio avaliado? CIATox documentado? Notificação Sinan feita? Avaliação psiquiátrica/social planejada?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893" w:right="835" w:bottom="792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Página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color w:val="6B7280"/>
        <w:sz w:val="16"/>
      </w:rPr>
      <w:t>Protocolo de UTI | Intoxicação Exógena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B515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4515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2D667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Arial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eastAsia="Arial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ahajournals.org/doi/10.1161/CIR.0000000000001161" TargetMode="External"/><Relationship Id="rId12" Type="http://schemas.openxmlformats.org/officeDocument/2006/relationships/hyperlink" Target="https://cpr.heart.org/-/media/CPR-Files/CPR-Guidelines-Files/Algorithms/AlgorithmOpioidHC_Provider_200615.pdf" TargetMode="External"/><Relationship Id="rId13" Type="http://schemas.openxmlformats.org/officeDocument/2006/relationships/hyperlink" Target="https://eapcct.org/wp-content/uploads/2024/09/PS_SingleDoseActivatedCharcoal.pdf" TargetMode="External"/><Relationship Id="rId14" Type="http://schemas.openxmlformats.org/officeDocument/2006/relationships/hyperlink" Target="https://www.extrip-workgroup.org/recommendations" TargetMode="External"/><Relationship Id="rId15" Type="http://schemas.openxmlformats.org/officeDocument/2006/relationships/hyperlink" Target="https://www.gov.br/saude/pt-br/composicao/svsa/saude-ambiental/vigipeq/ciatox" TargetMode="External"/><Relationship Id="rId16" Type="http://schemas.openxmlformats.org/officeDocument/2006/relationships/hyperlink" Target="https://www.gov.br/anvisa/pt-br/assuntos/agrotoxicos/disque-intoxicacao" TargetMode="External"/><Relationship Id="rId17" Type="http://schemas.openxmlformats.org/officeDocument/2006/relationships/hyperlink" Target="https://portalsinan.saude.gov.br/intoxicacao-exogena" TargetMode="External"/><Relationship Id="rId18" Type="http://schemas.openxmlformats.org/officeDocument/2006/relationships/hyperlink" Target="https://abracit.org.br/centros/" TargetMode="External"/><Relationship Id="rId19" Type="http://schemas.openxmlformats.org/officeDocument/2006/relationships/hyperlink" Target="https://www.gov.br/conitec/pt-br/midias/protocolos/resumidos/ddt_resumido_intoxicacoes_por_agrotoxicos_cap1.pdf" TargetMode="External"/><Relationship Id="rId20" Type="http://schemas.openxmlformats.org/officeDocument/2006/relationships/hyperlink" Target="https://saude.ufpr.br/medtrab/wp-content/uploads/sites/25/2016/08/Manual-de-Toxicologia-Cl%C3%ADnica_pdf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Protocolo de Abordagem da Intoxicação Exógena na UTI</dc:title>
  <dc:subject>UTI, toxicologia, intoxicação exógena, antídotos, CIATox</dc:subject>
  <dc:creator>OpenAI - ChatGPT para Aldenir Rocha</dc:creator>
  <cp:keywords>intoxicação exógena; UTI; toxicologia; antídotos; EXTRIP; CIATox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