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🧫 PAV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Pneumonia Associada à Ventilação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Critérios Diagnósticos  •  Bundle de Prevenção  •  Antibioticoterapia</w:t>
      </w:r>
    </w:p>
    <w:p>
      <w:pPr>
        <w:spacing w:after="700" w:before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Preparação TEMI  |  2025</w:t>
      </w: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EPIDEMIOLOGIA E IMPACTO CLÍNICO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PAV é a infecção hospitalar mais comum em pacientes sob ventilação mecânica, acometendo 9–27% dos pacientes intubados e representando a principal causa de morte por infecção nosocomial em UTI.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Indicador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Dado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Incidência geral em VM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9–27% dos pacientes intubados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Incidência expressa em densidade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1,0–4,4 episódios / 1.000 dias de VM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Mortalidade atribuível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13–50% (maior em bacilos GN multirresistentes)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Mortalidade bruta em UTI com PAV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30–70%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 adicional por episódio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USD 40.000–50.000 por paciente (EUA)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Dias adicionais de VM por episódio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+7 a +10 dias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Impacto em mortalidade quando tx adequado &lt; 24h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↓ mortalidade em ~20%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NERD: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PAV representa ~80% de todas as pneumonias nosocomiais em UTI. O restante 20% corresponde à pneumonia associada aos cuidados de saúde (PACS) em pacientes não ventilados.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DEFINIÇÕES E CLASSIFICAÇÃO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Definições Fundamentais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Termo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Definição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Tempo de Início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PAV Precoce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Pneumonia que ocorre nas primeiras 96h (4 dias) de VM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96h de intubação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PAV Tardia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Pneumonia que ocorre após 96h de VM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&gt; 96h de intubação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HAP (Hospital-Acquired Pneumonia)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Pneumonia em paciente internado há &gt; 48h, SEM VM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Qualquer momento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PACS (Healthcare-Associated Pneumonia)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Pneumonia em paciente com contato recente com sistema de saúde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Variável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VAE (Ventilator-Associated Event)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Nova terminologia CDC: evento associado ao ventilador (superset que inclui VAC, IVAC, PVAP)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Durante VM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TEMI: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PAV PRECOCE geralmente é causada por flora endógena (S. pneumoniae, H. influenzae, S. aureus sensível). PAV TARDIA: bacilos GN multirresistentes e S. aureus resistente. Essa distinção GUIA o antibiótico empírico!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Nova Classificação CDC — VAE (2013)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VAC (Ventilator-Associated Condition): deterioração da oxigenação após período de melhora ou estabilidade ≥ 2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IVAC (Infection-related VAC): VAC + temperatura anormal OU leucocitose + novo antimicrobiano por ≥ 4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PVAP (Possible VAP): IVAC + evidência microbiológica de infecção pulmonar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Crítica: o critério VAE tem sensibilidade menor que os critérios clínicos clássicos para PAV — o TEMI ainda cobra o critério clínico tradicional.</w:t>
      </w:r>
    </w:p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PATOGÊNESE — MECANISMOS DE INFECÇÃO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Vias de Colonização e Infecção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Mecanismo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Relevância Clínica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Microaspiração (principal)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Vazamento de secreções orofaríngeas ao redor do cuff do TOT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Responsável por ~90% das PAV; ocorre mesmo com cuff insuflado adequadamente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Macroaspiração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Regurgitação + aspiração de conteúdo gástrico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Mais comum em SNE gástrica, posição supina, sedação profunda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Inalação de aerossóis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Circuito do ventilador contaminado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Prevenível com troca adequada de circuitos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Via hematogênica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Bacteremia com semeadura pulmonar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Rara; associada a cateteres infectados, endocardite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Translocação bacteriana intestinal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Perda da barreira mucosa intestinal → passagem de bactérias ao pulmão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Relevante em choque prolongado, isquemia intestinal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Fatores de Risco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Relacionados ao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Idade &gt; 60 anos, desnutrição, imunossupressão, DPOC, coma, TCE grave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Colonização prévia por germes resistentes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Cirurgia prévia (especialmente torácica e abdominal alta)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Relacionados ao Procedimento / 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Duração da VM (risco ↑ 1–3% ao dia nos primeiros 5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Reintubação — risco 6x maior que intubação primária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Sonda nasogástrica (favorece colonização e refluxo)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Uso prévio de antibióticos (seleciona resistência)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Sedação profunda e imobilidade (↓ higiene brônquica)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Traqueostomia (controverso — estudos divergem)</w:t>
      </w:r>
    </w:p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MICROBIOLOGIA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Perfil por Tempo de Início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Classificação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Principais Agentes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Característica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PAV Precoce (&lt; 96h)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S. aureus MSSA, H. influenzae, S. pneumoniae, Moraxella catarrhalis, BGN entéricos sensíveis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Flora endógena; geralmente sensível a ATB de 1ª linha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PAV Tardia (&gt; 96h)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P. aeruginosa, Acinetobacter baumannii, K. pneumoniae, E. coli, S. aureus MRSA, Stenotrophomonas maltophilia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Alta prevalência de resistência; terapia empírica dupla cobertura para 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Paciente imunossuprimido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Adicionalmente: Aspergillus, CMV, PCP (P. jirovecii), Nocardia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Requer LBA com painel expandido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Pós-cirúrgico / aspiração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Anaeróbios (Bacteroides, Peptostreptococcus) + gram-positivos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Considerar cobertura anaeróbia se aspiração maciça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🦠 RESISTÊNCIA: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Brasil, a P. aeruginosa resistente a carbapenêmicos está presente em &gt;40% dos isolados de PAV em serviços de referência. A. baumannii XDR (extensively drug-resistant) é uma realidade crescente nas UTIs brasileiras — impacto direto na escolha empírica.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CRITÉRIOS DIAGNÓSTICOS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Critérios Clínicos Clássicos (CDC / IDSA / ATS)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diagnóstico de PAV requer a presença de infiltrado pulmonar NOVO ou PROGRESSIVO na radiografia/TC de tórax, associado a pelo menos 2 dos 3 critérios clínicos abaixo: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Critério Clínico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Definição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Febre OU hipotermia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Temperatura &gt; 38,3°C OU &lt; 36,0°C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Leucocitose OU leucopenia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Leucócitos &gt; 12.000/mm³ OU &lt; 4.000/mm³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Secreção traqueal purulenta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Mudança no aspecto (volume, cor, espessura) do aspirado traqueal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DIAGNÓSTICO: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Infiltrado novo ou progressivo na imagem + 2 de 3 critérios clínicos = PAV clinicamente provável. A confirmação microbiológica é NECESSÁRIA para diagnóstico definitivo e orientação terapêutica.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Escore CPIS (Clinical Pulmonary Infection Score)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CPIS foi desenvolvido para padronizar o diagnóstico de PAV e guiar decisões terapêuticas.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2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Variável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0 pontos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1 ponto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 pontos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Temperatura (°C)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36,5–38,4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38,5–38,9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36,0 OU &gt; 39,0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Leucócitos (/mm³)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4.000–11.000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4.000 ou &gt; 11.000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4.000 ou &gt; 11.000 + formas jovens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Secreção traqueal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Ausente ou escassa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Não purulenta (abundante)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Purulenta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PaO₂/FiO₂ (mmHg)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&gt; 240 OU SDRA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240 SEM SDRA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Radiografia de tórax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Sem infiltrado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Infiltrado difuso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Infiltrado localizado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Cultura traqueal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Negativa ou escasso crescimento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Crescimento moderado ou marcado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Crescimento + mesmo germe 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Progressão radiológica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Ausente (corrigir se ICC/SDRA)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Progressão (sem ICC/SDRA)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Interpretação: CPIS ≥ 6 = PAV provável (sensibilidade ~70%, especificidade ~80%). CPIS &lt; 6 = PAV improvável — considerar suspender antibiótico.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Métodos Microbiológicos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Método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Corte Diagnóstico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Vantagem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Limitação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Aspirado Traqueal (AT)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10⁵ UFC/mL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Simples; disponível em qualquer UTI; rápido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Baixa especificidade (~60%); contamina com flora de 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LBA Broncoscópico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10⁴ UFC/mL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Alta especificidade; permite diagnósticos alternativos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Requer broncoscópio e operador treinado; risco de hipoxemia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Escovado Bronquial Protegido (EBP)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10³ UFC/mL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Alta especificidade; menos contaminação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Mais trabalhoso; risco hemorrágico se coagulopatia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Mini-LBA (LBA às cegas)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10⁴ UFC/mL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Não requer broncoscópio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Amostragem aleatória; menos representativo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Hemocultura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Qualquer crescimento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Diagnóstico sistêmico; orienta duração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Positiva em &lt;25% das PAV; pode refletir outro foco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RECOMENDAÇÃO ATS/IDSA 2016: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Colher SEMPRE amostras microbiológicas das vias aéreas ANTES de iniciar ou modificar antibiótico. O AT quantitativo é aceito como alternativa ao LBA — a coleta não deve atrasar o início do ATB em paciente instável.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Diagnóstico Diferencial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Atelectasia (confunde RX; sem febre/leucocitose proeminentes)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SDRA / Lesão pulmonar aguda (infiltrado bilateral difuso; contexto clínico)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Edema pulmonar cardiogênico (BNP elevado; resposta a diurético)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Embolia pulmonar com infarto (hipoxemia + clínica; angioTC)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Traqueobronquite associada ao ventilador (TAV): mesmos critérios microbiológicos SEM infiltrado novo)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Hemorragia alveolar difusa (LBA progressivamente hemorrágico)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Pneumonite por medicamentos / inalação química</w:t>
      </w:r>
    </w:p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ANTIBIOTICOTERAPIA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Princípios Gerais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INÍCIO PRECOCE: iniciar ATB empírico IMEDIATAMENTE após coleta de amostras — cada hora de atraso em paciente instável aumenta mortalidade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TERAPIA EMPÍRICA ADEQUADA: cobrir os prováveis patógenos; ajustar em 48–72h com resultado de culturas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DESESCALONAMENTO: reduzir espectro assim que sensibilidade disponível — reduz resistência e custo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DURAÇÃO CURTA: 7–8 dias são suficientes na maioria dos casos (exceto P. aeruginosa, A. baumannii, S. aureus MRSA)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Estratificação de Risco para Germes Resistentes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Fator de Risco para MDR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Impacto na Escolha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PAV tardia (&gt; 96h)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Ampliar cobertura para GN não fermentadores (Pseudomonas, Acinetobacter)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Uso de ATB IV nos últimos 90 dias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Ampliar espectro; preferir classe diferente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Choque séptico no diagnóstico da PAV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Dupla cobertura para GN; considerar MRSA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SDRA antes da PAV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Mesmo que acima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5 dias de hospitalização antes da PAV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Alta prevalência de MDR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Hemodiálise crônica / feridas crônicas / contato hospitalar nos 90 dias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PACS — tratar como PAV tardia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Colonização prévia conhecida por MDR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Cobrir o germe identificado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Fatores MRSA: coma, traumatismo craniano, diabetes, IRC, uso prévio de ATB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Adicionar vancomicina ou linezolida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Esquemas Empíricos — Guia ATS/IDSA 2016 Adaptado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PAV Precoce SEM Fatores de Risco para MDR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Fármaco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Frequência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Ceftriaxona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2g IV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1x/dia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1ª escolha; boa cobertura gram-positivos e GN sensíveis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Ampicilina-sulbactam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3g IV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6/6h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Alternativa; cobertura de anaeróbios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Moxifloxacino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400mg IV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1x/dia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Uso se alergia a beta-lactâmico; atenção a resistências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Ertapeném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1g IV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1x/dia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Reservar para ESBL conhecida; NÃO cobre Pseudomonas</w:t>
            </w:r>
          </w:p>
        </w:tc>
      </w:tr>
    </w:tbl>
    <w:p>
      <w:pPr>
        <w:spacing w:after="80" w:before="80"/>
      </w:pP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PAV Tardia OU com Fatores de Risco para MDR (Pseudomonas)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9D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DUPLA COBERTURA para GN: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Combinar um beta-lactâmico antipseudomonas com um segundo agente antipseudomonas (aminoglicosídeo OU fluoroquinolona antipseudomonas). O objetivo é aumentar a probabilidade de pelo menos 1 agente ativo — NÃO é sinergismo comprovado para reduzir mortalidade.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Fármaco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Frequência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Beta-lactâmico antipseudomonas (ESCOLHA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Cefepima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2g IV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8/8h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Beta-lactâmico antipseudomonas (ESCOLHA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Piperacilina-tazobactam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4,5g IV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6/6h ou infusão extendida 8/8h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Beta-lactâmico antipseudomonas (ESCOLHA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Imipeném-cilastatina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500mg IV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6/6h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Beta-lactâmico antipseudomonas (ESCOLHA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Meropené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1–2g IV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8/8h (2g se MDR suspeita)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Segundo agente antipseudomonas (ESCOLHA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Amicacina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15–20 mg/kg/dia IV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1x/dia (dose única diária)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Segundo agente antipseudomonas (ESCOLHA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Gentamicina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5–7 mg/kg/dia IV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1x/dia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Segundo agente antipseudomonas (ESCOLHA 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Ciprofloxacino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400mg IV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8/8h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Segundo agente antipseudomonas (ESCOLHA 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Levofloxacino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750mg IV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1x/dia</w:t>
            </w:r>
          </w:p>
        </w:tc>
      </w:tr>
    </w:tbl>
    <w:p>
      <w:pPr>
        <w:spacing w:after="80" w:before="80"/>
      </w:pP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Cobertura para S. aureus MRSA (quando fatores de risco presentes)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9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Fármaco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Frequência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Comentário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Vancomicina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25–30 mg/kg IV ataque; manter para AUC/MIC 400–600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8/8h ou 12/12h (ajuste renal)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Monitorar AUC 24h (guia moderno). NÃO usar dose fixa — toxicidade renal.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Linezolida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600mg IV ou VO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12/12h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Alternativa: não nefrotóxica; boa penetração pulmonar. Atenção: inibidor da MAO — serotonina.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Tedizolida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200mg IV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1x/dia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Nova oxazolidinona; menos mielossupressão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💊 VANCOMICINA — ALERTA TEMI: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monitorização por AUC/MIC (meta AUC 400–600 mg·h/L) substituiu o nível de vale (target 15–20 mcg/mL) como padrão. Nível de vale isolado superestima a exposição e subestima nefrotoxicidade. SHEA/IDSA 2020.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PAV por Germes Específicos — Tratamento Direcionado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Germe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ATB de Escolha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Alternativa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Observações Críticas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P. aeruginosa sensível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Cefepima 2g 8/8h OU Pip-tazo 4,5g 6/6h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Meropené 1g 8/8h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Monodrogoterapia se sensível e paciente estável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P. aeruginosa MDR (resistente a carbapenêmico)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Ceftolozane-tazobactam 3g 8/8h OU Ceftazidima-avibactam 2,5g 8/8h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Colistina 5 MU ataque + 2,5 MU 12/12h (TDM)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Combinar com aminoglicosídeo se instável; toxicidade renal da colistina é limitante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A. baumannii MDR/XDR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Sulbactam (em amp-sulbactam) 9g/dia + Meropené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Colistina + Meropené OU Tigecicline (adjuvante)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Tigeciclina: fraca atividade bactericida pulmonar sozinha — usar em combinação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K. pneumoniae KPC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Ceftazidima-avibactam 2,5g 8/8h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Meropeném 2g 3/3h (infusão extendida) + Polimixina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Evitar monoterapia com carbapenêmico se KPC confirmada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S. aureus MSSA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Oxacilina 2g IV 4/4h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Cefazolina 2g IV 8/8h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NÃO usar vancomicina se MSSA — menor atividade bactericida pulmonar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S. aureus MRSA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Vancomicina (AUC-monitorada)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Linezolida 600mg 12/12h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Linezolida NÃO inferior à vancomicina para MRSA-PAV (trial ZEPHyR)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Stenotrophomonas maltophilia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TMP-SMX 15mg/kg/dia (comp. TMP) 6/6h 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Levofloxacino 750mg 1x/dia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Resistente a carbapenêmicos naturalmente — NÃO usar imipeném/meropeném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Anaeróbios (aspiração grave)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Pip-tazo 4,5g 6/6h OU Meropené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Amp-sulbactam + Metronidazol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Importância clínica disputada em PAV pura — reservar para aspiração maciça comprovada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Duração do Tratamento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Cenário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Duração Recomendada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Referência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PAV não complicada (germe sensível)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 dias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ATS/IDSA 2016; MERINO trial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PAV por P. aeruginosa OU A. baumannii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 dias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Risco de recidiva maior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PAV por S. aureus MRSA com bacteremia associada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14–21 dias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IDSA MRSA guidelines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PAV com abscesso ou empiema associado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14–21 dias (ou até resolução clínica/radiológica)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Individualizar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PAV com boa resposta clínica + CPIS &lt; 6 em 48–72h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Considerar 7–8 dias independente do germe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Chastre trial (NEJM 2003)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🏆 DESESCALONAMENTO: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É MANDATÓRIO revisar o esquema em 48–72h com resultado da cultura. O desescalonamento reduz mortalidade, tempo de UTI, emergência de resistência e custo — e NÃO aumenta falha terapêutica (múltiplos RCTs). Cultura negativa com CPIS em queda = considerar suspender ATB.</w:t>
            </w:r>
          </w:p>
        </w:tc>
      </w:tr>
    </w:tbl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BUNDLE DE PREVENÇÃO DE PAV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Bundles são pacotes de medidas que, quando implementadas CONJUNTAMENTE, produzem resultados superiores à soma individual das intervenções. O bundle de PAV é uma das intervenções com maior impacto comprovado em segurança do paciente em UTI.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Bundle Clássico IHI (Institute for Healthcare Improvement) — 5 Elementos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Medida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Meta / Evidência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Elevação da cabeceira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Manter head-of-bed 30–45° em TODOS os pacientes em VM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↓ microaspiração em ~50%; NNT ≈ 8 para prevenir 1 PAV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Pausa diária na sedação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Acordar diariamente (SAT — Spontaneous Awakening Trial)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↓ dias de VM; ↓ PAV; ↓ mortalidade (SLEAP trial)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Teste de respiração espontânea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SBT diário associado ao SAT (ABCDE bundle)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↓ dias de VM em 3 dias; ↓ mortalidade 14% (NEJM 2008)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Profilaxia de TVP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Heparina não fracionada SC OU HBPM em todos os pacientes em VM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↓ TEV — componente do bundle apesar de não prevenir PAV diretamente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Profilaxia de úlcera de estresse (PUE)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IBP OU anti-H2 em pacientes de risco (VM &gt; 48h, coagulopatia)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Reduz hemorragia digestiva alta — associado a ↑ risco de PAV? (controvérsia IBP vs H2)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Medidas Adicionais com Evidência Robusta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Medida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Detalhes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Nível de Evidência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Higiene oral com clorexidina 0,12–0,2%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2–4x/dia; ↓ carga bacteriana orofaríngea; ↓ PAV em 30–40%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Forte (múltiplos RCTs e meta-análises)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Aspiração subglótica contínua (ASSC)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Tubo com canal de aspiração subglótica; ↓ PAV precoce em 45–50%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Forte (Cochrane 2016; NNT 8–12)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Extubação precoce e planejada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Evitar prologamento desnecessário da VM; protocolo de desmame ativo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Forte (↓ PAV, ↓ mortalidade)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Pressão de cuff adequada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Manter pressão do balonete 20–30 cmH₂O (ideal 25 cmH₂O)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Moderada; hiperpressão lesiona mucosa, hipopressão permite microaspiração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Descontaminação oral seletiva (DOS)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Gel com colistina + tobramicina + anfotericina B na orofaringe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Forte em países com baixa prevalência de MDR (controvérsia no Brasil)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Nutrição enteral precoce (&lt; 48h)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SNE pós-pilórica em pacientes de alto risco para aspiração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Moderada; evitar distensão gástrica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Controle glicêmico (80–180 mg/dL)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NICE-SUGAR: meta permissiva (&lt; 180); evitar hipoglicemia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Forte (NICE-SUGAR NEJM 2009)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Não trocar circuito ventilador rotineiramente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Troca apenas quando visível sujidade; troca rotínica ↑ risco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Forte — trocar APENAS por indicação clínica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Higienização das mãos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Álcool gel antes e após contato; pilar de toda prevenção de IRAS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Fundamental / Insubstituível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Posição prona (SDRA grave)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↓ PAV em alguns estudos como efeito colateral positivo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Moderada — principal indicação é melhora da hipoxemia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Bundle Completo Consolidado — Checklist UTI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1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Categoria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Medida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Freq.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POSICIONAMENTO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Cabeceira 30–45°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Contínuo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HIGIENE ORAL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Clorexidina 0,12–0,2%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4x/dia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SEDAÇÃO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SAT diário (Spontaneous Awakening Trial)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1x/dia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DESMAME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SBT diário após SAT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1x/dia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VIA AÉREA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 pressão do cuff (20–30 cmH₂O)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6/6h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VIA AÉREA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Aspiração subglótica (se TOT com canal)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Contínua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CIRCUITO 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NÃO trocar rotineiramente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Somente SN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NUTRIÇÃO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Nutrição enteral iniciada &lt; 48h de UTI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1x/dia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GLICEMIA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Controle &lt; 180 mg/dL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Horária/2h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PREVENÇÃO TVP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HBPM SC OU compressão pneumática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1x/dia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IBP ou anti-H2 se risco (VM &gt; 48h)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1x/dia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MOBILIZAÇÃO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Fisioterapia e mobilização precoce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2x/dia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MÃOS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Higienização com álcool gel (entrada/saída do leito)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Cada contato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MONITORAMENTO DA RESPOSTA TERAPÊUTICA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Reavaliação em 48–72h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Reavaliar CPIS: queda ≥ 2 pontos = boa resposta (critério de Chastre)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Temperatura, leucograma, secreção traqueal: tendência de melhora?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Gasometria: melhora do P/F ratio?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Hemocultura + cultura do LBA/AT: resultado disponível → DESESCALONAR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Biomarcadores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Marcador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Uso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Limitação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Procalcitonina (PCT)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Guia duração do ATB (PCT-guided); suspender se PCT cai &gt; 80% do pico OU &lt; 0,5 ng/mL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Pode ser normal em infecções virais e localizadas; ↑ em trauma e cirurgia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PCR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Monitoramento da resposta inflamatória; menos específica que PCT para bacteremia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Inespecífica; resposta mais lenta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Galactomanana no LBA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Suspeita de Aspergilose Invasiva em imunossuprimido + PAV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Só se suspeita fúngica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IL-6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Pesquisa; não rotineiro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Sem impacto clínico definido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Falha Terapêutica — O que Fazer?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Piora clínica após 48–72h de ATB adequado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Revisar: cultura do LBA/AT — germe resistente? Coleta pré-ATB?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Nova broncoscopia: diagnóstico alternativo? Empiema? Abscesso?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TC de tórax: abscesso, derrame complicado, pneumotórax, TEP?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Considerar foco extrapulmonar de sepse (cateter, ITU, abdome)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Aumentar espectro se novo germe resistente identificado</w:t>
      </w:r>
    </w:p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🤓 PERGUNTAS ESTILO TEMI + CURIOSIDADES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Questões Frequentes no TEMI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 o corte diagnóstico do LBA para PAV? → ≥ 10⁴ UFC/mL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 o corte do EBP? → ≥ 10³ UFC/mL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 o corte do Aspirado Traqueal? → ≥ 10⁵ UFC/mL (menor especificidade)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CPIS ≥ 6 = PAV provável. CPIS &lt; 6 em 72h = reconsiderar diagnóstico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Duração padrão do ATB em PAV: 7 dias (EXCETO Pseudomonas, Acinetobacter, MRSA)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Vancomicina: monitorar por AUC/MIC meta 400–600 (não mais somente vale)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Linezolida X Vancomicina para MRSA-PAV: NÃO inferiores (trial ZEPHyR)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PAV por Stenotrophomonas: TMP-SMX — resistente a carbapenêmicos naturalmente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S. aureus MSSA: oxacilina SEMPRE — vancomicina é INFERIOR para MSSA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Aspiração subglótica: ↓ PAV precoce em ~45%; NNT 8–12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Clorexidina oral: ↓ PAV em 30–40%; considerada padrão de cuidado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trocar circuito rotineiramente — troca frequente AUMENTA risco de PAV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 de glicemia no NICE-SUGAR: &lt; 180 mg/dL (NÃO 80–110 — hipoglicemia mata)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Curiosidades Científicas 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bundle de PAV do IHI (2004) foi pioneiro no conceito de 'care bundle' — um pacote que só funciona quando todos os elementos são aplicados juntos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estudo de Chastre et al. (NEJM 2003) foi divisor de águas: provou que 8 dias de ATB são tão eficazes quanto 15 dias em PAV não por Pseudomonas — com MENOS resistência emergente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'Supra-MRSA' (atividade de linezolida X vancomicina): linezolida bloqueia a síntese proteica diretamente no ribossomo 50S — penetração tecidual pulmonar SUPERIOR à vancomicina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conceito de VAE (CDC 2013) foi criado para ser mais objetivo e rastreável via sistemas de informação — mas diminuiu a sensibilidade diagnóstica comparado ao CPIS clássico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Ceftazidima-avibactam é o único betalactâmico com atividade contra K. pneumoniae KPC-produtora E P. aeruginosa MDR — um dos maiores avanços antibióticos da última década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microbioma pulmonar existe e está sendo estudado — pulmões saudáveis têm flora diversa. Em VM prolongada, há empobrecimento da diversidade e enriquecimento com Pseudomonas/Acinetobacter</w:t>
      </w:r>
    </w:p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ATS/IDSA. Management of Adults with Hospital-acquired and Ventilator-associated Pneumonia. AJRCCM 2016;193(5):e1-e51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AMIB. Medicina Intensiva: Abordagem Prática. 3ª ed.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Chastre J et al. Comparison of 8 vs 15 days of ATB therapy for VAP. JAMA 2003;290:2588–2598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IHI. Implement the Ventilator Bundle. Institute for Healthcare Improvement, 2012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Rello J, Ollendorf DA et al. Epidemiology and Outcomes of VAP in a Large US Database. Chest 2002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NICE-SUGAR Study Investigators. Intensive glucose control in critically ill patients. NEJM 2009;360:1283–97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Wunderink RG et al. Linezolide in methicillin-resistant S. aureus nosocomial pneumonia (ZEPHyR). Chest 2012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SHEA/IDSA/SIDP 2020 Vancomycin monitoring consensus guidelines. AJHP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Cochrane Review: Subglottic secretion drainage for preventing VAP. 2016; CD003708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elaborado para preparação ao TEMI — Dr. Aldenir Rocha | Hospital Regional Norte &amp; Santa Casa de Misericórdia de Sobral-CE | 2025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Dr. Aldenir Rocha  |  UTI  |  </w:t>
    </w: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 w:before="0"/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PAV — PNEUMONIA ASSOCIADA À VENTILAÇÃO</w:t>
    </w:r>
    <w:r>
      <w:rPr>
        <w:rFonts w:ascii="Arial" w:cs="Arial" w:eastAsia="Arial" w:hAnsi="Arial"/>
        <w:color w:val="888888"/>
        <w:sz w:val="20"/>
        <w:szCs w:val="20"/>
      </w:rPr>
      <w:t xml:space="preserve">  |  Medicina Intensiva  |  TEMI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2026-04-20T00:37:50.510Z</dcterms:created>
  <dcterms:modified xsi:type="dcterms:W3CDTF">2026-04-20T00:37:50.511Z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