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ABORDAGEM COMPLETA DA</w:t>
        <w:br/>
        <w:t>HEMORRAGIA DIGESTIVA ALTA NA UTI</w:t>
      </w:r>
    </w:p>
    <w:p>
      <w:pPr>
        <w:jc w:val="center"/>
      </w:pPr>
      <w:r>
        <w:rPr>
          <w:color w:val="404040"/>
          <w:sz w:val="22"/>
        </w:rPr>
        <w:t>Protocolo clínico-operacional para plantão, terapia intensiva e integração com endoscopia, cirurgia, radiologia intervencionista e hemoterapia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>
            <w:r>
              <w:rPr>
                <w:b/>
                <w:sz w:val="20"/>
              </w:rPr>
              <w:t>Uso rápido no plantão</w:t>
            </w:r>
          </w:p>
          <w:p>
            <w:pPr>
              <w:pStyle w:val="Corpo"/>
              <w:spacing w:after="40"/>
              <w:ind w:left="0"/>
            </w:pPr>
            <w:r>
              <w:t>1. Reanimar primeiro: A/B/C, dois acessos calibrosos, sangue disponível e endoscopia acionada.</w:t>
            </w:r>
          </w:p>
          <w:p>
            <w:pPr>
              <w:pStyle w:val="Corpo"/>
              <w:spacing w:after="40"/>
              <w:ind w:left="0"/>
            </w:pPr>
            <w:r>
              <w:t>2. Diferenciar cedo: HDA não varicosa versus varicosa, pois muda PPI, octreotida/terlipressina, antibiótico e TIPS.</w:t>
            </w:r>
          </w:p>
          <w:p>
            <w:pPr>
              <w:pStyle w:val="Corpo"/>
              <w:spacing w:after="40"/>
              <w:ind w:left="0"/>
            </w:pPr>
            <w:r>
              <w:t>3. Não supertransfundir: alvo restritivo, especialmente na cirrose/hipertensão portal.</w:t>
            </w:r>
          </w:p>
          <w:p>
            <w:pPr>
              <w:pStyle w:val="Corpo"/>
              <w:spacing w:after="40"/>
              <w:ind w:left="0"/>
            </w:pPr>
            <w:r>
              <w:t>4. Endoscopia é diagnóstico e tratamento: em geral em até 24 h; suspeita varicosa em até 12 h após estabilização.</w:t>
            </w:r>
          </w:p>
          <w:p>
            <w:pPr>
              <w:pStyle w:val="Corpo"/>
              <w:spacing w:after="40"/>
              <w:ind w:left="0"/>
            </w:pPr>
            <w:r>
              <w:t>5. Sangramento refratário exige plano antes do colapso: segunda endoscopia, embolização arterial, TIPS/BRTO ou cirurgia conforme etiologia.</w:t>
            </w:r>
          </w:p>
        </w:tc>
      </w:tr>
    </w:tbl>
    <w:p>
      <w:pPr>
        <w:pStyle w:val="Corpo"/>
      </w:pPr>
      <w:r>
        <w:rPr>
          <w:i/>
        </w:rPr>
        <w:t>Autor: elaborado para uso educacional e operacional em UTI. Revisão: 07/05/2026.</w:t>
      </w:r>
    </w:p>
    <w:p>
      <w:pPr>
        <w:pStyle w:val="Corpo"/>
      </w:pPr>
      <w:r>
        <w:rPr>
          <w:i/>
        </w:rPr>
        <w:t>Importante: este material não substitui diretrizes institucionais, avaliação do cirurgião/endoscopista/hepatologista nem protocolos de hemoterapia.</w:t>
      </w:r>
    </w:p>
    <w:p>
      <w:r>
        <w:br w:type="page"/>
      </w:r>
    </w:p>
    <w:p>
      <w:pPr>
        <w:pStyle w:val="H1Custom"/>
      </w:pPr>
      <w:r>
        <w:t>Sumário executivo</w:t>
      </w:r>
    </w:p>
    <w:p>
      <w:pPr>
        <w:pStyle w:val="ListNumber"/>
        <w:spacing w:after="40"/>
      </w:pPr>
      <w:r>
        <w:t>Definição, gravidade e critérios de UTI</w:t>
      </w:r>
    </w:p>
    <w:p>
      <w:pPr>
        <w:pStyle w:val="ListNumber"/>
        <w:spacing w:after="40"/>
      </w:pPr>
      <w:r>
        <w:t>HDA-60: algoritmo da primeira hora</w:t>
      </w:r>
    </w:p>
    <w:p>
      <w:pPr>
        <w:pStyle w:val="ListNumber"/>
        <w:spacing w:after="40"/>
      </w:pPr>
      <w:r>
        <w:t>Reanimação hemodinâmica, hemoterapia e metas</w:t>
      </w:r>
    </w:p>
    <w:p>
      <w:pPr>
        <w:pStyle w:val="ListNumber"/>
        <w:spacing w:after="40"/>
      </w:pPr>
      <w:r>
        <w:t>Diagnóstico, estratificação e preparo para endoscopia</w:t>
      </w:r>
    </w:p>
    <w:p>
      <w:pPr>
        <w:pStyle w:val="ListNumber"/>
        <w:spacing w:after="40"/>
      </w:pPr>
      <w:r>
        <w:t>HDA não varicosa: úlcera péptica, PPI, hemostasia e rebleeding</w:t>
      </w:r>
    </w:p>
    <w:p>
      <w:pPr>
        <w:pStyle w:val="ListNumber"/>
        <w:spacing w:after="40"/>
      </w:pPr>
      <w:r>
        <w:t>HDA varicosa: vasoativos, antibiótico, ligadura, cola/TIPS e resgate</w:t>
      </w:r>
    </w:p>
    <w:p>
      <w:pPr>
        <w:pStyle w:val="ListNumber"/>
        <w:spacing w:after="40"/>
      </w:pPr>
      <w:r>
        <w:t>Anticoagulantes, antiagregantes, coagulopatia e TXA</w:t>
      </w:r>
    </w:p>
    <w:p>
      <w:pPr>
        <w:pStyle w:val="ListNumber"/>
        <w:spacing w:after="40"/>
      </w:pPr>
      <w:r>
        <w:t>Airway/endoscopia na UTI, sedação e complicações</w:t>
      </w:r>
    </w:p>
    <w:p>
      <w:pPr>
        <w:pStyle w:val="ListNumber"/>
        <w:spacing w:after="40"/>
      </w:pPr>
      <w:r>
        <w:t>Prescrição inicial, evolução médica e handoff SBAR</w:t>
      </w:r>
    </w:p>
    <w:p>
      <w:pPr>
        <w:pStyle w:val="ListNumber"/>
        <w:spacing w:after="40"/>
      </w:pPr>
      <w:r>
        <w:t>Checklist final, erros fatais e referências</w:t>
      </w:r>
    </w:p>
    <w:p>
      <w:pPr>
        <w:pStyle w:val="H1Custom"/>
      </w:pPr>
      <w:r>
        <w:t>Mapa mental ultrarrápido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Pergunta crítica</w:t>
            </w:r>
          </w:p>
        </w:tc>
        <w:tc>
          <w:tcPr>
            <w:tcW w:type="dxa" w:w="835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Conduta prática na UTI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Paciente instável?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ABCDE, O2, monitor, 2 acessos 14-16G ou CVC calibroso, tipagem/prova cruzada, concentrado de hemácias se choque hemorrágico, noradrenalina se vasoplegia/hipotensão após volume/sangue. Acionar endoscopia, anestesia e hemoterapia.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HDA varicosa provável?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Cirrótico/ascite/plaquetopenia/hematêmese maciça: iniciar octreotida ou terlipressina + ceftriaxona imediatamente, antes da endoscopia. Não esperar laudo.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Úlcera péptica provável?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PPI IV em dose alta pode ser iniciado, sem atrasar endoscopia. Após hemostasia de lesão de alto risco, manter dose alta por 72 h.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Quando endoscopar?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Não varicosa: em até 24 h após reanimação. Varicosa: idealmente em até 12 h após estabilização. Instabilidade persistente: endoscopia urgente em ambiente com suporte de via aérea/hemoterapia.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Transfusão?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Em geral Hb &lt; 7 g/dL ou choque/perda maciça. Cardiopatia isquêmica/instabilidade: considerar limiar de 8 g/dL. Na cirrose, evitar alvo alto: excesso de transfusão aumenta pressão portal.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Sangramento não controla?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Não varicosa: repetir endoscopia se rebleeding; se falha, embolização arterial transcateter; cirurgia se indisponível/falha. Varicosa: SEMS/balão como ponte e TIPS/BRTO conforme sítio.</w:t>
            </w:r>
          </w:p>
        </w:tc>
      </w:tr>
    </w:tbl>
    <w:p/>
    <w:p>
      <w:pPr>
        <w:pStyle w:val="H1Custom"/>
      </w:pPr>
      <w:r>
        <w:t>1. Definição, gravidade e critérios de UTI</w:t>
      </w:r>
    </w:p>
    <w:p>
      <w:pPr>
        <w:pStyle w:val="Corpo"/>
      </w:pPr>
      <w:r>
        <w:t>Hemorragia digestiva alta (HDA) é sangramento originado proximalmente ao ligamento de Treitz. Na UTI, o problema não é apenas “melena ou hematêmese”: é risco de choque hemorrágico, aspiração, isquemia miocárdica, encefalopatia hepática, coagulopatia, necessidade de endoscopia terapêutica e decisões rápidas sobre anticoagulação.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45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Sinal/condição</w:t>
            </w:r>
          </w:p>
        </w:tc>
        <w:tc>
          <w:tcPr>
            <w:tcW w:type="dxa" w:w="734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Interpretação prática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Hematêmese volumosa, sangue vivo por SNG, melena com choque, hematoquezia + instabilidade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Tratar como sangramento alto maciço até prova em contrário. Acionar endoscopia e hemoterapia. Hematoquezia pode ocorrer em HDA por trânsito rápido.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Choque, lactato elevado, necessidade de noradrenalina, oligúria, pele fria, rebaixamento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Prioridade é controle de dano: sangue, acesso, via aérea seletiva, endoscopia/IR/cirurgia. Não esperar queda de Hb inicial.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Cirrótico conhecido, ascite, icterícia, esplenomegalia, plaquetas baixas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Assumir variceal até endoscopia: vasoativo + antibiótico + endoscopia precoce.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Uso de AAS, clopidogrel, anticoagulante, AINE, corticoide, DAPT pós-stent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Eleva risco e muda plano de reversão/retomada. Envolver cardiologia/hematologia em casos de alto risco trombótico.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História de aneurisma/aorta operada/stent aórtico + “sentinel bleed”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Pensar em fístula aortoentérica. Chamar cirurgia vascular e fazer angioTC se possível. Endoscopia pode não excluir.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FFF2CC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r>
              <w:rPr>
                <w:b/>
                <w:sz w:val="20"/>
              </w:rPr>
              <w:t>Critérios práticos para UTI ou sala vermelha</w:t>
            </w:r>
          </w:p>
          <w:p>
            <w:pPr>
              <w:pStyle w:val="Corpo"/>
              <w:spacing w:after="40"/>
              <w:ind w:left="0"/>
            </w:pPr>
            <w:r>
              <w:t>- Instabilidade hemodinâmica, choque, lactato alto, necessidade de vasopressor ou transfusão rápida.</w:t>
            </w:r>
          </w:p>
          <w:p>
            <w:pPr>
              <w:pStyle w:val="Corpo"/>
              <w:spacing w:after="40"/>
              <w:ind w:left="0"/>
            </w:pPr>
            <w:r>
              <w:t>- Hematêmese ativa, rebaixamento, encefalopatia, alto risco de aspiração ou necessidade de intubação para endoscopia.</w:t>
            </w:r>
          </w:p>
          <w:p>
            <w:pPr>
              <w:pStyle w:val="Corpo"/>
              <w:spacing w:after="40"/>
              <w:ind w:left="0"/>
            </w:pPr>
            <w:r>
              <w:t>- Cirrose descompensada, suspeita de varizes, coagulopatia importante ou plaquetopenia relevante.</w:t>
            </w:r>
          </w:p>
          <w:p>
            <w:pPr>
              <w:pStyle w:val="Corpo"/>
              <w:spacing w:after="40"/>
              <w:ind w:left="0"/>
            </w:pPr>
            <w:r>
              <w:t>- Uso de DOAC/varfarina/DAPT com sangramento maior.</w:t>
            </w:r>
          </w:p>
          <w:p>
            <w:pPr>
              <w:pStyle w:val="Corpo"/>
              <w:spacing w:after="40"/>
              <w:ind w:left="0"/>
            </w:pPr>
            <w:r>
              <w:t>- Comorbidade grave: IAM recente, insuficiência cardíaca, DRC dialítica, DPOC grave, pós-operatório, sepse.</w:t>
            </w:r>
          </w:p>
          <w:p>
            <w:pPr>
              <w:pStyle w:val="Corpo"/>
              <w:spacing w:after="40"/>
              <w:ind w:left="0"/>
            </w:pPr>
            <w:r>
              <w:t>- Rebleeding após hemostasia, necessidade de IR/cirurgia/TIPS ou sangramento oculto persistente.</w:t>
            </w:r>
          </w:p>
        </w:tc>
      </w:tr>
    </w:tbl>
    <w:p>
      <w:pPr>
        <w:pStyle w:val="H1Custom"/>
      </w:pPr>
      <w:r>
        <w:t>2. HDA-60: algoritmo da primeira 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Tempo</w:t>
            </w:r>
          </w:p>
        </w:tc>
        <w:tc>
          <w:tcPr>
            <w:tcW w:type="dxa" w:w="230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734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Detalhes que mudam desfecho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0-5 min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Reconhecer gravidade e chamar ajuda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Monitor cardíaco, PA não invasiva ou invasiva se choque, SpO2, escala de consciência. Acionar endoscopia, anestesia/UTI, hemoterapia e cirurgia/IR se sangramento maciço.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5-15 min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ABCDE e acesso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A: intubar apenas se indicação. B: O2 e VM se necessário. C: 2 acessos 14-16G ou introdutor/CVC de alto fluxo; coleta de exames antes de transfundir se possível, sem atrasar sangue.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15-30 min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Reanimação hemostática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Cristaloide balanceado em bolus pequenos se hipotenso enquanto sangue chega; CH se choque/perda maciça; protocolo de transfusão maciça se necessário; cálcio, temperatura, fibrinogênio/plaquetas.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30-45 min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Terapia etiológica presumida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Suspeita não varicosa: PPI IV. Suspeita varicosa: octreotida/terlipressina + ceftriaxona. Erythromycin 250 mg IV antes de endoscopia se sangramento intenso/estômago cheio.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45-60 min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Plano de controle da fonte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Endoscopia na UTI/centro endoscópico com suporte. Definir backup: IR/cirurgia para úlcera refratária; TIPS/SEMS/balão para variceal refratária.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1-24 h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Pós-hemostasia e prevenção de rebleeding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Monitorar sinais vitais, Hb seriada, lactato, diurese, ressangramento. Ajustar anticoagulantes, PPI/vasoativo, antibiótico, nutrição e profilaxias.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FCE4D6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r>
              <w:rPr>
                <w:b/>
                <w:sz w:val="20"/>
              </w:rPr>
              <w:t>Não espere o hemograma para agir</w:t>
            </w:r>
          </w:p>
          <w:p>
            <w:pPr>
              <w:pStyle w:val="Corpo"/>
              <w:spacing w:after="40"/>
              <w:ind w:left="0"/>
            </w:pPr>
            <w:r>
              <w:t>Na hemorragia aguda, a hemoglobina inicial pode estar falsamente preservada antes da redistribuição/infusão de fluidos. Choque, pele fria, síncope, lactato, confusão, oligúria e sangramento ativo valem mais que o primeiro Hb.</w:t>
            </w:r>
          </w:p>
        </w:tc>
      </w:tr>
    </w:tbl>
    <w:p>
      <w:pPr>
        <w:pStyle w:val="H1Custom"/>
      </w:pPr>
      <w:r>
        <w:t>3. Reanimação hemodinâmica, hemoterapia e metas</w:t>
      </w:r>
    </w:p>
    <w:p>
      <w:pPr>
        <w:pStyle w:val="Corpo"/>
      </w:pPr>
      <w:r>
        <w:t>A reanimação deve corrigir hipóxia tecidual sem piorar hipertensão portal, hemodiluição, hipotermia e coagulopatia. Em HDA, “encher de soro” é armadilha: se há choque hemorrágico, o tratamento é sangue e controle do sangramento.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Conduta sugerida</w:t>
            </w:r>
          </w:p>
        </w:tc>
        <w:tc>
          <w:tcPr>
            <w:tcW w:type="dxa" w:w="453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Comentários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Acessos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2 periféricos calibrosos 14-16G; se falha, CVC calibroso/introdutor; considerar arterial se choque.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CVC comum de múltiplos lúmens não substitui acesso de alto fluxo para hemorragia maciça.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Cristaloide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Usar apenas como ponte, em bolus pequenos, preferir solução balanceada ou SF 0,9% conforme contexto.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Evitar hemodiluição e edema. Em cirrose/varizes, excesso de volume aumenta pressão portal.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Hemácias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Limiar geral Hb &lt; 7 g/dL; alvo 7-9 g/dL. Considerar Hb &lt; 8 g/dL ou alvo 8-10 em cardiopatia isquêmica/choque persistente.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No sangramento maciço/choque, transfundir pela clínica, não pelo Hb inicial.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Protocolo de transfusão maciça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Ativar se choque hemorrágico, perda rápida, &gt;3-4 CH nas primeiras horas, instabilidade persistente.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Usar pacote institucional com CH/plasma/plaquetas; corrigir cálcio e temperatura.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Plaquetas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Alvo prático &gt;50.000/mm3 em sangramento ativo/procedimento; não transfundir apenas para “reverter” AAS/clopidogrel de rotina.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Considerar alvo maior em neuro/alto risco específico.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Fibrinogênio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Se &lt;150-200 mg/dL ou sangramento maciço: crioprecipitado/concentrado se disponível.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TEG/ROTEM pode guiar em cirrose/hemorragia maciça.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Cálcio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Dosar Ca ionizado; repor se hipocalcemia por citrato em transfusão maciça.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Gluconato de cálcio 1-2 g IV ou cloreto de cálcio em acesso central conforme protocolo.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Vasopressor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Noradrenalina se PAM &lt;65 após reposição inicial adequada ou vasoplegia associada.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Não usar vasopressor como substituto de sangue/controle de fonte.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E2F0D9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</w:tcPr>
          <w:p>
            <w:r>
              <w:rPr>
                <w:b/>
                <w:sz w:val="20"/>
              </w:rPr>
              <w:t>Metas iniciais na UTI</w:t>
            </w:r>
          </w:p>
          <w:p>
            <w:pPr>
              <w:pStyle w:val="Corpo"/>
              <w:spacing w:after="40"/>
              <w:ind w:left="0"/>
            </w:pPr>
            <w:r>
              <w:t>- PAM &gt;= 65 mmHg, individualizando cardiopatia/hipertensão crônica.</w:t>
            </w:r>
          </w:p>
          <w:p>
            <w:pPr>
              <w:pStyle w:val="Corpo"/>
              <w:spacing w:after="40"/>
              <w:ind w:left="0"/>
            </w:pPr>
            <w:r>
              <w:t>- Diurese &gt;= 0,5 mL/kg/h, queda de lactato, melhora do sensório e perfusão periférica.</w:t>
            </w:r>
          </w:p>
          <w:p>
            <w:pPr>
              <w:pStyle w:val="Corpo"/>
              <w:spacing w:after="40"/>
              <w:ind w:left="0"/>
            </w:pPr>
            <w:r>
              <w:t>- Temperatura normal, cálcio ionizado adequado, fibrinogênio/plaquetas suficientes para hemostasia.</w:t>
            </w:r>
          </w:p>
          <w:p>
            <w:pPr>
              <w:pStyle w:val="Corpo"/>
              <w:spacing w:after="40"/>
              <w:ind w:left="0"/>
            </w:pPr>
            <w:r>
              <w:t>- Em variceal: evitar alvo de Hb alto. A meta não é “normalizar Hb”, é perfundir sem aumentar pressão portal.</w:t>
            </w:r>
          </w:p>
        </w:tc>
      </w:tr>
    </w:tbl>
    <w:p>
      <w:pPr>
        <w:pStyle w:val="H1Custom"/>
      </w:pPr>
      <w:r>
        <w:t>4. Diagnóstico, exames e estratificação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7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Bloco</w:t>
            </w:r>
          </w:p>
        </w:tc>
        <w:tc>
          <w:tcPr>
            <w:tcW w:type="dxa" w:w="489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 que pedir/fazer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Por quê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Laboratório inicial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Hemograma, ureia/creatinina, Na/K/Mg/Ca/P, glicemia, gasometria/lactato, TP/INR, TTPa, fibrinogênio, função hepática, bilirrubinas, albumina.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Quantifica choque, coagulopatia, cirrose, IRA e risco anestésico.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Hemoterapia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Tipagem ABO/Rh, pesquisa de anticorpos, prova cruzada; deixar CH disponível conforme risco.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Não esperar a próxima hematêmese para liberar sangue.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ECG/troponina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Em idosos, choque, dor torácica, DAC, Hb baixa ou vasopressor.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HDA pode precipitar isquemia tipo 2 ou IAM verdadeiro.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Imagem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Endoscopia é padrão. AngioTC se suspeita de fístula aortoentérica, sangramento não localizado, impossibilidade/fracasso endoscópico ou planejamento de embolização.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AngioTC detecta extravasamento ativo e orienta IR/cirurgia; endoscopia pode falhar se campo cheio de sangue.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Scores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Glasgow-Blatchford pré-endoscopia; AIMS65/Rockall para prognóstico; Child-Pugh/MELD em cirrose.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Scores ajudam, mas não substituem julgamento clínico em UTI.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Uso prático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Mensagem de UTI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Glasgow-Blatchford Score (GBS)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Pré-endoscópico: identifica muito baixo risco quando 0-1.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Na UTI quase sempre será alto; útil para justificar risco e priorização, não para atrasar endoscopia.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AIMS65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Albumina baixa, INR alto, alteração mental, PAS baixa, idade &gt;65.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Bom alerta de mortalidade/gravidade; alto AIMS65 sugere monitorização intensiva.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Rockall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Pré e pós-endoscopia; estima rebleeding/mortalidade.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Mais útil após achados endoscópicos.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Child-Pugh/MELD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Cirróticos: risco de morte, falha terapêutica e TIPS.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Child C 10-13 ou Child B com sangramento ativo em endoscopia pode indicar TIPS preemptivo em centros capazes.</w:t>
            </w:r>
          </w:p>
        </w:tc>
      </w:tr>
    </w:tbl>
    <w:p/>
    <w:p>
      <w:pPr>
        <w:pStyle w:val="H1Custom"/>
      </w:pPr>
      <w:r>
        <w:t>5. Via aérea, preparo para endoscopia e sedação</w:t>
      </w:r>
    </w:p>
    <w:p>
      <w:pPr>
        <w:pStyle w:val="Corpo"/>
      </w:pPr>
      <w:r>
        <w:t>A intubação profilática de rotina antes da endoscopia não é recomendada. Ela aumenta riscos se usada sem critério. Porém, no paciente correto, salva a endoscopia e reduz aspiração.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40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Intubar antes da EDA se...</w:t>
            </w:r>
          </w:p>
        </w:tc>
        <w:tc>
          <w:tcPr>
            <w:tcW w:type="dxa" w:w="540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Evitar intubação de rotina se...</w:t>
            </w:r>
          </w:p>
        </w:tc>
      </w:tr>
      <w:t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Hematêmese ativa volumosa ou vômitos contínuos; rebaixamento/encefalopatia sem proteção de via aérea; agitação grave; hipoxemia/insuficiência respiratória; choque com necessidade de procedimento prolongado; necessidade de transporte inseguro; grande quantidade de sangue no estômago prevista.</w:t>
            </w:r>
          </w:p>
        </w:tc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Paciente acordado, cooperativo, sem vômitos ativos, oxigenando bem, hemodinamicamente estabilizado e com endoscopia curta prevista. Neste cenário, anestesia/sedação monitorizada pode ser suficiente.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>
            <w:r>
              <w:rPr>
                <w:b/>
                <w:sz w:val="20"/>
              </w:rPr>
              <w:t>Eritromicina antes da endoscopia</w:t>
            </w:r>
          </w:p>
          <w:p>
            <w:pPr>
              <w:pStyle w:val="Corpo"/>
              <w:spacing w:after="40"/>
              <w:ind w:left="0"/>
            </w:pPr>
            <w:r>
              <w:t>Dose usual: eritromicina 250 mg IV, 30 a 120 min antes da EDA, especialmente em sangramento intenso/suspeita de estômago cheio de sangue. Objetivo: melhorar visualização e reduzir necessidade de segunda endoscopia. Cuidado com QT longo, hipocalemia/hipomagnesemia e interações.</w:t>
            </w:r>
          </w:p>
        </w:tc>
      </w:tr>
    </w:tbl>
    <w:p>
      <w:pPr>
        <w:pStyle w:val="H1Custom"/>
      </w:pPr>
      <w:r>
        <w:t>6. HDA não varicosa: úlcera péptica e outras causas</w:t>
      </w:r>
    </w:p>
    <w:p>
      <w:pPr>
        <w:pStyle w:val="Corpo"/>
      </w:pPr>
      <w:r>
        <w:t>As causas não varicosas incluem úlcera péptica, erosões gastroduodenais, esofagite, Mallory-Weiss, lesão de Dieulafoy, neoplasia, angiodisplasia, fístula aortoentérica e sangramento pós-procedimento. Em UTI, úlcera de estresse, antiagregantes/anticoagulantes e hipoperfusão são frequentes.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76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Conduta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Antes da endoscopia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PPI IV em dose alta pode ser considerado se suspeita de úlcera, mas não deve atrasar a EDA. Não usar octreotida para HDA não varicosa. Não usar lavagem gástrica de rotina.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Endoscopia em não varicosa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Realizar em até 24 h após apresentação/reanimação. Em instabilidade persistente, organizar EDA urgente com suporte de anestesia/UTI/hemoterapia.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Lesão de alto risco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Forrest Ia, Ib, IIa e geralmente IIb após tentativa de remover coágulo: hemostasia endoscópica. Epinefrina não deve ser usada como monoterapia; combinar com clip/térmico/esclerosante/hemostatic powder conforme lesão.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Pós-hemostasia de úlcera de alto risco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PPI em dose alta por 72 h: contínuo ou intermitente conforme protocolo. Depois PPI VO 2x/dia por cerca de 14 dias e ajuste conforme etiologia.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Rebleeding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Repetir EDA e hemostasia. Se falha ou sangramento persistente: embolização arterial transcateter se disponível; cirurgia se IR indisponível ou falha.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H. pylori/AINE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Testar e tratar H. pylori, confirmar erradicação. Suspender AINE; se inevitável, PPI co-terapia e estratégia com menor risco.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Forrest</w:t>
            </w:r>
          </w:p>
        </w:tc>
        <w:tc>
          <w:tcPr>
            <w:tcW w:type="dxa" w:w="345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Achado</w:t>
            </w:r>
          </w:p>
        </w:tc>
        <w:tc>
          <w:tcPr>
            <w:tcW w:type="dxa" w:w="60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Conduta prática</w:t>
            </w:r>
          </w:p>
        </w:tc>
      </w:tr>
      <w:t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Jato arterial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Hemostasia endoscópica obrigatória + PPI alta dose. Alto risco.</w:t>
            </w:r>
          </w:p>
        </w:tc>
      </w:tr>
      <w:t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Ib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Sangramento em babação/oozing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Hemostasia endoscópica + PPI alta dose.</w:t>
            </w:r>
          </w:p>
        </w:tc>
      </w:tr>
      <w:t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IIa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Vaso visível não sangrante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Hemostasia endoscópica + PPI alta dose.</w:t>
            </w:r>
          </w:p>
        </w:tc>
      </w:tr>
      <w:t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IIb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Coágulo aderido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Irrigação vigorosa; se persistente/alto risco, considerar hemostasia.</w:t>
            </w:r>
          </w:p>
        </w:tc>
      </w:tr>
      <w:t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IIc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Mancha hematínica plana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Baixo risco; PPI convencional, considerar alta/transferência se estável.</w:t>
            </w:r>
          </w:p>
        </w:tc>
      </w:tr>
      <w:t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III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Base limpa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Baixo risco; sem hemostasia endoscópica.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>
            <w:r>
              <w:rPr>
                <w:b/>
                <w:sz w:val="20"/>
              </w:rPr>
              <w:t>PPI: esquema prático</w:t>
            </w:r>
          </w:p>
          <w:p>
            <w:pPr>
              <w:pStyle w:val="Corpo"/>
              <w:spacing w:after="40"/>
              <w:ind w:left="0"/>
            </w:pPr>
            <w:r>
              <w:t>Opção contínua: pantoprazol 80 mg IV bolus, depois 8 mg/h por 72 h. Diluição comum: 200 mg em 250 mL SF 0,9% = 0,8 mg/mL; correr 10 mL/h = 8 mg/h. Ajustar estabilidade/diluição conforme farmácia local.</w:t>
            </w:r>
          </w:p>
          <w:p>
            <w:pPr>
              <w:pStyle w:val="Corpo"/>
              <w:spacing w:after="40"/>
              <w:ind w:left="0"/>
            </w:pPr>
            <w:r>
              <w:t>Opção intermitente: dose alta IV/VO conforme protocolo local após hemostasia. Diretrizes aceitam terapia contínua ou intermitente de alta dose por 3 dias após hemostasia de úlcera de alto risco.</w:t>
            </w:r>
          </w:p>
          <w:p>
            <w:pPr>
              <w:pStyle w:val="Corpo"/>
              <w:spacing w:after="40"/>
              <w:ind w:left="0"/>
            </w:pPr>
            <w:r>
              <w:t>Se endoscopia confirmar varizes sem lesão ulcerosa relevante: suspender PPI rotineiro após a EDA, salvo indicação específica.</w:t>
            </w:r>
          </w:p>
        </w:tc>
      </w:tr>
    </w:tbl>
    <w:p>
      <w:pPr>
        <w:pStyle w:val="H1Custom"/>
      </w:pPr>
      <w:r>
        <w:t>7. HDA varicosa: cirrose/hipertensão portal</w:t>
      </w:r>
    </w:p>
    <w:p>
      <w:pPr>
        <w:pStyle w:val="Corpo"/>
      </w:pPr>
      <w:r>
        <w:t>Na suspeita de sangramento varicoso, a terapia deve começar antes da endoscopia. O objetivo é reduzir pressão portal, prevenir infecção/rebleeding e alcançar hemostasia endoscópica/radiológica.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01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Medida</w:t>
            </w:r>
          </w:p>
        </w:tc>
        <w:tc>
          <w:tcPr>
            <w:tcW w:type="dxa" w:w="878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Conduta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Vasoativo</w:t>
            </w:r>
          </w:p>
        </w:tc>
        <w:tc>
          <w:tcPr>
            <w:tcW w:type="dxa" w:w="87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Iniciar imediatamente: octreotida 50 mcg IV bolus, depois 50 mcg/h por 2-5 dias; ou terlipressina 2 mg IV 4/4h nas primeiras 24-48 h, depois 1 mg 4/4-6/6h, conforme disponibilidade e risco isquêmico.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Antibiótico</w:t>
            </w:r>
          </w:p>
        </w:tc>
        <w:tc>
          <w:tcPr>
            <w:tcW w:type="dxa" w:w="87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Ceftriaxona 1 g IV 24/24h por 5-7 dias é opção usual em cirrose/HDA varicosa ou suspeita; ajustar a epidemiologia local, alergia, sepse, colonização e função renal.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Endoscopia</w:t>
            </w:r>
          </w:p>
        </w:tc>
        <w:tc>
          <w:tcPr>
            <w:tcW w:type="dxa" w:w="87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Idealmente em até 12 h após reanimação. Varizes esofágicas: ligadura elástica. Varizes gástricas cardiofundais: cola/cianoacrilato, EUS-coil/glue, TIPS ou BRTO conforme expertise.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Transfusão</w:t>
            </w:r>
          </w:p>
        </w:tc>
        <w:tc>
          <w:tcPr>
            <w:tcW w:type="dxa" w:w="87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Restritiva: alvo 7-8/9 g/dL, individualizar cardiopatia. Evitar hipertransfusão e excesso de cristaloide.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Encefalopatia</w:t>
            </w:r>
          </w:p>
        </w:tc>
        <w:tc>
          <w:tcPr>
            <w:tcW w:type="dxa" w:w="87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Remover sangue do trato GI e tratar constipação: lactulose VO/SNG/retal conforme segurança, alvo 2-3 evacuações/dia. Corrigir infecção, hipocalemia, alcalose, sedativos.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Profilaxia secundária</w:t>
            </w:r>
          </w:p>
        </w:tc>
        <w:tc>
          <w:tcPr>
            <w:tcW w:type="dxa" w:w="87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Após estabilização: EBL seriada a cada 1-4 semanas até erradicação + betabloqueador não seletivo (propranolol/carvedilol/nadolol) se não houver contraindicação. Não iniciar NSBB no choque/AKI grave/hipotensão.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74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Falha/alto risco</w:t>
            </w:r>
          </w:p>
        </w:tc>
        <w:tc>
          <w:tcPr>
            <w:tcW w:type="dxa" w:w="705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Plano de resgate</w:t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Sangramento variceal esofágico persistente apesar de vasoativo + ligadura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TIPS de resgate quando disponível. SEMS esofágico ou balão de Sengstaken-Blakemore/Minnesota como ponte temporária para terapia definitiva.</w:t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Alto risco após hemostasia inicial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Considerar TIPS preemptivo em até 72 h, preferencialmente &lt;24 h, em Child-Pugh C 10-13 ou Child-Pugh B &gt;7 com sangramento ativo na endoscopia, se não houver contraindicação e houver expertise.</w:t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Variz gástrica com falha de hemostasia/endoscopia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TIPS ou BRTO conforme anatomia, disponibilidade e expertise; embolização/cola guiada por EUS em centros experientes.</w:t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Contraindicações/alertas para TIPS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Insuficiência cardíaca direita, hipertensão pulmonar significativa, encefalopatia grave recorrente, bilirrubina muito alta/alto MELD, sepse não controlada; individualizar com hepatologia/intervenção.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FCE4D6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r>
              <w:rPr>
                <w:b/>
                <w:sz w:val="20"/>
              </w:rPr>
              <w:t>Balão de tamponamento: ponte, não tratamento definitivo</w:t>
            </w:r>
          </w:p>
          <w:p>
            <w:pPr>
              <w:pStyle w:val="Corpo"/>
              <w:spacing w:after="40"/>
              <w:ind w:left="0"/>
            </w:pPr>
            <w:r>
              <w:t>Indicar apenas em sangramento variceal exsanguinante quando endoscopia/TIPS não está imediatamente disponível ou falhou. Requer intubação, confirmação de posicionamento, monitorização contínua e equipe treinada. Risco: aspiração, necrose/perfuração esofágica. Usar pelo menor tempo possível até TIPS/SEMS/endoscopia.</w:t>
            </w:r>
          </w:p>
        </w:tc>
      </w:tr>
    </w:tbl>
    <w:p>
      <w:pPr>
        <w:pStyle w:val="H1Custom"/>
      </w:pPr>
      <w:r>
        <w:t>8. Anticoagulantes, antiagregantes, coagulopatia e TXA</w:t>
      </w:r>
    </w:p>
    <w:p>
      <w:pPr>
        <w:pStyle w:val="Corpo"/>
      </w:pPr>
      <w:r>
        <w:t>A regra é equilibrar morte por sangramento versus morte por trombose. Em sangramento menor, evitar reversões desnecessárias; em sangramento com choque, queda importante de Hb, necessidade de &gt;5 CH, vasopressor, cirurgia/IR ou risco de morte, tratar como hemorragia ameaçadora à vida.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45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734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Conduta prática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AAS prevenção primária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Suspender durante HDA; reavaliar se ainda há indicação.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AAS prevenção secundária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Tentar manter. Se suspenso por sangramento grave, reiniciar assim que hemostasia confirmada, frequentemente nas primeiras 24 h a 3-5 dias conforme risco.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DAPT pós-stent/SCA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Manter AAS se possível; suspender temporariamente P2Y12 em sangramento grave; cardiologia deve participar. Retomar P2Y12 o mais cedo possível após hemostasia, em geral até 5 dias se risco trombótico alto.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Varfarina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Suspender. Se sangramento grave/instável: vitamina K IV lenta + PCC 4 fatores. Se PCC indisponível, PFC. Não atrasar endoscopia por correção completa do INR.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Dabigatrana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Suspender. Se sangramento ameaçador à vida ou necessidade de procedimento urgente: idarucizumabe 5 g IV se disponível; considerar hemodiálise em contexto selecionado/DRC se indisponível/recorrência.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Rivaroxabana/apixabana/edoxabana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Suspender. Se ameaçador à vida: andexanet alfa se disponível e indicado; se indisponível, considerar PCC 4F 25-50 UI/kg conforme protocolo.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Heparina não fracionada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Suspender; protamina conforme dose/tempo se sangramento grave.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Plaquetas em antiagregante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Não transfundir plaquetas de rotina apenas pelo uso de AAS/P2Y12. Transfundir se plaquetopenia significativa ou sangramento maciço conforme alvo.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Ácido tranexâmico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Não usar de rotina em HDA. Grandes dados não mostraram redução de morte por sangramento e houve sinal de eventos tromboembólicos/convulsões.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FFF2CC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r>
              <w:rPr>
                <w:b/>
                <w:sz w:val="20"/>
              </w:rPr>
              <w:t>Cirrótico com INR alto não é “varfarinizado”</w:t>
            </w:r>
          </w:p>
          <w:p>
            <w:pPr>
              <w:pStyle w:val="Corpo"/>
              <w:spacing w:after="40"/>
              <w:ind w:left="0"/>
            </w:pPr>
            <w:r>
              <w:t>INR na cirrose não mede adequadamente o equilíbrio hemostático. Evitar PFC apenas para corrigir número antes de endoscopia, pois aumenta volume/pressão portal. Se sangramento maciço, guiar por clínica, fibrinogênio, plaquetas e, se disponível, TEG/ROTEM.</w:t>
            </w:r>
          </w:p>
        </w:tc>
      </w:tr>
    </w:tbl>
    <w:p>
      <w:pPr>
        <w:pStyle w:val="H1Custom"/>
      </w:pPr>
      <w:r>
        <w:t>9. Complicações e cenários especiais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Complicação/cenário</w:t>
            </w:r>
          </w:p>
        </w:tc>
        <w:tc>
          <w:tcPr>
            <w:tcW w:type="dxa" w:w="388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Como reconhecer</w:t>
            </w:r>
          </w:p>
        </w:tc>
        <w:tc>
          <w:tcPr>
            <w:tcW w:type="dxa" w:w="446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Conduta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Aspiração pulmonar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Hematêmese, rebaixamento, hipóxia, infiltrado novo, broncoaspiração durante EDA.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Cabeceira, intubação seletiva quando indicada, aspiração de vias aéreas, VM protetora. Antibiótico apenas se pneumonia/sepse, não por pneumonite química isolada precoce.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Isquemia miocárdica por demanda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Dor, ECG, troponina, choque/anemia.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Corrigir hipóxia/anemia/choque. Alvo transfusional mais liberal pode ser necessário. Cardio para antiagregação/angiografia conforme risco.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IRA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Hipoperfusão, cirrose/HRS, contraste, nefrotóxicos.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Reanimação, evitar nefrotóxicos, dose renal, avaliar HRS em cirrose após controle do sangramento/infecção.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Encefalopatia hepática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Confusão, asterixis, sonolência após sangramento variceal.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Lactulose, tratar infecção, evitar sedativos, corrigir hipocalemia/alcalose, considerar rifaximina em recorrente.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TACO/TRALI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Dispneia/hipoxemia após transfusão; TACO com congestão/BNP/hipertensão, TRALI com edema não cardiogênico.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Interromper transfusão, suporte ventilatório, diurético se TACO, notificar hemovigilância.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Rebleeding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Nova hematêmese/melena volumosa, choque, queda Hb, aumento BUN/lactato.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Reanimar de novo; repetir EDA para úlcera; IR/cirurgia se falha; TIPS/SEMS/balão se variceal.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Fístula aortoentérica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Aorta operada/endoprótese + sangramento “sentinela” ou choque sem causa clara.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Vascular imediato, angioTC se possível, controle cirúrgico/endovascular. EDA negativa não exclui.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Sangramento de Dieulafoy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HDA maciça intermitente, mucosa quase normal com vaso calibroso.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Clip/banda/térmico; pode precisar repetir EDA ou angiografia.</w:t>
            </w:r>
          </w:p>
        </w:tc>
      </w:tr>
    </w:tbl>
    <w:p/>
    <w:p>
      <w:pPr>
        <w:pStyle w:val="H1Custom"/>
      </w:pPr>
      <w:r>
        <w:t>10. Pós-endoscopia: monitorização, nutrição e prevenção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Situação pós-EDA</w:t>
            </w:r>
          </w:p>
        </w:tc>
        <w:tc>
          <w:tcPr>
            <w:tcW w:type="dxa" w:w="79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Conduta na UTI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Úlcera alto risco tratada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PPI alta dose por 72 h, monitorização hemodinâmica, Hb 6/6-8/8h inicialmente, avaliar reintrodução de dieta quando estável e sem rebleeding. Testar H. pylori.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Úlcera baixo risco/base limpa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PPI convencional, dieta precoce se estável, considerar saída da UTI se sem outra indicação.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Varizes esofágicas ligadas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Manter vasoativo 2-5 dias, antibiótico 5-7 dias, vigilância de rebleeding, evitar PPI crônico sem indicação, planejar EBL seriada + NSBB quando estável.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Sem fonte identificada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Reavaliar qualidade da EDA; considerar repetição, angioTC, colonoscopia se hematoquezia, enteroscopia/cápsula quando estável, e causas extraintestinais.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Profilaxia de úlcera de estresse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Em críticos com choque, coagulopatia ou doença hepática crônica, SUP com PPI ou H2RA em baixa dose pode ser indicada; suspender quando risco cessar para evitar prescrição crônica indevida.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Nutrição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Após controle do sangramento e estabilidade, retomar dieta enteral/VO conforme risco de rebleeding e plano endoscópico. Em variceal, lactulose e evacuação ajudam a retirar sangue do trato GI.</w:t>
            </w:r>
          </w:p>
        </w:tc>
      </w:tr>
    </w:tbl>
    <w:p/>
    <w:p>
      <w:pPr>
        <w:pStyle w:val="H1Custom"/>
      </w:pPr>
      <w:r>
        <w:t>11. Prescrição inicial pronta para UTI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>
            <w:r>
              <w:rPr>
                <w:b/>
                <w:sz w:val="20"/>
              </w:rPr>
              <w:t>Prescrição base - HDA grave sem etiologia definida</w:t>
            </w:r>
          </w:p>
          <w:p>
            <w:pPr>
              <w:pStyle w:val="Corpo"/>
              <w:spacing w:after="40"/>
              <w:ind w:left="0"/>
            </w:pPr>
            <w:r>
              <w:t>1. Dieta zero. Cabeceira 30-45 graus. Monitorização contínua, PAM alvo &gt;=65 mmHg, diurese horária.</w:t>
            </w:r>
          </w:p>
          <w:p>
            <w:pPr>
              <w:pStyle w:val="Corpo"/>
              <w:spacing w:after="40"/>
              <w:ind w:left="0"/>
            </w:pPr>
            <w:r>
              <w:t>2. Oxigênio para SpO2 alvo 92-96% (ou 88-92% se retenção crônica de CO2). Avaliar intubação se hematêmese ativa/rebaixamento/aspiração.</w:t>
            </w:r>
          </w:p>
          <w:p>
            <w:pPr>
              <w:pStyle w:val="Corpo"/>
              <w:spacing w:after="40"/>
              <w:ind w:left="0"/>
            </w:pPr>
            <w:r>
              <w:t>3. Acesso: dois AVP 14-16G ou CVC/introdutor; coletar hemograma, coagulograma, fibrinogênio, eletrólitos, função renal/hepática, gasometria/lactato, tipagem/prova cruzada.</w:t>
            </w:r>
          </w:p>
          <w:p>
            <w:pPr>
              <w:pStyle w:val="Corpo"/>
              <w:spacing w:after="40"/>
              <w:ind w:left="0"/>
            </w:pPr>
            <w:r>
              <w:t>4. Hemoterapia: reservar CH; transfundir conforme choque/perda ativa/Hb. Ativar protocolo de transfusão maciça se indicado.</w:t>
            </w:r>
          </w:p>
          <w:p>
            <w:pPr>
              <w:pStyle w:val="Corpo"/>
              <w:spacing w:after="40"/>
              <w:ind w:left="0"/>
            </w:pPr>
            <w:r>
              <w:t>5. Pantoprazol 80 mg IV agora; considerar infusão 8 mg/h até EDA se suspeita não varicosa ou etiologia indefinida.</w:t>
            </w:r>
          </w:p>
          <w:p>
            <w:pPr>
              <w:pStyle w:val="Corpo"/>
              <w:spacing w:after="40"/>
              <w:ind w:left="0"/>
            </w:pPr>
            <w:r>
              <w:t>6. Se cirrose/suspeita de varizes: octreotida 50 mcg IV bolus + 50 mcg/h e ceftriaxona 1 g IV 24/24h.</w:t>
            </w:r>
          </w:p>
          <w:p>
            <w:pPr>
              <w:pStyle w:val="Corpo"/>
              <w:spacing w:after="40"/>
              <w:ind w:left="0"/>
            </w:pPr>
            <w:r>
              <w:t>7. Eritromicina 250 mg IV 30-120 min antes da EDA se hematêmese importante/estômago cheio.</w:t>
            </w:r>
          </w:p>
          <w:p>
            <w:pPr>
              <w:pStyle w:val="Corpo"/>
              <w:spacing w:after="40"/>
              <w:ind w:left="0"/>
            </w:pPr>
            <w:r>
              <w:t>8. Suspender AINE/anticoagulante; decidir AAS/DAPT/reversão com base em risco trombótico e gravidade.</w:t>
            </w:r>
          </w:p>
          <w:p>
            <w:pPr>
              <w:pStyle w:val="Corpo"/>
              <w:spacing w:after="40"/>
              <w:ind w:left="0"/>
            </w:pPr>
            <w:r>
              <w:t>9. Acionar endoscopia; se falha/instabilidade persistente, deixar IR/cirurgia/hepatologia cientes.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Medicação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Dose usual</w:t>
            </w:r>
          </w:p>
        </w:tc>
        <w:tc>
          <w:tcPr>
            <w:tcW w:type="dxa" w:w="41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Pantoprazol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80 mg IV bolus, depois 8 mg/h por 72 h após hemostasia de úlcera alto risco; ou esquema intermitente de alta dose.</w:t>
            </w:r>
          </w:p>
        </w:tc>
        <w:tc>
          <w:tcPr>
            <w:tcW w:type="dxa" w:w="41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Não atrasar EDA. Suspender se variceal pura e sem indicação.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Eritromicina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250 mg IV 30-120 min antes da EDA.</w:t>
            </w:r>
          </w:p>
        </w:tc>
        <w:tc>
          <w:tcPr>
            <w:tcW w:type="dxa" w:w="41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Evitar se QT longo/interações importantes.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Octreotida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50 mcg IV bolus, depois 50 mcg/h por 2-5 dias.</w:t>
            </w:r>
          </w:p>
        </w:tc>
        <w:tc>
          <w:tcPr>
            <w:tcW w:type="dxa" w:w="41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Suspeita varicosa. Diluição exemplo: 500 mcg em 250 mL = 2 mcg/mL; 25 mL/h = 50 mcg/h.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Terlipressina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2 mg IV 4/4h por 24-48 h; depois 1 mg 4/4-6/6h até 2-5 dias.</w:t>
            </w:r>
          </w:p>
        </w:tc>
        <w:tc>
          <w:tcPr>
            <w:tcW w:type="dxa" w:w="41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Cuidado com isquemia coronariana/periférica, hiponatremia e choque séptico grave.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Ceftriaxona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1 g IV 24/24h por 5-7 dias.</w:t>
            </w:r>
          </w:p>
        </w:tc>
        <w:tc>
          <w:tcPr>
            <w:tcW w:type="dxa" w:w="41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Variceal/cirrose. Ajustar à gravidade, foco infeccioso e microbiologia local.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Lactulose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20-30 mL VO/SNG 6/6-8/8h, titular para 2-3 evacuações/dia; ou retal se contraindicação VO.</w:t>
            </w:r>
          </w:p>
        </w:tc>
        <w:tc>
          <w:tcPr>
            <w:tcW w:type="dxa" w:w="41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Cirrótico com encefalopatia ou grande carga de sangue no trato GI.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Noradrenalina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Iniciar 0,05-0,1 mcg/kg/min e titular.</w:t>
            </w:r>
          </w:p>
        </w:tc>
        <w:tc>
          <w:tcPr>
            <w:tcW w:type="dxa" w:w="41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Choque após reposição inicial; não substitui controle hemorrágico.</w:t>
            </w:r>
          </w:p>
        </w:tc>
      </w:tr>
    </w:tbl>
    <w:p/>
    <w:p>
      <w:pPr>
        <w:pStyle w:val="H1Custom"/>
      </w:pPr>
      <w:r>
        <w:t>12. Modelo de evolução médica - copiar e colar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r>
              <w:rPr>
                <w:b/>
                <w:sz w:val="20"/>
              </w:rPr>
              <w:t>Evolução estruturada - HDA na UTI</w:t>
            </w:r>
          </w:p>
          <w:p>
            <w:pPr>
              <w:pStyle w:val="Corpo"/>
              <w:spacing w:after="40"/>
              <w:ind w:left="0"/>
            </w:pPr>
            <w:r>
              <w:t>S: Paciente em acompanhamento por HDA. Sintomas/sinais nas últimas horas: hematêmese/melena/hematoquezia, dor, síncope, vômitos, aspiração, confusão. Uso de AINE/AAS/DAPT/anticoagulante: _____. Antecedente de cirrose/varizes/aorta operada: _____.</w:t>
            </w:r>
          </w:p>
          <w:p>
            <w:pPr>
              <w:pStyle w:val="Corpo"/>
              <w:spacing w:after="40"/>
              <w:ind w:left="0"/>
            </w:pPr>
            <w:r>
              <w:t>O: PA/MAP/FC/SpO2/temperatura, perfusão periférica, diurese, lactato. Hb atual e tendência, plaquetas, INR/TTPa, fibrinogênio, Cr, ureia, bilirrubina/albumina. Volume de sangramento estimado e CH/PFC/plaquetas recebidos. Suporte: O2/VM, noradrenalina ____ mcg/kg/min. EDA: realizada? achado? Forrest? varizes? hemostasia? rebleeding?</w:t>
            </w:r>
          </w:p>
          <w:p>
            <w:pPr>
              <w:pStyle w:val="Corpo"/>
              <w:spacing w:after="40"/>
              <w:ind w:left="0"/>
            </w:pPr>
            <w:r>
              <w:t>A: HDA grave com provável etiologia _____. Estado hemodinâmico: estável/instável. Risco de rebleeding: baixo/alto. Complicações: choque hemorrágico/aspiração/IRA/encefalopatia/isquemia miocárdica. Anticoagulação/antiagregação: plano _____.</w:t>
            </w:r>
          </w:p>
          <w:p>
            <w:pPr>
              <w:pStyle w:val="Corpo"/>
              <w:spacing w:after="40"/>
              <w:ind w:left="0"/>
            </w:pPr>
            <w:r>
              <w:t>P: 1) Reanimação e metas: PAM &gt;=65, diurese &gt;=0,5 mL/kg/h, Hb alvo ____. 2) Endoscopia/IR/cirurgia: _____. 3) Medicações: PPI/vasoativo/ATB/eritromicina/lactulose. 4) Hemoterapia/coagulação: _____. 5) Monitorização: Hb/lactato/coagulação ____. 6) Nutrição/profilaxias. 7) Comunicação com família/equipes.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E2F0D9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</w:tcPr>
          <w:p>
            <w:r>
              <w:rPr>
                <w:b/>
                <w:sz w:val="20"/>
              </w:rPr>
              <w:t>Handoff SBAR para passagem de plantão</w:t>
            </w:r>
          </w:p>
          <w:p>
            <w:pPr>
              <w:pStyle w:val="Corpo"/>
              <w:spacing w:after="40"/>
              <w:ind w:left="0"/>
            </w:pPr>
            <w:r>
              <w:t>S - Situation: HDA com ____ episódios de hematêmese/melena; hemodinâmica atual ____; suporte _____.</w:t>
            </w:r>
          </w:p>
          <w:p>
            <w:pPr>
              <w:pStyle w:val="Corpo"/>
              <w:spacing w:after="40"/>
              <w:ind w:left="0"/>
            </w:pPr>
            <w:r>
              <w:t>B - Background: cirrose/varizes? anticoagulante? AAS/DAPT? AINE? EDA prévia? comorbidades críticas? _____.</w:t>
            </w:r>
          </w:p>
          <w:p>
            <w:pPr>
              <w:pStyle w:val="Corpo"/>
              <w:spacing w:after="40"/>
              <w:ind w:left="0"/>
            </w:pPr>
            <w:r>
              <w:t>A - Assessment: etiologia provável ____; risco de rebleeding ____; Hb/lactato/plaquetas/INR/fibrinogênio ____; fonte controlada? _____.</w:t>
            </w:r>
          </w:p>
          <w:p>
            <w:pPr>
              <w:pStyle w:val="Corpo"/>
              <w:spacing w:after="40"/>
              <w:ind w:left="0"/>
            </w:pPr>
            <w:r>
              <w:t>R - Recommendation: se nova hematêmese/queda PAM/queda Hb: chamar endoscopia/hemoterapia/IR; transfundir conforme alvo; manter/reiniciar drogas; plano de reavaliação às ____.</w:t>
            </w:r>
          </w:p>
        </w:tc>
      </w:tr>
    </w:tbl>
    <w:p>
      <w:pPr>
        <w:pStyle w:val="H1Custom"/>
      </w:pPr>
      <w:r>
        <w:t>13. Checklist final de segurança</w:t>
      </w:r>
    </w:p>
    <w:p>
      <w:pPr>
        <w:pStyle w:val="ListBullet"/>
        <w:spacing w:after="40"/>
      </w:pPr>
      <w:r>
        <w:t>Dois acessos calibrosos ou acesso central de alto fluxo documentado.</w:t>
      </w:r>
    </w:p>
    <w:p>
      <w:pPr>
        <w:pStyle w:val="ListBullet"/>
        <w:spacing w:after="40"/>
      </w:pPr>
      <w:r>
        <w:t>Tipagem/prova cruzada e hemocomponentes disponíveis conforme gravidade.</w:t>
      </w:r>
    </w:p>
    <w:p>
      <w:pPr>
        <w:pStyle w:val="ListBullet"/>
        <w:spacing w:after="40"/>
      </w:pPr>
      <w:r>
        <w:t>Endoscopia acionada com horário/meta definidos; anestesia/UTI ciente se via aérea difícil ou sangramento maciço.</w:t>
      </w:r>
    </w:p>
    <w:p>
      <w:pPr>
        <w:pStyle w:val="ListBullet"/>
        <w:spacing w:after="40"/>
      </w:pPr>
      <w:r>
        <w:t>Etiologia presumida definida: varicosa, não varicosa ou indefinida.</w:t>
      </w:r>
    </w:p>
    <w:p>
      <w:pPr>
        <w:pStyle w:val="ListBullet"/>
        <w:spacing w:after="40"/>
      </w:pPr>
      <w:r>
        <w:t>Se varicosa provável: vasoativo + ceftriaxona já iniciados.</w:t>
      </w:r>
    </w:p>
    <w:p>
      <w:pPr>
        <w:pStyle w:val="ListBullet"/>
        <w:spacing w:after="40"/>
      </w:pPr>
      <w:r>
        <w:t>Se úlcera alto risco: PPI dose alta por 72 h pós-hemostasia.</w:t>
      </w:r>
    </w:p>
    <w:p>
      <w:pPr>
        <w:pStyle w:val="ListBullet"/>
        <w:spacing w:after="40"/>
      </w:pPr>
      <w:r>
        <w:t>Plano para anticoagulante/antiagregante registrado, com risco trombótico considerado.</w:t>
      </w:r>
    </w:p>
    <w:p>
      <w:pPr>
        <w:pStyle w:val="ListBullet"/>
        <w:spacing w:after="40"/>
      </w:pPr>
      <w:r>
        <w:t>Hb, lactato, coagulograma, fibrinogênio, plaquetas, Ca ionizado e eletrólitos monitorados.</w:t>
      </w:r>
    </w:p>
    <w:p>
      <w:pPr>
        <w:pStyle w:val="ListBullet"/>
        <w:spacing w:after="40"/>
      </w:pPr>
      <w:r>
        <w:t>Critérios de rebleeding e plano de escalonamento escritos no prontuário.</w:t>
      </w:r>
    </w:p>
    <w:p>
      <w:pPr>
        <w:pStyle w:val="ListBullet"/>
        <w:spacing w:after="40"/>
      </w:pPr>
      <w:r>
        <w:t>Profilaxia secundária planejada: H. pylori/AINE/PPI ou EBL seriada + NSBB/TIPS conforme etiologia.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2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Erro fatal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Por que mata</w:t>
            </w:r>
          </w:p>
        </w:tc>
        <w:tc>
          <w:tcPr>
            <w:tcW w:type="dxa" w:w="374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Como evitar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Dar litros de cristaloide e atrasar sangue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Hemodiluição, coagulopatia, edema e piora de pressão portal.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Sangramento maciço = sangue + controle de fonte.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Não iniciar octreotida/ceftriaxona em cirrótico antes da EDA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Aumenta falha/rebleeding/infecção.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Suspeitou de varizes: iniciar imediatamente.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Intubar todo mundo antes da endoscopia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Pode aumentar pneumonia, instabilidade e tempo de procedimento.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Intubar seletivamente: hematêmese ativa, encefalopatia, incapacidade de proteger via aérea.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Usar TXA de rotina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Sem benefício robusto em mortalidade e risco trombótico/convulsão.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Reservar para indicação excepcional multidisciplinar.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Suspender AAS secundário por muitos dias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Risco de IAM/stent trombose/AVC.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pStyle w:val="CorpoTabela"/>
            </w:pPr>
            <w:r/>
            <w:r>
              <w:t>Manter se possível ou reiniciar logo após hemostasia.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Achar que INR da cirrose precisa normalizar antes da EDA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Atraso no controle de fonte e sobrecarga por plasma.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7F9FB"/>
          </w:tcPr>
          <w:p>
            <w:pPr>
              <w:pStyle w:val="CorpoTabela"/>
            </w:pPr>
            <w:r/>
            <w:r>
              <w:t>Corrigir hemostasia guiada por sangramento, fibrinogênio, plaquetas, TEG/ROTEM se disponível.</w:t>
            </w:r>
          </w:p>
        </w:tc>
      </w:tr>
    </w:tbl>
    <w:p/>
    <w:p>
      <w:pPr>
        <w:pStyle w:val="H1Custom"/>
      </w:pPr>
      <w:r>
        <w:t>14. PERLAS TEMI/UTI</w:t>
      </w:r>
    </w:p>
    <w:p>
      <w:pPr>
        <w:pStyle w:val="ListBullet"/>
        <w:spacing w:after="40"/>
      </w:pPr>
      <w:r>
        <w:t>HDA + hematoquezia + choque = HDA maciça até prova em contrário.</w:t>
      </w:r>
    </w:p>
    <w:p>
      <w:pPr>
        <w:pStyle w:val="ListBullet"/>
        <w:spacing w:after="40"/>
      </w:pPr>
      <w:r>
        <w:t>GBS 0-1 ajuda a liberar baixo risco; na UTI, não use score para negar gravidade óbvia.</w:t>
      </w:r>
    </w:p>
    <w:p>
      <w:pPr>
        <w:pStyle w:val="ListBullet"/>
        <w:spacing w:after="40"/>
      </w:pPr>
      <w:r>
        <w:t>Epinefrina endoscópica isolada não basta para úlcera sangrante: precisa terapia combinada.</w:t>
      </w:r>
    </w:p>
    <w:p>
      <w:pPr>
        <w:pStyle w:val="ListBullet"/>
        <w:spacing w:after="40"/>
      </w:pPr>
      <w:r>
        <w:t>PPI é essencial para úlcera alto risco pós-hemostasia, mas não trata variz; vasoativo + ATB tratam variceal.</w:t>
      </w:r>
    </w:p>
    <w:p>
      <w:pPr>
        <w:pStyle w:val="ListBullet"/>
        <w:spacing w:after="40"/>
      </w:pPr>
      <w:r>
        <w:t>TIPS preemptivo salva subgrupos de variceal de alto risco, mas exige seleção: Child C 10-13 ou Child B com sangramento ativo, sem contraindicações.</w:t>
      </w:r>
    </w:p>
    <w:p>
      <w:pPr>
        <w:pStyle w:val="ListBullet"/>
        <w:spacing w:after="40"/>
      </w:pPr>
      <w:r>
        <w:t>Rebleeding pós-úlcera: segunda endoscopia antes de cirurgia/IR, salvo instabilidade extrema ou indisponibilidade.</w:t>
      </w:r>
    </w:p>
    <w:p>
      <w:pPr>
        <w:pStyle w:val="ListBullet"/>
        <w:spacing w:after="40"/>
      </w:pPr>
      <w:r>
        <w:t>Sangue no trato digestivo precipita encefalopatia: lactulose não é detalhe em cirrótico.</w:t>
      </w:r>
    </w:p>
    <w:p>
      <w:pPr>
        <w:pStyle w:val="ListBullet"/>
        <w:spacing w:after="40"/>
      </w:pPr>
      <w:r>
        <w:t>Estabilizar não é “normalizar tudo”; é criar janela segura para endoscopia terapêutica.</w:t>
      </w:r>
    </w:p>
    <w:p>
      <w:pPr>
        <w:pStyle w:val="H1Custom"/>
      </w:pPr>
      <w:r>
        <w:t>15. Referências essenciais</w:t>
      </w:r>
    </w:p>
    <w:p>
      <w:pPr>
        <w:pStyle w:val="Corpo"/>
        <w:ind w:left="360" w:hanging="360"/>
      </w:pPr>
      <w:r>
        <w:t>1. Laine L, Barkun AN, Saltzman JR, et al. ACG Clinical Guideline: Upper Gastrointestinal and Ulcer Bleeding. Am J Gastroenterol. 2021;116:899-917. DOI: 10.14309/ajg.0000000000001245.</w:t>
      </w:r>
    </w:p>
    <w:p>
      <w:pPr>
        <w:pStyle w:val="Corpo"/>
        <w:ind w:left="360" w:hanging="360"/>
      </w:pPr>
      <w:r>
        <w:t>2. Gralnek IM, Stanley AJ, Morris AJ, et al. ESGE Guideline Update 2021: Endoscopic diagnosis and management of nonvariceal upper gastrointestinal hemorrhage. Endoscopy. 2021;53:300-332.</w:t>
      </w:r>
    </w:p>
    <w:p>
      <w:pPr>
        <w:pStyle w:val="Corpo"/>
        <w:ind w:left="360" w:hanging="360"/>
      </w:pPr>
      <w:r>
        <w:t>3. ESGE Guideline 2022: Endoscopic diagnosis and management of esophagogastric variceal hemorrhage. Endoscopy. 2022.</w:t>
      </w:r>
    </w:p>
    <w:p>
      <w:pPr>
        <w:pStyle w:val="Corpo"/>
        <w:ind w:left="360" w:hanging="360"/>
      </w:pPr>
      <w:r>
        <w:t>4. de Franchis R, Bosch J, Garcia-Tsao G, et al. Baveno VII - Renewing consensus in portal hypertension. J Hepatol. 2022;76:959-974.</w:t>
      </w:r>
    </w:p>
    <w:p>
      <w:pPr>
        <w:pStyle w:val="Corpo"/>
        <w:ind w:left="360" w:hanging="360"/>
      </w:pPr>
      <w:r>
        <w:t>5. Lesmana CRA, et al. Management of acute variceal bleeding: updated APASL guidelines. Hepatology International. 2025.</w:t>
      </w:r>
    </w:p>
    <w:p>
      <w:pPr>
        <w:pStyle w:val="Corpo"/>
        <w:ind w:left="360" w:hanging="360"/>
      </w:pPr>
      <w:r>
        <w:t>6. Abraham NS, Barkun AN, Sauer BG, et al. ACG-CAG Clinical Practice Guideline: Management of Anticoagulants and Antiplatelets During Acute GI Bleeding and the Periendoscopic Period. Am J Gastroenterol. 2022.</w:t>
      </w:r>
    </w:p>
    <w:p>
      <w:pPr>
        <w:pStyle w:val="Corpo"/>
        <w:ind w:left="360" w:hanging="360"/>
      </w:pPr>
      <w:r>
        <w:t>7. HALT-IT Trial Collaborators. Effects of a high-dose 24-h infusion of tranexamic acid on death and thromboembolic events in patients with acute gastrointestinal bleeding. Lancet. 2020;395:1927-1936.</w:t>
      </w:r>
    </w:p>
    <w:p>
      <w:pPr>
        <w:pStyle w:val="Corpo"/>
        <w:ind w:left="360" w:hanging="360"/>
      </w:pPr>
      <w:r>
        <w:t>8. SCCM/ASHP Guideline for the Prevention of Stress-Related Gastrointestinal Bleeding in Critically Ill Adults. 2024.</w:t>
      </w:r>
    </w:p>
    <w:p>
      <w:pPr>
        <w:pStyle w:val="Corpo"/>
        <w:ind w:left="360" w:hanging="360"/>
      </w:pPr>
      <w:r>
        <w:t>9. NICE Clinical Guideline CG141. Acute upper gastrointestinal bleeding in over 16s: management. Last surveillance reviewed 2018.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>
            <w:r>
              <w:rPr>
                <w:b/>
                <w:sz w:val="20"/>
              </w:rPr>
              <w:t>Atualização e adaptação local</w:t>
            </w:r>
          </w:p>
          <w:p>
            <w:pPr>
              <w:pStyle w:val="Corpo"/>
              <w:spacing w:after="40"/>
              <w:ind w:left="0"/>
            </w:pPr>
            <w:r>
              <w:t>Este protocolo foi desenhado para ser adaptado ao fluxo local: disponibilidade de EDA 24/7, radiologia intervencionista, TIPS, hemoterapia, anestesia, UTI, cirurgia e farmácia. O ponto crítico é que a HDA grave seja tratada como doença tempo-dependente: reanimação + terapia etiológica + controle de fonte.</w:t>
            </w:r>
          </w:p>
        </w:tc>
      </w:tr>
    </w:tbl>
    <w:sectPr>
      <w:headerReference w:type="default" r:id="rId9"/>
      <w:footerReference w:type="default" r:id="rId10"/>
      <w:pgSz w:w="12240" w:h="15840"/>
      <w:pgMar w:top="936" w:right="893" w:bottom="93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Documento educacional. Ajustar a protocolos locais, disponibilidade de endoscopia/hemoterapia e julgamento clínico.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Protocolo UTI - Hemorragia Digestiva Alta | versão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120" w:before="160"/>
    </w:pPr>
    <w:rPr>
      <w:rFonts w:ascii="Arial" w:hAnsi="Arial" w:eastAsia="Arial"/>
      <w:b/>
      <w:color w:val="1F4E79"/>
      <w:sz w:val="40"/>
    </w:rPr>
  </w:style>
  <w:style w:type="paragraph" w:customStyle="1" w:styleId="SubtitleCustom">
    <w:name w:val="SubtitleCustom"/>
    <w:pPr>
      <w:spacing w:after="120" w:before="160"/>
    </w:pPr>
    <w:rPr>
      <w:rFonts w:ascii="Arial" w:hAnsi="Arial" w:eastAsia="Arial"/>
      <w:b w:val="0"/>
      <w:color w:val="404040"/>
      <w:sz w:val="22"/>
    </w:rPr>
  </w:style>
  <w:style w:type="paragraph" w:customStyle="1" w:styleId="H1Custom">
    <w:name w:val="H1Custom"/>
    <w:pPr>
      <w:spacing w:after="120" w:before="160"/>
    </w:pPr>
    <w:rPr>
      <w:rFonts w:ascii="Arial" w:hAnsi="Arial" w:eastAsia="Arial"/>
      <w:b/>
      <w:color w:val="1F4E79"/>
      <w:sz w:val="30"/>
    </w:rPr>
  </w:style>
  <w:style w:type="paragraph" w:customStyle="1" w:styleId="H2Custom">
    <w:name w:val="H2Custom"/>
    <w:pPr>
      <w:spacing w:after="120" w:before="160"/>
    </w:pPr>
    <w:rPr>
      <w:rFonts w:ascii="Arial" w:hAnsi="Arial" w:eastAsia="Arial"/>
      <w:b/>
      <w:color w:val="2F75B5"/>
      <w:sz w:val="25"/>
    </w:rPr>
  </w:style>
  <w:style w:type="paragraph" w:customStyle="1" w:styleId="H3Custom">
    <w:name w:val="H3Custom"/>
    <w:pPr>
      <w:spacing w:after="120" w:before="160"/>
    </w:pPr>
    <w:rPr>
      <w:rFonts w:ascii="Arial" w:hAnsi="Arial" w:eastAsia="Arial"/>
      <w:b/>
      <w:color w:val="1F4E79"/>
      <w:sz w:val="21"/>
    </w:rPr>
  </w:style>
  <w:style w:type="paragraph" w:customStyle="1" w:styleId="Corpo">
    <w:name w:val="Corpo"/>
    <w:pPr>
      <w:spacing w:after="80" w:line="245" w:lineRule="auto"/>
    </w:pPr>
    <w:rPr>
      <w:rFonts w:ascii="Arial" w:hAnsi="Arial" w:eastAsia="Arial"/>
      <w:sz w:val="18"/>
    </w:rPr>
  </w:style>
  <w:style w:type="paragraph" w:customStyle="1" w:styleId="CorpoTabela">
    <w:name w:val="CorpoTabela"/>
    <w:pPr>
      <w:spacing w:after="80" w:line="245" w:lineRule="auto"/>
    </w:pPr>
    <w:rPr>
      <w:rFonts w:ascii="Arial" w:hAnsi="Arial" w:eastAsia="Arial"/>
      <w:sz w:val="16"/>
    </w:rPr>
  </w:style>
  <w:style w:type="paragraph" w:customStyle="1" w:styleId="Small">
    <w:name w:val="Small"/>
    <w:pPr>
      <w:spacing w:after="80" w:line="245" w:lineRule="auto"/>
    </w:pPr>
    <w:rPr>
      <w:rFonts w:ascii="Arial" w:hAnsi="Arial" w:eastAsia="Arial"/>
      <w:sz w:val="15"/>
    </w:rPr>
  </w:style>
  <w:style w:type="paragraph" w:customStyle="1" w:styleId="CodeBlock">
    <w:name w:val="CodeBlock"/>
    <w:pPr>
      <w:spacing w:after="80" w:line="245" w:lineRule="auto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