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Protocolo de Transfus��o de Crioprecipitado</w:t>
      </w:r>
    </w:p>
    <w:bookmarkStart w:id="44" w:name="X5fb2ddc27b82f53373324f71e60411cb22478b7"/>
    <w:p>
      <w:pPr>
        <w:pStyle w:val="Heading1"/>
      </w:pPr>
      <w:r>
        <w:t xml:space="preserve">PROTOCOLO DE TRANSFUSÃO DE CRIOPRECIPITADO</w:t>
      </w:r>
    </w:p>
    <w:p>
      <w:pPr>
        <w:pStyle w:val="FirstParagraph"/>
      </w:pPr>
      <w:r>
        <w:rPr>
          <w:b/>
          <w:bCs/>
        </w:rPr>
        <w:t xml:space="preserve">Indicações, doses, fórmulas, administração, contraindicações e peculiaridades de UTI</w:t>
      </w:r>
    </w:p>
    <w:p>
      <w:pPr>
        <w:pStyle w:val="BlockText"/>
      </w:pPr>
      <w:r>
        <w:rPr>
          <w:b/>
          <w:bCs/>
        </w:rPr>
        <w:t xml:space="preserve">Resumo de bolso:</w:t>
      </w:r>
      <w:r>
        <w:t xml:space="preserve"> </w:t>
      </w:r>
      <w:r>
        <w:t xml:space="preserve">crioprecipitado = fonte concentrada de fibrinogênio, fator VIII, fator XIII, fator de von Willebrand e fibronectina. Principal uso: reposição de fibrinogênio em sangramento ativo, procedimento invasivo de risco, hemorragia maciça/CIVD ou deficiência de FXIII quando não houver produto específico.</w:t>
      </w:r>
    </w:p>
    <w:p>
      <w:r>
        <w:pict>
          <v:rect style="width:0;height:1.5pt" o:hralign="center" o:hrstd="t" o:hr="t"/>
        </w:pict>
      </w:r>
    </w:p>
    <w:bookmarkStart w:id="20" w:name="objetivo-e-escopo"/>
    <w:p>
      <w:pPr>
        <w:pStyle w:val="Heading2"/>
      </w:pPr>
      <w:r>
        <w:t xml:space="preserve">1. Objetivo e escopo</w:t>
      </w:r>
    </w:p>
    <w:p>
      <w:pPr>
        <w:pStyle w:val="FirstParagraph"/>
      </w:pPr>
      <w:r>
        <w:t xml:space="preserve">Padronizar o uso de crioprecipitado em adultos na UTI, emergência, centro cirúrgico e enfermaria, com foco em reposição de fibrinogênio.</w:t>
      </w:r>
    </w:p>
    <w:p>
      <w:pPr>
        <w:pStyle w:val="BodyText"/>
      </w:pPr>
      <w:r>
        <w:t xml:space="preserve">Este protocolo é apoio clínico e deve ser adaptado ao protocolo institucional e às regras do serviço de hemoterapia.</w:t>
      </w:r>
    </w:p>
    <w:p>
      <w:pPr>
        <w:pStyle w:val="BodyText"/>
      </w:pPr>
      <w:r>
        <w:rPr>
          <w:b/>
          <w:bCs/>
        </w:rPr>
        <w:t xml:space="preserve">Gatilho mental:</w:t>
      </w:r>
      <w:r>
        <w:t xml:space="preserve"> </w:t>
      </w:r>
      <w:r>
        <w:t xml:space="preserve">não transfundir número isolado. Transfundir contexto: sangramento ativo, procedimento de risco, queda crítica de fibrinogênio, consumo/diluição ou cenário de alto risco.</w:t>
      </w:r>
    </w:p>
    <w:p>
      <w:r>
        <w:pict>
          <v:rect style="width:0;height:1.5pt" o:hralign="center" o:hrstd="t" o:hr="t"/>
        </w:pict>
      </w:r>
    </w:p>
    <w:bookmarkEnd w:id="20"/>
    <w:bookmarkStart w:id="21" w:name="X04bb55e0b52d34daf164f4b8033ccff23e3416f"/>
    <w:p>
      <w:pPr>
        <w:pStyle w:val="Heading2"/>
      </w:pPr>
      <w:r>
        <w:t xml:space="preserve">2. O que há em uma unidade de crioprecipitado?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 aproximada por bolsa/unidade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 prático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10-20 mL; no Brasil frequentemente cerca de 15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volume; útil quando se quer fibrinogênio sem grande carga volêmica.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Fibrinogênio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Mínimo brasileiro &gt;=150 mg; usual 150-250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quantidade real varia; usar valor local quando disponível.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Fator VIII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&gt;=80 UI ou 80-150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primeira escolha para hemofilia A se houver concentrado específico.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Fator XIII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Cerca de 50-75 UI por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se deficiência de FXIII e não houver concentrado.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Fator von Willebrand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Cerca de 100-150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primeira escolha para doença de von Willebrand se houver terapia específica.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Fibronectina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indicação isolada de rotina.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dicações-principais"/>
    <w:p>
      <w:pPr>
        <w:pStyle w:val="Heading2"/>
      </w:pPr>
      <w:r>
        <w:t xml:space="preserve">3. Indicações principais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prático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Hipofibrinogenemia adquirida com sangramento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Fibrinogênio geralmente &lt;100-150 mg/dL com sangramento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Causas: CIVD, hemorragia maciça, trauma, cirurgia, obstetrícia, doença hepática, fibrinólise.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Hipofibrinogenemia antes de procedimento invasivo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 mg/dL para procedimento com risco de sangramento; considerar meta maior se alto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Ex.: punções profundas, cirurgias, procedimentos neuraxiais, procedimentos em pacientes graves.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 maciça / reposição maciça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Fibrinogênio &lt;150 mg/dL ou sangramento persistente com coagulopatia dilucional/consumo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 precocemente; fibrinogênio é um dos primeiros fatores a cair.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CIVD com sangramento ou procedimento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Fibrinogênio &lt;100-150 mg/dL + sangramento/procedimento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tratar apenas o laboratório: controlar causa-base.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Deficiência congênita de fibrinogênio ou disfibrinogenemia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Sangramento ou profilaxia perioperatória se concentrado não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Preferir concentrado de fibrinogênio quando disponível.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Deficiência de fator XIII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Sangramento/procedimento se concentrado de FXIII não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Indicação menos comum; discutir com Hematologia.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LMA promielocítica / APL em indução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fibrinogênio geralmente &gt;150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alto de CIVD/fibrinólise; seguir protocolo hematológico.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alores-de-fibrinogênio-limiares-e-metas"/>
    <w:p>
      <w:pPr>
        <w:pStyle w:val="Heading2"/>
      </w:pPr>
      <w:r>
        <w:t xml:space="preserve">4. Valores de fibrinogênio: limiares e metas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Considerar CRIO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sangramento, sem procedimento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uso rotineiro; individualizar se &lt;50-100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meta universal; investigar causa.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Sangramento ativo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&lt;100-150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 mg/dL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 maciça / trauma / cirurgia maior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&lt;150 mg/dL; alguns protocolos usam &lt;150-200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&gt;150-200 mg/dL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Obstetrícia/hemorragia puerperal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 mg/dL sugere alto risco e queda precoce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&gt;200 mg/dL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Procedimento invasivo de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 mg/dL; meta maior se alto risco ou sangramento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&gt;=100-150 mg/dL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LMA promielocítica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&lt;150 mg/dL ou queda rápida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 mg/dL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Conversão rápida:</w:t>
      </w:r>
      <w:r>
        <w:t xml:space="preserve"> </w:t>
      </w:r>
      <w:r>
        <w:t xml:space="preserve">100 mg/dL = 1,0 g/L. 150 mg/dL = 1,5 g/L. 200 mg/dL = 2,0 g/L.</w:t>
      </w:r>
    </w:p>
    <w:p>
      <w:r>
        <w:pict>
          <v:rect style="width:0;height:1.5pt" o:hralign="center" o:hrstd="t" o:hr="t"/>
        </w:pict>
      </w:r>
    </w:p>
    <w:bookmarkEnd w:id="23"/>
    <w:bookmarkStart w:id="24" w:name="dose-prática-no-adulto"/>
    <w:p>
      <w:pPr>
        <w:pStyle w:val="Heading2"/>
      </w:pPr>
      <w:r>
        <w:t xml:space="preserve">5. Dose prática no adulto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 padrão adulta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unidades ou 2 pools de 5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Aumenta fibrinogênio em cerca de 50-100 mg/dL, dependendo do peso, consumo e recuperação intravascular.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 por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unidade a cada 5-10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70 kg: cerca de 7-14 unidades; na prática, 10 unidades é dose inicial comum.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 maciça/trauma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unidades; considerar 15-20 unidades se muito grave/baixo fibrinogênio e protocolo local permitir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 rapidamente e reavaliar por fibrinogênio/TEG/ROTEM se disponível.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Pediatria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mL/kg ou conforme hemoterapia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Necessita cálculo específico e protocolo pediátrico.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fórmulas-úteis"/>
    <w:p>
      <w:pPr>
        <w:pStyle w:val="Heading2"/>
      </w:pPr>
      <w:r>
        <w:t xml:space="preserve">6. Fórmulas úteis</w:t>
      </w:r>
    </w:p>
    <w:bookmarkStart w:id="25" w:name="volume-plasmático-estimado"/>
    <w:p>
      <w:pPr>
        <w:pStyle w:val="Heading3"/>
      </w:pPr>
      <w:r>
        <w:t xml:space="preserve">6.1. Volume plasmático estimado</w:t>
      </w:r>
    </w:p>
    <w:p>
      <w:pPr>
        <w:pStyle w:val="FirstParagraph"/>
      </w:pPr>
      <w:r>
        <w:rPr>
          <w:b/>
          <w:bCs/>
        </w:rPr>
        <w:t xml:space="preserve">Volume plasmático (mL) = peso (kg) x 70 x (1 - hematócrito)</w:t>
      </w:r>
      <w:r>
        <w:br/>
      </w:r>
      <w:r>
        <w:rPr>
          <w:b/>
          <w:bCs/>
        </w:rPr>
        <w:t xml:space="preserve">Volume plasmático (dL) = volume plasmático (mL) / 100</w:t>
      </w:r>
    </w:p>
    <w:bookmarkEnd w:id="25"/>
    <w:bookmarkStart w:id="26" w:name="necessidade-de-fibrinogênio"/>
    <w:p>
      <w:pPr>
        <w:pStyle w:val="Heading3"/>
      </w:pPr>
      <w:r>
        <w:t xml:space="preserve">6.2. Necessidade de fibrinogênio</w:t>
      </w:r>
    </w:p>
    <w:p>
      <w:pPr>
        <w:pStyle w:val="FirstParagraph"/>
      </w:pPr>
      <w:r>
        <w:rPr>
          <w:b/>
          <w:bCs/>
        </w:rPr>
        <w:t xml:space="preserve">Fibrinogênio necessário (mg) = [fibrinogênio alvo - fibrinogênio atual] em mg/dL x volume plasmático em dL</w:t>
      </w:r>
    </w:p>
    <w:bookmarkEnd w:id="26"/>
    <w:bookmarkStart w:id="27" w:name="número-de-unidades-de-crioprecipitado"/>
    <w:p>
      <w:pPr>
        <w:pStyle w:val="Heading3"/>
      </w:pPr>
      <w:r>
        <w:t xml:space="preserve">6.3. Número de unidades de crioprecipitado</w:t>
      </w:r>
    </w:p>
    <w:p>
      <w:pPr>
        <w:pStyle w:val="FirstParagraph"/>
      </w:pPr>
      <w:r>
        <w:rPr>
          <w:b/>
          <w:bCs/>
        </w:rPr>
        <w:t xml:space="preserve">Unidades de CRIO = fibrinogênio necessário (mg) / fibrinogênio por unidade</w:t>
      </w:r>
    </w:p>
    <w:p>
      <w:pPr>
        <w:pStyle w:val="BodyText"/>
      </w:pPr>
      <w:r>
        <w:t xml:space="preserve">Usar valor local quando disponível. Se não houver, usar 150-250 mg por unidade; para cálculo conservador, usar 150 mg/unidade.</w:t>
      </w:r>
    </w:p>
    <w:bookmarkEnd w:id="27"/>
    <w:bookmarkStart w:id="28" w:name="exemplo-prático-1"/>
    <w:p>
      <w:pPr>
        <w:pStyle w:val="Heading3"/>
      </w:pPr>
      <w:r>
        <w:t xml:space="preserve">6.4. Exemplo prático 1</w:t>
      </w:r>
    </w:p>
    <w:p>
      <w:pPr>
        <w:pStyle w:val="FirstParagraph"/>
      </w:pPr>
      <w:r>
        <w:t xml:space="preserve">Paciente 70 kg, hematócrito 30%, fibrinogênio 100 mg/dL, alvo 150 mg/dL.</w:t>
      </w:r>
    </w:p>
    <w:p>
      <w:pPr>
        <w:pStyle w:val="Compact"/>
        <w:numPr>
          <w:ilvl w:val="0"/>
          <w:numId w:val="1001"/>
        </w:numPr>
      </w:pPr>
      <w:r>
        <w:t xml:space="preserve">Volume plasmático = 70 x 70 x 0,70 = 3430 mL = 34,3 dL.</w:t>
      </w:r>
    </w:p>
    <w:p>
      <w:pPr>
        <w:pStyle w:val="Compact"/>
        <w:numPr>
          <w:ilvl w:val="0"/>
          <w:numId w:val="1001"/>
        </w:numPr>
      </w:pPr>
      <w:r>
        <w:t xml:space="preserve">Incremento desejado = 50 mg/dL.</w:t>
      </w:r>
    </w:p>
    <w:p>
      <w:pPr>
        <w:pStyle w:val="Compact"/>
        <w:numPr>
          <w:ilvl w:val="0"/>
          <w:numId w:val="1001"/>
        </w:numPr>
      </w:pPr>
      <w:r>
        <w:t xml:space="preserve">Fibrinogênio necessário = 50 x 34,3 = 1715 mg.</w:t>
      </w:r>
    </w:p>
    <w:p>
      <w:pPr>
        <w:pStyle w:val="Compact"/>
        <w:numPr>
          <w:ilvl w:val="0"/>
          <w:numId w:val="1001"/>
        </w:numPr>
      </w:pPr>
      <w:r>
        <w:t xml:space="preserve">Se 200 mg/unidade: cerca de 9 unidades.</w:t>
      </w:r>
    </w:p>
    <w:p>
      <w:pPr>
        <w:pStyle w:val="Compact"/>
        <w:numPr>
          <w:ilvl w:val="0"/>
          <w:numId w:val="1001"/>
        </w:numPr>
      </w:pPr>
      <w:r>
        <w:t xml:space="preserve">Se 150 mg/unidade: cerca de 12 unidades.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Conduta prática:</w:t>
      </w:r>
      <w:r>
        <w:t xml:space="preserve"> </w:t>
      </w:r>
      <w:r>
        <w:t xml:space="preserve">10 unidades e reavaliar fibrinogênio.</w:t>
      </w:r>
    </w:p>
    <w:bookmarkEnd w:id="28"/>
    <w:bookmarkStart w:id="29" w:name="exemplo-prático-2"/>
    <w:p>
      <w:pPr>
        <w:pStyle w:val="Heading3"/>
      </w:pPr>
      <w:r>
        <w:t xml:space="preserve">6.5. Exemplo prático 2</w:t>
      </w:r>
    </w:p>
    <w:p>
      <w:pPr>
        <w:pStyle w:val="FirstParagraph"/>
      </w:pPr>
      <w:r>
        <w:t xml:space="preserve">Paciente 80 kg, hematócrito 25%, fibrinogênio 80 mg/dL, alvo 200 mg/dL.</w:t>
      </w:r>
    </w:p>
    <w:p>
      <w:pPr>
        <w:pStyle w:val="Compact"/>
        <w:numPr>
          <w:ilvl w:val="0"/>
          <w:numId w:val="1002"/>
        </w:numPr>
      </w:pPr>
      <w:r>
        <w:t xml:space="preserve">Volume plasmático = 80 x 70 x 0,75 = 4200 mL = 42 dL.</w:t>
      </w:r>
    </w:p>
    <w:p>
      <w:pPr>
        <w:pStyle w:val="Compact"/>
        <w:numPr>
          <w:ilvl w:val="0"/>
          <w:numId w:val="1002"/>
        </w:numPr>
      </w:pPr>
      <w:r>
        <w:t xml:space="preserve">Incremento desejado = 120 mg/dL.</w:t>
      </w:r>
    </w:p>
    <w:p>
      <w:pPr>
        <w:pStyle w:val="Compact"/>
        <w:numPr>
          <w:ilvl w:val="0"/>
          <w:numId w:val="1002"/>
        </w:numPr>
      </w:pPr>
      <w:r>
        <w:t xml:space="preserve">Fibrinogênio necessário = 120 x 42 = 5040 mg.</w:t>
      </w:r>
    </w:p>
    <w:p>
      <w:pPr>
        <w:pStyle w:val="Compact"/>
        <w:numPr>
          <w:ilvl w:val="0"/>
          <w:numId w:val="1002"/>
        </w:numPr>
      </w:pPr>
      <w:r>
        <w:t xml:space="preserve">Se 200 mg/unidade: cerca de 25 unidades.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Conduta prática:</w:t>
      </w:r>
      <w:r>
        <w:t xml:space="preserve"> </w:t>
      </w:r>
      <w:r>
        <w:t xml:space="preserve">situação de alto consumo; discutir concentrado de fibrinogênio/hemoterapia e repor por etapas com reavaliação.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o-prescrever-e-administrar"/>
    <w:p>
      <w:pPr>
        <w:pStyle w:val="Heading2"/>
      </w:pPr>
      <w:r>
        <w:t xml:space="preserve">7. Como prescrever e administrar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Confirmar indicação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Sangramento/procedimento/hemorragia maciça + fibrinogênio baixo ou forte suspeita de hipofibrinogenemia.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Coletar exames antes, se não atrasar ressuscitação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Hemograma, TP/INR, TTPa, fibrinogênio, cálcio ionizado, gasometria/lactato, função renal/hepática; TEG/ROTEM se disponível.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Solicitar ao banco de sangue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Crioprecipitado 10 unidades/2 pools, preferencialmente ABO compatível; informar urgência e contexto clínico.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Checagem pré-transfusional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Consentimento quando possível; identificação beira-leito; sinais vitais; acesso venoso pérvio; filtro padrão de transfusão 170-260 micra.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Velocidade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sangramento ativo: transfundir assim que disponível, geralmente 10-30 min por pool se tolerado. Fora emergência: conforme protocolo local, habitualmente até 2-4 h após liberação/descongelamento.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Monitorização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PA, FC, SpO2, temperatura, sinais de reação transfusional, sobrecarga volêmica, sangramento, diurese e cálcio na transfusão maciça.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Reavaliação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fibrinogênio 30-60 min após término ou a cada ciclo de hemorragia maciça; repetir dose se meta não atingida e sangramento persiste.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Prescrição exemplo:</w:t>
      </w:r>
      <w:r>
        <w:br/>
      </w:r>
      <w:r>
        <w:t xml:space="preserve">Crioprecipitado 10 unidades (ou 2 pools), ABO compatível se possível, transfundir com filtro padrão, em 30-60 min conforme tolerância/hemodinâmica. Monitorizar sinais vitais e reação transfusional. Repetir fibrinogênio 30-60 min após término.</w:t>
      </w:r>
    </w:p>
    <w:p>
      <w:r>
        <w:pict>
          <v:rect style="width:0;height:1.5pt" o:hralign="center" o:hrstd="t" o:hr="t"/>
        </w:pict>
      </w:r>
    </w:p>
    <w:bookmarkEnd w:id="31"/>
    <w:bookmarkStart w:id="32" w:name="X5180218b01f27074a6f3d2e2a2141a0fd6e2290"/>
    <w:p>
      <w:pPr>
        <w:pStyle w:val="Heading2"/>
      </w:pPr>
      <w:r>
        <w:t xml:space="preserve">8. Compatibilidade, armazenamento e validade prática</w:t>
      </w:r>
    </w:p>
    <w:p>
      <w:pPr>
        <w:pStyle w:val="Compact"/>
        <w:numPr>
          <w:ilvl w:val="0"/>
          <w:numId w:val="1003"/>
        </w:numPr>
      </w:pPr>
      <w:r>
        <w:t xml:space="preserve">ABO: preferir ABO compatível, principalmente para grandes volumes/pools; em urgência, seguir disponibilidade e orientação do banco de sangue.</w:t>
      </w:r>
    </w:p>
    <w:p>
      <w:pPr>
        <w:pStyle w:val="Compact"/>
        <w:numPr>
          <w:ilvl w:val="0"/>
          <w:numId w:val="1003"/>
        </w:numPr>
      </w:pPr>
      <w:r>
        <w:t xml:space="preserve">Rh: geralmente não é relevante para crioprecipitado por não conter hemácias significativas.</w:t>
      </w:r>
    </w:p>
    <w:p>
      <w:pPr>
        <w:pStyle w:val="Compact"/>
        <w:numPr>
          <w:ilvl w:val="0"/>
          <w:numId w:val="1003"/>
        </w:numPr>
      </w:pPr>
      <w:r>
        <w:t xml:space="preserve">Prova cruzada: não é necessária como para concentrado de hemácias, mas exige rastreabilidade e checagem transfusional rigorosa.</w:t>
      </w:r>
    </w:p>
    <w:p>
      <w:pPr>
        <w:pStyle w:val="Compact"/>
        <w:numPr>
          <w:ilvl w:val="0"/>
          <w:numId w:val="1003"/>
        </w:numPr>
      </w:pPr>
      <w:r>
        <w:t xml:space="preserve">Após descongelamento: não recongelar. Usar o quanto antes; a janela exata depende da norma local, mas muitos serviços usam em até 4 horas após liberação/descongelamento.</w:t>
      </w:r>
    </w:p>
    <w:p>
      <w:pPr>
        <w:pStyle w:val="Compact"/>
        <w:numPr>
          <w:ilvl w:val="0"/>
          <w:numId w:val="1003"/>
        </w:numPr>
      </w:pPr>
      <w:r>
        <w:t xml:space="preserve">Infundir por equipo com filtro de transfusão. Não misturar medicações na mesma via. Soro fisiológico 0,9% é o fluido compatível habitual para manter via.</w:t>
      </w:r>
    </w:p>
    <w:p>
      <w:r>
        <w:pict>
          <v:rect style="width:0;height:1.5pt" o:hralign="center" o:hrstd="t" o:hr="t"/>
        </w:pict>
      </w:r>
    </w:p>
    <w:bookmarkEnd w:id="32"/>
    <w:bookmarkStart w:id="33" w:name="Xad6564202e0f836793e8e384c991dc2422bed67"/>
    <w:p>
      <w:pPr>
        <w:pStyle w:val="Heading2"/>
      </w:pPr>
      <w:r>
        <w:t xml:space="preserve">9. Contraindicações e situações em que NÃO é boa escolha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evitar / alternativa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Fibrinogênio normal ou sem sangramento/procedimento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sem benefício; investigar causa do exame alterado.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Correção isolada de INR/TTPa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CRIO não corrige de forma adequada deficiência múltipla de fatores; considerar PFC/PCC/vitamina K conforme 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Expansão volêmica ou hipoalbuminemia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usar CRIO como volume ou albumina.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Hemofilia A com concentrado de FVIII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Preferir fator específico; CRIO é alternativa excepcional em falta absoluta.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Doença de von Willebrand com DDAVP/concentrado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Preferir tratamento específico.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Deficiência isolada de outros fatores que não fibrinogênio/FXIII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fator específico/PFC/PCC conforme indicação.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História de reação anafilática grave a plasma/IgA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Discutir com Hemoterapia; avaliar produto lavado/alternativas e pré-medicação não substitui segurança.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pró-trombótico importante sem sangramento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trombose; individualizar com Hematologia/Hemoterapia.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iscos-e-eventos-adversos"/>
    <w:p>
      <w:pPr>
        <w:pStyle w:val="Heading2"/>
      </w:pPr>
      <w:r>
        <w:t xml:space="preserve">10. Riscos e eventos adversos</w:t>
      </w:r>
    </w:p>
    <w:p>
      <w:pPr>
        <w:pStyle w:val="Compact"/>
        <w:numPr>
          <w:ilvl w:val="0"/>
          <w:numId w:val="1004"/>
        </w:numPr>
      </w:pPr>
      <w:r>
        <w:t xml:space="preserve">Reação alérgica ou anafilaxia.</w:t>
      </w:r>
    </w:p>
    <w:p>
      <w:pPr>
        <w:pStyle w:val="Compact"/>
        <w:numPr>
          <w:ilvl w:val="0"/>
          <w:numId w:val="1004"/>
        </w:numPr>
      </w:pPr>
      <w:r>
        <w:t xml:space="preserve">Reação febril não hemolítica.</w:t>
      </w:r>
    </w:p>
    <w:p>
      <w:pPr>
        <w:pStyle w:val="Compact"/>
        <w:numPr>
          <w:ilvl w:val="0"/>
          <w:numId w:val="1004"/>
        </w:numPr>
      </w:pPr>
      <w:r>
        <w:t xml:space="preserve">TRALI: lesão pulmonar aguda relacionada à transfusão, especialmente importante em UTI.</w:t>
      </w:r>
    </w:p>
    <w:p>
      <w:pPr>
        <w:pStyle w:val="Compact"/>
        <w:numPr>
          <w:ilvl w:val="0"/>
          <w:numId w:val="1004"/>
        </w:numPr>
      </w:pPr>
      <w:r>
        <w:t xml:space="preserve">TACO: sobrecarga circulatória associada à transfusão, menor volume que PFC, mas ainda possível em cardiopatas/renais.</w:t>
      </w:r>
    </w:p>
    <w:p>
      <w:pPr>
        <w:pStyle w:val="Compact"/>
        <w:numPr>
          <w:ilvl w:val="0"/>
          <w:numId w:val="1004"/>
        </w:numPr>
      </w:pPr>
      <w:r>
        <w:t xml:space="preserve">Transmissão infecciosa: risco baixo, mas não zero; depende de triagem/processamento.</w:t>
      </w:r>
    </w:p>
    <w:p>
      <w:pPr>
        <w:pStyle w:val="Compact"/>
        <w:numPr>
          <w:ilvl w:val="0"/>
          <w:numId w:val="1004"/>
        </w:numPr>
      </w:pPr>
      <w:r>
        <w:t xml:space="preserve">Aloimunização e reações imunológicas.</w:t>
      </w:r>
    </w:p>
    <w:p>
      <w:pPr>
        <w:pStyle w:val="Compact"/>
        <w:numPr>
          <w:ilvl w:val="0"/>
          <w:numId w:val="1004"/>
        </w:numPr>
      </w:pPr>
      <w:r>
        <w:t xml:space="preserve">Trombose: especialmente se reposição excessiva, contexto inflamatório, malignidade, CIVD compensada ou fibrinogênio elevado pós-reposição.</w:t>
      </w:r>
    </w:p>
    <w:p>
      <w:pPr>
        <w:pStyle w:val="Compact"/>
        <w:numPr>
          <w:ilvl w:val="0"/>
          <w:numId w:val="1004"/>
        </w:numPr>
      </w:pPr>
      <w:r>
        <w:t xml:space="preserve">Hipocalcemia, hipotermia, acidose e coagulopatia persistente no contexto de transfusão maciça: monitorar e corrigir em paralelo.</w:t>
      </w:r>
    </w:p>
    <w:p>
      <w:r>
        <w:pict>
          <v:rect style="width:0;height:1.5pt" o:hralign="center" o:hrstd="t" o:hr="t"/>
        </w:pict>
      </w:r>
    </w:p>
    <w:bookmarkEnd w:id="34"/>
    <w:bookmarkStart w:id="35" w:name="peculiaridades-de-cenários-críticos"/>
    <w:p>
      <w:pPr>
        <w:pStyle w:val="Heading2"/>
      </w:pPr>
      <w:r>
        <w:t xml:space="preserve">11. Peculiaridades de cenários críticos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Ponto-chave de 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Fibrinogênio 100 mg/dL em paciente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houver sangramento ativo, procedimento iminente ou CIVD/hemorragia: CRIO geralmente indicado. Se assintomático, repetir/confirmar, investigar causa e individualizar.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Dengue grave/hemorrágica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Sangramento importante pode cursar com consumo/coagulopatia/CIVD. Não transfundir CRIO por plaquetopenia isolada; usar se hipofibrinogenemia + sangramento/procedimento.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Tríade prática: doença gatilho + plaquetopenia/TP-TTPa alterados + fibrinogênio baixo ou em queda + D-dímero elevado. Tratar causa-base é a intervenção principal.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Doença hepática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Fibrinogênio pode estar baixo e qualitativamente disfuncional. Evitar transfusão profilática ampla sem procedimento/sangramento; usar metas em sangramento.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 dialítico/renal crônico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Uremia causa disfunção plaquetária; CRIO não é primeira linha para uremia isolada. Considerar DDAVP, diálise, correção de anemia e medidas locais.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Obstetrícia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Fibrinogênio cai precocemente e &lt;200 mg/dL é sinal de gravidade. Meta costuma ser maior que em outros contextos.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TEG/ROTEM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Guiar reposição por FIBTEM/functional fibrinogen quando possível, especialmente em trauma/cirurgia/hemorragia maciça.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hecklist-beira-leito"/>
    <w:p>
      <w:pPr>
        <w:pStyle w:val="Heading2"/>
      </w:pPr>
      <w:r>
        <w:t xml:space="preserve">12. Checklist beira-leito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Confirmar indicação; checar fibrinogênio e sangramento; acionar hemoterapia; colher exames sem atrasar emergência; acesso venoso; consentimento se possível.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Checagem dupla paciente-produto; filtro; monitorização de sinais vitais; observar reação; velocidade conforme urgência; não misturar drogas na via.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Reavaliar sangramento; repetir fibrinogênio/coagulograma; documentar resposta e eventos; decidir nova dose; tratar causa-base.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prescrições-prontas-para-copiar"/>
    <w:p>
      <w:pPr>
        <w:pStyle w:val="Heading2"/>
      </w:pPr>
      <w:r>
        <w:t xml:space="preserve">13. Prescrições prontas para copiar</w:t>
      </w:r>
    </w:p>
    <w:bookmarkStart w:id="37" w:name="sangramento-ativo-fibrinogênio-100-mgdl"/>
    <w:p>
      <w:pPr>
        <w:pStyle w:val="Heading3"/>
      </w:pPr>
      <w:r>
        <w:t xml:space="preserve">Sangramento ativo + fibrinogênio 100 mg/dL</w:t>
      </w:r>
    </w:p>
    <w:p>
      <w:pPr>
        <w:pStyle w:val="FirstParagraph"/>
      </w:pPr>
      <w:r>
        <w:t xml:space="preserve">Crioprecipitado 10 unidades / 2 pools EV, ABO compatível se possível, transfundir com filtro padrão em 30-60 min conforme tolerância. Monitorizar sinais vitais e reação transfusional. Repetir fibrinogênio 30-60 min após término.</w:t>
      </w:r>
    </w:p>
    <w:bookmarkEnd w:id="37"/>
    <w:bookmarkStart w:id="38" w:name="hemorragia-maciça"/>
    <w:p>
      <w:pPr>
        <w:pStyle w:val="Heading3"/>
      </w:pPr>
      <w:r>
        <w:t xml:space="preserve">Hemorragia maciça</w:t>
      </w:r>
    </w:p>
    <w:p>
      <w:pPr>
        <w:pStyle w:val="FirstParagraph"/>
      </w:pPr>
      <w:r>
        <w:t xml:space="preserve">Acionar protocolo de hemorragia maciça. Solicitar CRIO 10 unidades imediatamente se fibrinogênio &lt;150 mg/dL ou sangramento persistente com suspeita de hipofibrinogenemia. Reavaliar por fibrinogênio/TEG/ROTEM e repetir conforme meta.</w:t>
      </w:r>
    </w:p>
    <w:bookmarkEnd w:id="38"/>
    <w:bookmarkStart w:id="39" w:name="Xb192492fe960f79eaa70072516073bcdd9b5e10"/>
    <w:p>
      <w:pPr>
        <w:pStyle w:val="Heading3"/>
      </w:pPr>
      <w:r>
        <w:t xml:space="preserve">Pré-procedimento de risco com fibrinogênio &lt;100 mg/dL</w:t>
      </w:r>
    </w:p>
    <w:p>
      <w:pPr>
        <w:pStyle w:val="FirstParagraph"/>
      </w:pPr>
      <w:r>
        <w:t xml:space="preserve">Crioprecipitado 10 unidades / 2 pools EV antes do procedimento. Repetir fibrinogênio após transfusão e prosseguir quando meta institucional atingida.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delo-de-evolução-médica"/>
    <w:p>
      <w:pPr>
        <w:pStyle w:val="Heading2"/>
      </w:pPr>
      <w:r>
        <w:t xml:space="preserve">14. Modelo de evolução médica</w:t>
      </w:r>
    </w:p>
    <w:p>
      <w:pPr>
        <w:pStyle w:val="FirstParagraph"/>
      </w:pPr>
      <w:r>
        <w:t xml:space="preserve">Paciente com [sangramento ativo/procedimento de risco/CIVD/hemorragia maciça] e fibrinogênio [valor] mg/dL. Indicado reposição com crioprecipitado para correção de hipofibrinogenemia e redução de risco hemorrágico. Solicitado CRIO [dose] unidades, preferencialmente ABO compatível, com transfusão sob monitorização e filtro padrão. Programado controle de fibrinogênio/coagulograma 30-60 min após término e reavaliação clínica para nova dose se sangramento persistente ou meta não atingida. Orientado vigilância para reação transfusional/TRALI/TACO.</w:t>
      </w:r>
    </w:p>
    <w:p>
      <w:r>
        <w:pict>
          <v:rect style="width:0;height:1.5pt" o:hralign="center" o:hrstd="t" o:hr="t"/>
        </w:pict>
      </w:r>
    </w:p>
    <w:bookmarkEnd w:id="41"/>
    <w:bookmarkStart w:id="42" w:name="card-de-bolso---crio-no-plantão"/>
    <w:p>
      <w:pPr>
        <w:pStyle w:val="Heading2"/>
      </w:pPr>
      <w:r>
        <w:t xml:space="preserve">15. Card de bolso - CRIO no plantão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fazer?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Sangramento/procedimento + fibrinogênio baixo; hemorragia maciça; CIVD com sangramento; deficiência de fibrinogênio/FXIII sem concentrado.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limiar?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Geral: &lt;100-150 mg/dL se sangrando. Hemorragia maciça: &lt;150 mg/dL. Obstétrico: considerar &lt;200 mg/dL.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fazer?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Adulto: 10 unidades ou 2 pools. Regra: 1 unidade/5-10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 mg/dL na maioria dos sangramentos; &gt;200 mg/dL em obstetrícia/alto risco.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administrar?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 compatível se possível; filtro de transfusão; 10-30 min por pool se emergência; monitorizar reação.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repetir exame?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 após término ou a cada ciclo do protocolo de hemorragia maciça.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não esquecer?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Tratar causa-base, corrigir hipotermia/acidose/hipocalcemia, controlar foco hemorrágico, evitar uso por número isolado.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ferências-essenciais"/>
    <w:p>
      <w:pPr>
        <w:pStyle w:val="Heading2"/>
      </w:pPr>
      <w:r>
        <w:t xml:space="preserve">16. Referências essenciais</w:t>
      </w:r>
    </w:p>
    <w:p>
      <w:pPr>
        <w:pStyle w:val="Compact"/>
        <w:numPr>
          <w:ilvl w:val="0"/>
          <w:numId w:val="1005"/>
        </w:numPr>
      </w:pPr>
      <w:r>
        <w:t xml:space="preserve">Ministério da Saúde do Brasil. Guia para uso de hemocomponentes. 2ª edição, 2015.</w:t>
      </w:r>
    </w:p>
    <w:p>
      <w:pPr>
        <w:pStyle w:val="Compact"/>
        <w:numPr>
          <w:ilvl w:val="0"/>
          <w:numId w:val="1005"/>
        </w:numPr>
      </w:pPr>
      <w:r>
        <w:t xml:space="preserve">NICE Guideline NG24. Blood transfusion: recommendations on cryoprecipitate thresholds, dosing and reassessment.</w:t>
      </w:r>
    </w:p>
    <w:p>
      <w:pPr>
        <w:pStyle w:val="Compact"/>
        <w:numPr>
          <w:ilvl w:val="0"/>
          <w:numId w:val="1005"/>
        </w:numPr>
      </w:pPr>
      <w:r>
        <w:t xml:space="preserve">NHS Blood and Transplant. Cryoprecipitate factsheet, 2024.</w:t>
      </w:r>
    </w:p>
    <w:p>
      <w:pPr>
        <w:pStyle w:val="Compact"/>
        <w:numPr>
          <w:ilvl w:val="0"/>
          <w:numId w:val="1005"/>
        </w:numPr>
      </w:pPr>
      <w:r>
        <w:t xml:space="preserve">British Society for Haematology / major haemorrhage guidance: fibrinogênio &lt;1,5 g/L como gatilho em hemorragia maior e uso de 2 pools.</w:t>
      </w:r>
    </w:p>
    <w:p>
      <w:pPr>
        <w:pStyle w:val="Compact"/>
        <w:numPr>
          <w:ilvl w:val="0"/>
          <w:numId w:val="1005"/>
        </w:numPr>
      </w:pPr>
      <w:r>
        <w:t xml:space="preserve">Nascimento B, et al. Cryoprecipitate therapy. Review sobre dose, fórmulas e reposição de fibrinogênio.</w:t>
      </w:r>
    </w:p>
    <w:p>
      <w:pPr>
        <w:pStyle w:val="Compact"/>
        <w:numPr>
          <w:ilvl w:val="0"/>
          <w:numId w:val="1005"/>
        </w:numPr>
      </w:pPr>
      <w:r>
        <w:t xml:space="preserve">Manuais hemoterápicos brasileiros recentes: HEMOAM, HUAB-UFRN e HEMOSUL.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Transfus��o de Crioprecipitado</dc:title>
  <dc:creator/>
  <cp:keywords/>
  <dcterms:created xsi:type="dcterms:W3CDTF">2026-04-26T23:52:26Z</dcterms:created>
  <dcterms:modified xsi:type="dcterms:W3CDTF">2026-04-26T23:52:26Z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