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Turbo TEMI 360X</w:t>
      </w:r>
    </w:p>
    <w:p>
      <w:pPr>
        <w:pStyle w:val="Title"/>
      </w:pPr>
      <w:r>
        <w:t>Manejo de medicamentos antes de cirurgias ortopédicas</w:t>
      </w:r>
    </w:p>
    <w:p>
      <w:pPr>
        <w:pStyle w:val="Subtitle"/>
      </w:pPr>
      <w:r>
        <w:t>Proposta de protocolo para adultos em cirurgia eletiva</w:t>
      </w:r>
    </w:p>
    <w:p>
      <w:r>
        <w:t>Versão 1.0 • Consulta às fontes em 11 de setembro de 2026</w:t>
      </w:r>
    </w:p>
    <w:p>
      <w:pPr>
        <w:spacing w:before="120" w:after="160"/>
        <w:shd w:fill="FFF3D7"/>
        <w:pBdr>
          <w:left w:val="single" w:sz="14" w:color="D59522" w:space="8"/>
        </w:pBdr>
        <w:ind w:left="173" w:right="115"/>
      </w:pPr>
      <w:r>
        <w:rPr>
          <w:b/>
        </w:rPr>
        <w:t>A decisão que vem primeiro</w:t>
        <w:br/>
      </w:r>
      <w:r>
        <w:t>Identifique cirurgia, anestesia, dose, indicação e função renal. Depois defina a pausa. Betabloqueador crônico geralmente se mantém; anticoagulante exige conferir última dose e retomada.</w:t>
      </w:r>
    </w:p>
    <w:p>
      <w:pPr>
        <w:pStyle w:val="Heading2"/>
      </w:pPr>
      <w:r>
        <w:t>Escolha sua rota de leitura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7344"/>
      </w:tblGrid>
      <w:tr>
        <w:trPr>
          <w:cantSplit/>
          <w:tblHeader/>
        </w:trPr>
        <w:tc>
          <w:tcPr>
            <w:tcW w:type="dxa" w:w="2160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Tempo disponível</w:t>
            </w:r>
          </w:p>
        </w:tc>
        <w:tc>
          <w:tcPr>
            <w:tcW w:type="dxa" w:w="7344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Rota sugerida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2 minutos</w:t>
            </w:r>
          </w:p>
        </w:tc>
        <w:tc>
          <w:tcPr>
            <w:tcW w:type="dxa" w:w="734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Leia os três quadros visuais e os alertas. Para um caso real, abra a seção detalhada correspondente.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10 minutos</w:t>
            </w:r>
          </w:p>
        </w:tc>
        <w:tc>
          <w:tcPr>
            <w:tcW w:type="dxa" w:w="734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Confira antitrombóticos, neuroeixo, retomada e a classe do medicamento.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25 minutos</w:t>
            </w:r>
          </w:p>
        </w:tc>
        <w:tc>
          <w:tcPr>
            <w:tcW w:type="dxa" w:w="734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Leia o protocolo completo e resolva os casos de revisão.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Aplicação clínica</w:t>
            </w:r>
          </w:p>
        </w:tc>
        <w:tc>
          <w:tcPr>
            <w:tcW w:type="dxa" w:w="734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Preencha o plano individual e valide com a equipe antes de orientar o paciente.</w:t>
            </w:r>
          </w:p>
        </w:tc>
      </w:tr>
    </w:tbl>
    <w:p>
      <w:pPr>
        <w:spacing w:after="20"/>
      </w:pPr>
    </w:p>
    <w:p>
      <w:pPr>
        <w:pStyle w:val="Heading2"/>
      </w:pPr>
      <w:r>
        <w:t>Navegação direta</w:t>
      </w:r>
    </w:p>
    <w:p>
      <w:pPr>
        <w:spacing w:after="60"/>
      </w:pPr>
      <w:hyperlink w:anchor="quadros">
        <w:r>
          <w:rPr>
            <w:color w:val="164B75"/>
            <w:u w:val="single"/>
          </w:rPr>
          <w:t>Quadros visuais</w:t>
        </w:r>
      </w:hyperlink>
    </w:p>
    <w:p>
      <w:pPr>
        <w:spacing w:after="60"/>
      </w:pPr>
      <w:hyperlink w:anchor="section_0">
        <w:r>
          <w:rPr>
            <w:color w:val="164B75"/>
            <w:u w:val="single"/>
          </w:rPr>
          <w:t>Escopo e conciliação</w:t>
        </w:r>
      </w:hyperlink>
    </w:p>
    <w:p>
      <w:pPr>
        <w:spacing w:after="60"/>
      </w:pPr>
      <w:hyperlink w:anchor="section_1">
        <w:r>
          <w:rPr>
            <w:color w:val="164B75"/>
            <w:u w:val="single"/>
          </w:rPr>
          <w:t>Antitrombóticos cirúrgicos</w:t>
        </w:r>
      </w:hyperlink>
    </w:p>
    <w:p>
      <w:pPr>
        <w:spacing w:after="60"/>
      </w:pPr>
      <w:hyperlink w:anchor="section_2">
        <w:r>
          <w:rPr>
            <w:color w:val="164B75"/>
            <w:u w:val="single"/>
          </w:rPr>
          <w:t>Raqui e peridural</w:t>
        </w:r>
      </w:hyperlink>
    </w:p>
    <w:p>
      <w:pPr>
        <w:spacing w:after="60"/>
      </w:pPr>
      <w:hyperlink w:anchor="section_3">
        <w:r>
          <w:rPr>
            <w:color w:val="164B75"/>
            <w:u w:val="single"/>
          </w:rPr>
          <w:t>Retomada e urgência</w:t>
        </w:r>
      </w:hyperlink>
    </w:p>
    <w:p>
      <w:pPr>
        <w:spacing w:after="60"/>
      </w:pPr>
      <w:hyperlink w:anchor="section_4">
        <w:r>
          <w:rPr>
            <w:color w:val="164B75"/>
            <w:u w:val="single"/>
          </w:rPr>
          <w:t>Cardiovasculares e diabetes</w:t>
        </w:r>
      </w:hyperlink>
    </w:p>
    <w:p>
      <w:pPr>
        <w:spacing w:after="60"/>
      </w:pPr>
      <w:hyperlink w:anchor="section_5">
        <w:r>
          <w:rPr>
            <w:color w:val="164B75"/>
            <w:u w:val="single"/>
          </w:rPr>
          <w:t>GLP 1 e outras classes</w:t>
        </w:r>
      </w:hyperlink>
    </w:p>
    <w:p>
      <w:pPr>
        <w:spacing w:after="60"/>
      </w:pPr>
      <w:hyperlink w:anchor="section_6">
        <w:r>
          <w:rPr>
            <w:color w:val="164B75"/>
            <w:u w:val="single"/>
          </w:rPr>
          <w:t>Reumatológicos e calendário</w:t>
        </w:r>
      </w:hyperlink>
    </w:p>
    <w:p>
      <w:pPr>
        <w:spacing w:after="60"/>
      </w:pPr>
      <w:hyperlink w:anchor="casos">
        <w:r>
          <w:rPr>
            <w:color w:val="164B75"/>
            <w:u w:val="single"/>
          </w:rPr>
          <w:t>Casos para revisão TEMI</w:t>
        </w:r>
      </w:hyperlink>
    </w:p>
    <w:p>
      <w:pPr>
        <w:spacing w:after="60"/>
      </w:pPr>
      <w:hyperlink w:anchor="section_7">
        <w:r>
          <w:rPr>
            <w:color w:val="164B75"/>
            <w:u w:val="single"/>
          </w:rPr>
          <w:t>Plano individual</w:t>
        </w:r>
      </w:hyperlink>
    </w:p>
    <w:p>
      <w:pPr>
        <w:spacing w:after="60"/>
      </w:pPr>
      <w:hyperlink w:anchor="referencias">
        <w:r>
          <w:rPr>
            <w:color w:val="164B75"/>
            <w:u w:val="single"/>
          </w:rPr>
          <w:t>Referências</w:t>
        </w:r>
      </w:hyperlink>
    </w:p>
    <w:p>
      <w:pPr>
        <w:pStyle w:val="Heading2"/>
      </w:pPr>
      <w:r>
        <w:t>Cinco lembretes de segurança</w:t>
      </w:r>
    </w:p>
    <w:p>
      <w:r>
        <w:t>1  Beta crônico geralmente continua.</w:t>
        <w:br/>
        <w:t>2  Enoxaparina profilática e terapêutica têm prazos diferentes.</w:t>
        <w:br/>
        <w:t>3  Dois dias completos sem DOAC não equivalem sempre a 48 h.</w:t>
        <w:br/>
        <w:t>4  Neuroeixo pode exigir intervalo maior que a cirurgia.</w:t>
        <w:br/>
        <w:t>5  Pausa, retirada de cateter e retomada são três decisões distintas.</w:t>
      </w:r>
    </w:p>
    <w:p>
      <w:pPr>
        <w:spacing w:after="100"/>
      </w:pPr>
      <w:r>
        <w:rPr>
          <w:sz w:val="18"/>
        </w:rPr>
        <w:t>Material para profissionais e estudo, em revisão médica. Tabelas editáveis, imagens e referências estão incorporadas; não há necessidade de arquivos externos para ler o conteúdo.</w:t>
      </w:r>
    </w:p>
    <w:p>
      <w:r>
        <w:br w:type="page"/>
      </w:r>
    </w:p>
    <w:p>
      <w:bookmarkStart w:id="124" w:name="quadros"/>
      <w:pPr>
        <w:pStyle w:val="Heading1"/>
      </w:pPr>
      <w:r>
        <w:t>Quadro visual de antitrombóticos</w:t>
      </w:r>
      <w:bookmarkEnd w:id="124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96128" cy="8394192"/>
            <wp:docPr id="1" name="Picture 1" descr="Compare dose, tempo e indicação. Os detalhes estão na seção Antitrombóticos antes de cirurgia eletiva. Conteúdo textual equivalente nas tabelas segui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ntitromboti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839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Compare dose, tempo e indicação. Os detalhes estão na seção Antitrombóticos antes de cirurgia eletiva.</w:t>
      </w:r>
    </w:p>
    <w:p>
      <w:r>
        <w:br w:type="page"/>
      </w:r>
    </w:p>
    <w:p>
      <w:bookmarkStart w:id="128" w:name="quadro_2"/>
      <w:pPr>
        <w:pStyle w:val="Heading1"/>
      </w:pPr>
      <w:r>
        <w:t>Quadro visual de raqui e peridural</w:t>
      </w:r>
      <w:bookmarkEnd w:id="128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96128" cy="8394192"/>
            <wp:docPr id="2" name="Picture 2" descr="Leia também as regras de retirada do cateter e retomada. Um intervalo de punção não autoriza as outras etapas. Conteúdo textual equivalente nas tabelas segui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uroeix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839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Leia também as regras de retirada do cateter e retomada. Um intervalo de punção não autoriza as outras etapas.</w:t>
      </w:r>
    </w:p>
    <w:p>
      <w:r>
        <w:br w:type="page"/>
      </w:r>
    </w:p>
    <w:p>
      <w:bookmarkStart w:id="132" w:name="quadro_3"/>
      <w:pPr>
        <w:pStyle w:val="Heading1"/>
      </w:pPr>
      <w:r>
        <w:t>Quadro visual das demais medicações</w:t>
      </w:r>
      <w:bookmarkEnd w:id="132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96128" cy="8394192"/>
            <wp:docPr id="3" name="Picture 3" descr="Verde indica manutenção usual; amarelo exige pausa ou ajuste. Toda conduta depende do contexto clínico. Conteúdo textual equivalente nas tabelas segui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utras_medicac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839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Verde indica manutenção usual; amarelo exige pausa ou ajuste. Toda conduta depende do contexto clínico.</w:t>
      </w:r>
    </w:p>
    <w:p>
      <w:r>
        <w:br w:type="page"/>
      </w:r>
    </w:p>
    <w:p>
      <w:bookmarkStart w:id="136" w:name="section_0"/>
      <w:pPr>
        <w:pStyle w:val="Heading1"/>
      </w:pPr>
      <w:r>
        <w:t>Escopo e decisão antes de suspender</w:t>
      </w:r>
      <w:bookmarkEnd w:id="136"/>
    </w:p>
    <w:p>
      <w:r>
        <w:t>Este documento apoia a conciliação de medicamentos antes de artroplastias, cirurgias de coluna e outros procedimentos ortopédicos. A conduta depende do risco hemorrágico da operação, da técnica anestésica, da indicação do tratamento e da função renal. Betabloqueadores crônicos geralmente são mantidos; anticoagulantes exigem planejamento de interrupção e retomada.</w:t>
      </w:r>
    </w:p>
    <w:p>
      <w:pPr>
        <w:spacing w:before="120" w:after="160"/>
        <w:shd w:fill="FFF3D7"/>
        <w:pBdr>
          <w:left w:val="single" w:sz="14" w:color="D59522" w:space="8"/>
        </w:pBdr>
        <w:ind w:left="173" w:right="115"/>
      </w:pPr>
      <w:r>
        <w:rPr>
          <w:b/>
        </w:rPr>
        <w:t>Prévia educacional em revisão médica</w:t>
        <w:br/>
      </w:r>
      <w:r>
        <w:t>Proposta para revisão por anestesiologia, ortopedia, clínica e farmácia. Não é um protocolo institucional aprovado nem uma prescrição individual. O paciente deve receber um plano nominal com data e hora, confirmado pela equipe responsável.</w:t>
      </w:r>
    </w:p>
    <w:p>
      <w:pPr>
        <w:pStyle w:val="Heading2"/>
      </w:pPr>
      <w:r>
        <w:t>Definir o cenário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0"/>
        <w:gridCol w:w="6264"/>
      </w:tblGrid>
      <w:tr>
        <w:trPr>
          <w:cantSplit/>
          <w:tblHeader/>
        </w:trPr>
        <w:tc>
          <w:tcPr>
            <w:tcW w:type="dxa" w:w="3240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Cenário</w:t>
            </w:r>
          </w:p>
        </w:tc>
        <w:tc>
          <w:tcPr>
            <w:tcW w:type="dxa" w:w="6264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Como usar este documento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Artroplastia total de quadril ou joelho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Usar o planejamento para alto risco hemorrágico; acrescentar as regras de neuroeixo quando aplicáveis.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Cirurgia de coluna ou em espaço fechado</w:t>
            </w:r>
          </w:p>
        </w:tc>
        <w:tc>
          <w:tcPr>
            <w:tcW w:type="dxa" w:w="626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Sangramento pode ter consequências graves. Exigir plano específico; a regra do AAS pode ser mais restritiva.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Artroscopia simples ou cirurgia superficial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O risco pode ser menor. Confirmar extensão e técnica; não impor automaticamente as pausas de artroplastia.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Fratura de quadril e outras urgências</w:t>
            </w:r>
          </w:p>
        </w:tc>
        <w:tc>
          <w:tcPr>
            <w:tcW w:type="dxa" w:w="626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Não aplicar mecanicamente o calendário eletivo. Avaliar tempo disponível, última dose, rim, hemostasia e alternativas anestésicas.</w:t>
            </w:r>
          </w:p>
        </w:tc>
      </w:tr>
    </w:tbl>
    <w:p>
      <w:pPr>
        <w:spacing w:after="20"/>
      </w:pPr>
    </w:p>
    <w:p>
      <w:pPr>
        <w:pStyle w:val="Heading2"/>
      </w:pPr>
      <w:r>
        <w:t>Conciliação em cinco passos</w:t>
      </w:r>
    </w:p>
    <w:p>
      <w:pPr>
        <w:spacing w:after="100"/>
        <w:ind w:left="144" w:hanging="144"/>
      </w:pPr>
      <w:r>
        <w:t>• Registrar nome genérico, dose, indicação, frequência e última administração de todos os medicamentos, incluindo associações, injetáveis e suplementos.</w:t>
      </w:r>
    </w:p>
    <w:p>
      <w:pPr>
        <w:spacing w:after="100"/>
        <w:ind w:left="144" w:hanging="144"/>
      </w:pPr>
      <w:r>
        <w:t>• Confirmar cirurgia, data, horário e anestesia prevista. Cirurgia de coluna e raquianestesia são situações diferentes.</w:t>
      </w:r>
    </w:p>
    <w:p>
      <w:pPr>
        <w:spacing w:after="100"/>
        <w:ind w:left="144" w:hanging="144"/>
      </w:pPr>
      <w:r>
        <w:t>• Avaliar função renal recente, hemograma e exames dirigidos. Para DOACs, usar a depuração de creatinina apropriada ao fármaco; INR normal não exclui seu efeito.</w:t>
      </w:r>
    </w:p>
    <w:p>
      <w:pPr>
        <w:spacing w:after="100"/>
        <w:ind w:left="144" w:hanging="144"/>
      </w:pPr>
      <w:r>
        <w:t>• Identificar stent coronário, tromboembolismo recente, prótese valvar mecânica, sangramento prévio e associação de antitrombóticos.</w:t>
      </w:r>
    </w:p>
    <w:p>
      <w:pPr>
        <w:spacing w:after="100"/>
        <w:ind w:left="144" w:hanging="144"/>
      </w:pPr>
      <w:r>
        <w:t>• Escolher o maior intervalo exigido pela cirurgia e pela anestesia. Documentar também retomada, tromboprofilaxia e responsável pelo plano.</w:t>
      </w:r>
    </w:p>
    <w:p>
      <w:pPr>
        <w:spacing w:after="100"/>
      </w:pPr>
      <w:r>
        <w:rPr>
          <w:sz w:val="18"/>
        </w:rPr>
        <w:t>Convenções: D0 = dia da cirurgia; ClCr = depuração de creatinina em mL/min; DOAC = anticoagulante oral direto; HNF = heparina não fracionada. Os intervalos em horas são contados desde a última dose até a punção ou incisão, conforme a tabela. Fontes de enquadramento: [1–6, 14].</w:t>
      </w:r>
    </w:p>
    <w:p>
      <w:r>
        <w:br w:type="page"/>
      </w:r>
    </w:p>
    <w:p>
      <w:bookmarkStart w:id="149" w:name="section_1"/>
      <w:pPr>
        <w:pStyle w:val="Heading1"/>
      </w:pPr>
      <w:r>
        <w:t>Antitrombóticos antes de cirurgia eletiva</w:t>
      </w:r>
      <w:bookmarkEnd w:id="149"/>
    </w:p>
    <w:p>
      <w:r>
        <w:t>Referência para procedimentos com alto risco hemorrágico, como artroplastia de grande articulação. Esta tabela não libera neuroeixo. Doença renal avançada, lesão renal aguda ou associações exigem avaliação específica.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96"/>
        <w:gridCol w:w="3096"/>
        <w:gridCol w:w="3312"/>
      </w:tblGrid>
      <w:tr>
        <w:trPr>
          <w:cantSplit/>
          <w:tblHeader/>
        </w:trPr>
        <w:tc>
          <w:tcPr>
            <w:tcW w:type="dxa" w:w="3096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Medicamento</w:t>
            </w:r>
          </w:p>
        </w:tc>
        <w:tc>
          <w:tcPr>
            <w:tcW w:type="dxa" w:w="3096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Pausa ou conduta</w:t>
            </w:r>
          </w:p>
        </w:tc>
        <w:tc>
          <w:tcPr>
            <w:tcW w:type="dxa" w:w="3312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Condição essencial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Enoxaparina profilática</w:t>
              <w:br/>
              <w:t>Ex.: 40 mg/dia</w:t>
            </w:r>
          </w:p>
        </w:tc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≥12 h (½ dia)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Função renal preservada; confirmar dose e horário. [5]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Enoxaparina terapêutica</w:t>
              <w:br/>
              <w:t>Ex.: 1 mg/kg a cada 12 h</w:t>
            </w:r>
          </w:p>
        </w:tc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≥24 h (1 dia)</w:t>
            </w:r>
          </w:p>
        </w:tc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 dose final pode exigir ajuste pelo serviço; ampliar avaliação se disfunção renal. [5]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Rivaroxabana (Xarelto®), apixabana, edoxabana</w:t>
            </w:r>
          </w:p>
        </w:tc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Omitir D−2, D−1 e D0; geralmente ≈60–68 h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Referência para ClCr ≥30; última dose usual em D−3. Em doses reduzidas, individualizar. [1, 2]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Dabigatrana terapêutica</w:t>
            </w:r>
          </w:p>
        </w:tc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ClCr ≥50: omitir 2 dias completos; ClCr 30–49: 4 dias completos</w:t>
            </w:r>
          </w:p>
        </w:tc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Também omitir D0. ClCr &lt;30: não aplicar este esquema. [1, 2]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Varfarina</w:t>
            </w:r>
          </w:p>
        </w:tc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Suspender 5 dias antes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Conferir INR antes da cirurgia; alvo cirúrgico definido localmente, frequentemente &lt;1,5. [2]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HNF intravenosa</w:t>
            </w:r>
          </w:p>
        </w:tc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4–6 h</w:t>
            </w:r>
          </w:p>
        </w:tc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Verificar coagulação adequada. Este intervalo não serve para toda dose subcutânea. [4]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Clopidogrel</w:t>
            </w:r>
          </w:p>
        </w:tc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5–7 dias, quando indicada a suspensão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Decisão depende da indicação e de stent. [3]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Ticagrelor</w:t>
            </w:r>
          </w:p>
        </w:tc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3–5 dias, quando indicada a suspensão</w:t>
            </w:r>
          </w:p>
        </w:tc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Neuroeixo exige ≥5 dias. [3, 4]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Prasugrel</w:t>
            </w:r>
          </w:p>
        </w:tc>
        <w:tc>
          <w:tcPr>
            <w:tcW w:type="dxa" w:w="309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7–10 dias, quando indicada a suspensão</w:t>
            </w:r>
          </w:p>
        </w:tc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Evitar interrupção sem plano cardiológico em pacientes de risco. [3]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AAS</w:t>
            </w:r>
          </w:p>
        </w:tc>
        <w:tc>
          <w:tcPr>
            <w:tcW w:type="dxa" w:w="309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Individualizar; muitas vezes manter</w:t>
            </w:r>
          </w:p>
        </w:tc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Se suspender, 4–5 dias como referência; cirurgia espinal de alto risco pode exigir ≥7 dias. [3, 6]</w:t>
            </w:r>
          </w:p>
        </w:tc>
      </w:tr>
    </w:tbl>
    <w:p>
      <w:pPr>
        <w:spacing w:after="20"/>
      </w:pPr>
    </w:p>
    <w:p>
      <w:pPr>
        <w:pStyle w:val="Heading2"/>
      </w:pPr>
      <w:r>
        <w:t>Risco trombótico e stent</w:t>
      </w:r>
    </w:p>
    <w:p>
      <w:r>
        <w:t>Stent recente impede uma ordem automática de suspensão. Após stent farmacológico por síndrome coronariana aguda, cirurgia eletiva que exige interromper antiagregante deve idealmente aguardar ≥12 meses; por doença coronária crônica, ≥6 meses. Interromper antiagregação nos primeiros 30 dias após stent pode ser danoso. Discutir cardiologia, cirurgia e anestesia; manter AAS quando possível. [3]</w:t>
      </w:r>
    </w:p>
    <w:p>
      <w:pPr>
        <w:spacing w:before="120" w:after="160"/>
        <w:shd w:fill="FFF3D7"/>
        <w:pBdr>
          <w:left w:val="single" w:sz="14" w:color="D59522" w:space="8"/>
        </w:pBdr>
        <w:ind w:left="173" w:right="115"/>
      </w:pPr>
      <w:r>
        <w:rPr>
          <w:b/>
        </w:rPr>
        <w:t>Ponte não é rotina</w:t>
        <w:br/>
      </w:r>
      <w:r>
        <w:t>Não substituir DOAC automaticamente por enoxaparina. Ponte com heparina durante interrupção de varfarina também não é rotina; risco trombótico excepcional exige decisão especializada. Tromboprofilaxia pós-operatória e ponte terapêutica são intervenções diferentes. [1, 2]</w:t>
      </w:r>
    </w:p>
    <w:p>
      <w:r>
        <w:br w:type="page"/>
      </w:r>
    </w:p>
    <w:p>
      <w:bookmarkStart w:id="156" w:name="section_2"/>
      <w:pPr>
        <w:pStyle w:val="Heading1"/>
      </w:pPr>
      <w:r>
        <w:t>Raquianestesia peridural e bloqueios profundos</w:t>
      </w:r>
      <w:bookmarkEnd w:id="156"/>
    </w:p>
    <w:p>
      <w:r>
        <w:t>Aplicar a ASRA 5ª edição ao intervalo entre última dose e punção. Estes mínimos não substituem o prazo exigido pela cirurgia. A classificação de dose considera a indicação e o esquema, não apenas os miligramas. 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904"/>
        <w:gridCol w:w="3600"/>
      </w:tblGrid>
      <w:tr>
        <w:trPr>
          <w:cantSplit/>
          <w:tblHeader/>
        </w:trPr>
        <w:tc>
          <w:tcPr>
            <w:tcW w:type="dxa" w:w="5904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Medicamento ou esquema</w:t>
            </w:r>
          </w:p>
        </w:tc>
        <w:tc>
          <w:tcPr>
            <w:tcW w:type="dxa" w:w="3600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Mínimo antes da punção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Enoxaparina em baixa dose profilática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≥12 h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Enoxaparina em alta dose terapêutica</w:t>
            </w:r>
          </w:p>
        </w:tc>
        <w:tc>
          <w:tcPr>
            <w:tcW w:type="dxa" w:w="360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≥24 h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Rivaroxabana, apixabana ou edoxabana em alta dose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≥72 h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Rivaroxabana em baixa dose profilática</w:t>
            </w:r>
          </w:p>
        </w:tc>
        <w:tc>
          <w:tcPr>
            <w:tcW w:type="dxa" w:w="360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≥24 h; ≥30 h se ClCr &lt;30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Apixabana em baixa dose profilática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≥36 h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Dabigatrana em alta dose</w:t>
            </w:r>
          </w:p>
        </w:tc>
        <w:tc>
          <w:tcPr>
            <w:tcW w:type="dxa" w:w="360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ClCr ≥50: ≥72 h; ClCr 30–49: ≥120 h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Dabigatrana em baixa dose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≥48 h; se ClCr &lt;30, avaliação especializada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Varfarina</w:t>
            </w:r>
          </w:p>
        </w:tc>
        <w:tc>
          <w:tcPr>
            <w:tcW w:type="dxa" w:w="360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5 dias + INR normalizado para o laboratório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HNF intravenosa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4–6 h + coagulação avaliada e normalizada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Clopidogrel / ticagrelor / prasugrel</w:t>
            </w:r>
          </w:p>
        </w:tc>
        <w:tc>
          <w:tcPr>
            <w:tcW w:type="dxa" w:w="360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5–7 dias / 5 dias / 7–10 dias</w:t>
            </w:r>
          </w:p>
        </w:tc>
      </w:tr>
      <w:tr>
        <w:trPr>
          <w:cantSplit/>
        </w:trPr>
        <w:tc>
          <w:tcPr>
            <w:tcW w:type="dxa" w:w="590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AAS ou AINE isolado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Sem pausa específica apenas pelo neuroeixo</w:t>
            </w:r>
          </w:p>
        </w:tc>
      </w:tr>
    </w:tbl>
    <w:p>
      <w:pPr>
        <w:spacing w:after="20"/>
      </w:pPr>
    </w:p>
    <w:p>
      <w:pPr>
        <w:pStyle w:val="Heading2"/>
      </w:pPr>
      <w:r>
        <w:t>Exceções que mudam a decisão</w:t>
      </w:r>
    </w:p>
    <w:p>
      <w:pPr>
        <w:spacing w:after="100"/>
        <w:ind w:left="144" w:hanging="144"/>
      </w:pPr>
      <w:r>
        <w:t>• Apixabana 2,5 mg a cada 12 h por ajuste de dose na fibrilação atrial permanece na categoria alta dose: ≥72 h. Não confundir com profilaxia de artroplastia.</w:t>
      </w:r>
    </w:p>
    <w:p>
      <w:pPr>
        <w:spacing w:after="100"/>
        <w:ind w:left="144" w:hanging="144"/>
      </w:pPr>
      <w:r>
        <w:t>• ClCr &lt;30 pode prolongar o efeito da enoxaparina. A referência europeia citada pela ASRA amplia para 24 h em baixa dose e 48 h em alta dose; usar protocolo especializado, com avaliação laboratorial quando indicada.</w:t>
      </w:r>
    </w:p>
    <w:p>
      <w:pPr>
        <w:spacing w:after="100"/>
        <w:ind w:left="144" w:hanging="144"/>
      </w:pPr>
      <w:r>
        <w:t>• Dabigatrana com ClCr &lt;30: ASRA sugere evitar neuroeixo ou bloqueio profundo, salvo se nível plasmático específico obtido e &lt;30 ng/mL, sob avaliação especializada.</w:t>
      </w:r>
    </w:p>
    <w:p>
      <w:pPr>
        <w:spacing w:after="100"/>
        <w:ind w:left="144" w:hanging="144"/>
      </w:pPr>
      <w:r>
        <w:t>• HNF subcutânea varia conforme dose: 5.000 UI duas ou três vezes/dia costuma exigir 4–6 h; esquemas maiores exigem mais tempo. Confirmar o esquema na diretriz.</w:t>
      </w:r>
    </w:p>
    <w:p>
      <w:pPr>
        <w:spacing w:after="100"/>
        <w:ind w:left="144" w:hanging="144"/>
      </w:pPr>
      <w:r>
        <w:t>• Trombocitopenia, combinação de antitrombóticos, punção traumática e dose recente não prevista exigem reavaliação. Após heparina por mais de quatro dias, verificar plaquetas antes de punção ou retirada de cateter.</w:t>
      </w:r>
    </w:p>
    <w:p>
      <w:pPr>
        <w:spacing w:before="120" w:after="160"/>
        <w:shd w:fill="FFF3D7"/>
        <w:pBdr>
          <w:left w:val="single" w:sz="14" w:color="D59522" w:space="8"/>
        </w:pBdr>
        <w:ind w:left="173" w:right="115"/>
      </w:pPr>
      <w:r>
        <w:rPr>
          <w:b/>
        </w:rPr>
        <w:t>A retirada do cateter também é um procedimento de risco</w:t>
        <w:br/>
      </w:r>
      <w:r>
        <w:t>O quadro de punção não autoriza retirar cateter ou reiniciar anticoagulante. Registrar horários próprios e examinar função neurológica. Nova fraqueza, alteração esfincteriana ou dor lombar intensa após neuroeixo exige avaliação urgente.</w:t>
      </w:r>
    </w:p>
    <w:p>
      <w:r>
        <w:br w:type="page"/>
      </w:r>
    </w:p>
    <w:p>
      <w:bookmarkStart w:id="167" w:name="section_3"/>
      <w:pPr>
        <w:pStyle w:val="Heading1"/>
      </w:pPr>
      <w:r>
        <w:t>Retomada e situações urgentes</w:t>
      </w:r>
      <w:bookmarkEnd w:id="167"/>
    </w:p>
    <w:p>
      <w:r>
        <w:t>Retomar somente quando houver hemostasia, estabilidade clínica e compatibilidade com cateteres. O tempo decorrido isoladamente não é autorização. A profilaxia de tromboembolismo deve ser prescrita separadamente.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56"/>
        <w:gridCol w:w="6048"/>
      </w:tblGrid>
      <w:tr>
        <w:trPr>
          <w:cantSplit/>
          <w:tblHeader/>
        </w:trPr>
        <w:tc>
          <w:tcPr>
            <w:tcW w:type="dxa" w:w="3456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048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Referência para retomada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DOAC terapêutico</w:t>
            </w:r>
          </w:p>
        </w:tc>
        <w:tc>
          <w:tcPr>
            <w:tcW w:type="dxa" w:w="604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Em geral ≥24 h após baixo/moderado risco e 48–72 h após alto risco. Considerar profilaxia enquanto a dose plena é adiada. [1, 2]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Enoxaparina terapêutica</w:t>
            </w:r>
          </w:p>
        </w:tc>
        <w:tc>
          <w:tcPr>
            <w:tcW w:type="dxa" w:w="6048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Em geral ≥24 h após baixo/moderado risco e 48–72 h após alto risco; observar neuroeixo e função renal. [2, 4]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Varfarina</w:t>
            </w:r>
          </w:p>
        </w:tc>
        <w:tc>
          <w:tcPr>
            <w:tcW w:type="dxa" w:w="604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Frequentemente 12–24 h após cirurgia, se hemostasia e via oral adequadas; monitorar INR. [2]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Antiagregante interrompido</w:t>
            </w:r>
          </w:p>
        </w:tc>
        <w:tc>
          <w:tcPr>
            <w:tcW w:type="dxa" w:w="6048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Retomar assim que seguro, idealmente dentro de 48 h segundo avaliação conjunta, sobretudo em stent. Dose de ataque exige plano específico. [6]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DOAC após neuroeixo</w:t>
            </w:r>
          </w:p>
        </w:tc>
        <w:tc>
          <w:tcPr>
            <w:tcW w:type="dxa" w:w="604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Além do intervalo cirúrgico: primeira dose alta ≥24 h após punção/retirada do cateter; baixa dose ≥6 h. Não administrar com cateter neuraxial mantido sem protocolo específico. [4]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Enoxaparina profilática e neuroeixo</w:t>
            </w:r>
          </w:p>
        </w:tc>
        <w:tc>
          <w:tcPr>
            <w:tcW w:type="dxa" w:w="6048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Primeira dose ≥12 h após punção. No esquema duas vezes/dia, primeira dose no dia seguinte e ≥12 h após punção; retirar cateter antes de iniciar e aguardar ≥4 h. No esquema uma vez/dia, retirada geralmente ≥12 h após última dose; próxima dose ≥4 h depois. [4, 5]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Enoxaparina terapêutica e cateter</w:t>
            </w:r>
          </w:p>
        </w:tc>
        <w:tc>
          <w:tcPr>
            <w:tcW w:type="dxa" w:w="604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Retirar cateter ≥4 h antes da dose; primeira dose também ≥24 h após punção, respeitando 48–72 h se cirurgia de alto risco. Se já foi administrada dose, consultar intervalo próprio antes da retirada. [4]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sz w:val="18"/>
        </w:rPr>
        <w:t>Após punção traumática, os intervalos usuais podem ser insuficientes. ASRA registra recomendações dos fabricantes de adiar apixabana por 48 h e rivaroxabana por 24 h; com LMWH e punção sanguinolenta, discutir adiamento da primeira dose por 24 h. Considerar sempre o maior prazo exigido. [4]</w:t>
      </w:r>
    </w:p>
    <w:p>
      <w:pPr>
        <w:pStyle w:val="Heading2"/>
      </w:pPr>
      <w:r>
        <w:t>Fratura de quadril e urgências</w:t>
      </w:r>
    </w:p>
    <w:p>
      <w:r>
        <w:t>A AAOS associa cirurgia de fratura de quadril em 24–48 h da admissão a melhores resultados. Não atrasar automaticamente cinco a sete dias só para cumprir uma tabela eletiva. Reunir ortopedia e anestesia para avaliar benefício do procedimento precoce, última dose, função renal, necessidade de exames específicos e possibilidade de técnica alternativa. Reversão de anticoagulação requer protocolo próprio; não está padronizada nesta minuta. [14]</w:t>
      </w:r>
    </w:p>
    <w:p>
      <w:pPr>
        <w:spacing w:before="120" w:after="160"/>
        <w:shd w:fill="FFF3D7"/>
        <w:pBdr>
          <w:left w:val="single" w:sz="14" w:color="D59522" w:space="8"/>
        </w:pBdr>
        <w:ind w:left="173" w:right="115"/>
      </w:pPr>
      <w:r>
        <w:rPr>
          <w:b/>
        </w:rPr>
        <w:t>Exames comuns não excluem efeito de DOAC</w:t>
        <w:br/>
      </w:r>
      <w:r>
        <w:t>TP/INR ou TTPa normais não garantem ausência de anticoagulação por rivaroxabana, apixabana ou dabigatrana. Em casos selecionados, usar testes específicos calibrados para o medicamento e interpretação especializada. [1, 4]</w:t>
      </w:r>
    </w:p>
    <w:p>
      <w:r>
        <w:br w:type="page"/>
      </w:r>
    </w:p>
    <w:p>
      <w:bookmarkStart w:id="175" w:name="section_4"/>
      <w:pPr>
        <w:pStyle w:val="Heading1"/>
      </w:pPr>
      <w:r>
        <w:t>Medicamentos cardiovasculares e diabetes</w:t>
      </w:r>
      <w:bookmarkEnd w:id="175"/>
    </w:p>
    <w:p>
      <w:r>
        <w:t>A manutenção de tratamentos essenciais evita descompensação. As decisões abaixo devem constar da prescrição, incluindo o que tomar na manhã da cirurgia com o volume de água permitido pela anestesia.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3240"/>
        <w:gridCol w:w="3240"/>
      </w:tblGrid>
      <w:tr>
        <w:trPr>
          <w:cantSplit/>
          <w:tblHeader/>
        </w:trPr>
        <w:tc>
          <w:tcPr>
            <w:tcW w:type="dxa" w:w="3024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Classe e exemplos</w:t>
            </w:r>
          </w:p>
        </w:tc>
        <w:tc>
          <w:tcPr>
            <w:tcW w:type="dxa" w:w="3240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Conduta pré-operatória</w:t>
            </w:r>
          </w:p>
        </w:tc>
        <w:tc>
          <w:tcPr>
            <w:tcW w:type="dxa" w:w="3240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Betabloqueador crônico</w:t>
              <w:br/>
              <w:t>Atenolol, carvedilol, metoprolol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Geralmente manter, inclusive no dia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Reavaliar se choque, hipotensão ou bradicardia. Não iniciar no dia apenas para prevenção. [3]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Estatina</w:t>
              <w:br/>
              <w:t>Sinvastatina, atorvastatina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Manter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Evitar interrupção sem motivo clínico. [3]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IECA ou BRA</w:t>
              <w:br/>
              <w:t>Enalapril, losartana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Considerar omitir 24 h antes se hipertensão controlada e cirurgia de risco elevado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Em IC com fração de ejeção reduzida, manter pode ser adequado. [3]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Diurético</w:t>
              <w:br/>
              <w:t>Furosemida, hidroclorotiazida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Considerar omitir pela manhã se usado para hipertensão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Na IC, individualizar por congestão, volume, eletrólitos e rim. [10]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Dapagliflozina, empagliflozina, canagliflozina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Suspender ≥3 dias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Ertugliflozina: ≥4 dias. Prevenir cetoacidose, inclusive euglicêmica. [3, 7, 8]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Metformina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Manter até a véspera; omitir D0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Retomar com alimentação e estabilidade renal/hemodinâmica. [7, 8]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Sulfonilureias e glinidas</w:t>
              <w:br/>
              <w:t>Gliclazida, glimepirida, repaglinida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Suspender 24 h antes conforme SBD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ADA orienta omissão no dia. Para esta minuta brasileira, adotada a SBD. Clorpropamida exige plano mais longo. [7, 8]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Outros antidiabéticos orais</w:t>
              <w:br/>
              <w:t>Sitagliptina, linagliptina, pioglitazona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Omitir no dia conforme ADA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Há variação entre protocolos. Prescrever controle glicêmico durante jejum. [7]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Insulina basal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Ajustar; não suspender toda a basal no DM1</w:t>
            </w:r>
          </w:p>
        </w:tc>
        <w:tc>
          <w:tcPr>
            <w:tcW w:type="dxa" w:w="324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Referência ADA: análogos basais 75–80% da dose usual; NPH pode exigir 50%. Individualizar horário, tipo de diabetes e risco de hipoglicemia. [7]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Insulina prandial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Omitir dose vinculada à refeição se em jejum</w:t>
            </w:r>
          </w:p>
        </w:tc>
        <w:tc>
          <w:tcPr>
            <w:tcW w:type="dxa" w:w="324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Manter correção e monitoramento conforme prescrição. Bombas exigem plano próprio. [7]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sz w:val="18"/>
        </w:rPr>
        <w:t>Meta perioperatória usual de glicemia: 100–180 mg/dL; monitorar pelo menos a cada 2–4 h durante jejum, com frequência maior conforme instabilidade e uso de insulina IV. CGM não substitui sozinho a verificação intraoperatória. Não reiniciar iSGLT2 até recuperação da ingestão e resolução dos fatores de risco para cetoacidose. [7, 8]</w:t>
      </w:r>
    </w:p>
    <w:p>
      <w:r>
        <w:br w:type="page"/>
      </w:r>
    </w:p>
    <w:p>
      <w:bookmarkStart w:id="180" w:name="section_5"/>
      <w:pPr>
        <w:pStyle w:val="Heading1"/>
      </w:pPr>
      <w:r>
        <w:t>GLP 1 e outros medicamentos que exigem contexto</w:t>
      </w:r>
      <w:bookmarkEnd w:id="180"/>
    </w:p>
    <w:p>
      <w:r>
        <w:t>Semaglutida, tirzepatida, liraglutida e semelhantes não devem receber um prazo único sem avaliação anestésica. A nota SBA de 15 de maio de 2026 acrescenta condições operacionais ao consenso brasileiro. [9]</w:t>
      </w:r>
    </w:p>
    <w:p>
      <w:pPr>
        <w:pStyle w:val="Heading2"/>
      </w:pPr>
      <w:r>
        <w:t>Aplicação da nota brasileira sobre GLP 1</w:t>
      </w:r>
    </w:p>
    <w:p>
      <w:pPr>
        <w:spacing w:after="100"/>
        <w:ind w:left="144" w:hanging="144"/>
      </w:pPr>
      <w:r>
        <w:t>• Avaliar sintomas digestivos, escalonamento recente, estabilidade da dose, gastroparesia, condições do paciente e técnica anestésica.</w:t>
      </w:r>
    </w:p>
    <w:p>
      <w:pPr>
        <w:spacing w:after="100"/>
        <w:ind w:left="144" w:hanging="144"/>
      </w:pPr>
      <w:r>
        <w:t>• A SBA propõe manutenção dentro de um fluxo institucional com ultrassonografia gástrica no dia da cirurgia. Sem possibilidade de POCUS, remete à suspensão: 7 dias para longa ação e 1 dia para curta ação.</w:t>
      </w:r>
    </w:p>
    <w:p>
      <w:pPr>
        <w:spacing w:after="100"/>
        <w:ind w:left="144" w:hanging="144"/>
      </w:pPr>
      <w:r>
        <w:t>• Para alto risco de broncoaspiração, o item 5 recomenda pelo menos 7 dias. A tabela comparativa da própria nota é mais simplificada; resolver o cenário com o anestesiologista responsável.</w:t>
      </w:r>
    </w:p>
    <w:p>
      <w:pPr>
        <w:spacing w:after="100"/>
        <w:ind w:left="144" w:hanging="144"/>
      </w:pPr>
      <w:r>
        <w:t>• A nota orienta dieta líquida sem resíduos por 24 h e jejum completo de 8–12 h. Esse preparo é específico desse contexto e deve ser prescrito; não aplicar como jejum universal de toda cirurgia.</w:t>
      </w:r>
    </w:p>
    <w:p>
      <w:pPr>
        <w:spacing w:after="100"/>
        <w:ind w:left="144" w:hanging="144"/>
      </w:pPr>
      <w:r>
        <w:t>• Suspensão não garante estômago vazio. Conteúdo gástrico de alto risco pode exigir adiamento ou mudança do plano anestésico. Planejar controle glicêmico alternativo quando necessário.</w:t>
      </w:r>
    </w:p>
    <w:p>
      <w:pPr>
        <w:spacing w:after="100"/>
      </w:pPr>
      <w:r>
        <w:rPr>
          <w:sz w:val="18"/>
        </w:rPr>
        <w:t>Diretrizes internacionais diferem no grau de restrição. ADA 2026 recomenda decisão individualizada. Esta minuta explicita a nota brasileira, sem transformar a regra histórica de 21 dias para semaglutida em padrão atual universal. [7, 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6192"/>
      </w:tblGrid>
      <w:tr>
        <w:trPr>
          <w:cantSplit/>
          <w:tblHeader/>
        </w:trPr>
        <w:tc>
          <w:tcPr>
            <w:tcW w:type="dxa" w:w="3312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Medicamento</w:t>
            </w:r>
          </w:p>
        </w:tc>
        <w:tc>
          <w:tcPr>
            <w:tcW w:type="dxa" w:w="6192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Conduta e limite de aplicação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Corticoide sistêmico crônico</w:t>
            </w:r>
          </w:p>
        </w:tc>
        <w:tc>
          <w:tcPr>
            <w:tcW w:type="dxa" w:w="61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Manter; evitar retirada abrupta. Avaliar via parenteral e cobertura de estresse se risco de insuficiência adrenal. [11]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Ibuprofeno / diclofenaco sistêmico</w:t>
            </w:r>
          </w:p>
        </w:tc>
        <w:tc>
          <w:tcPr>
            <w:tcW w:type="dxa" w:w="619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Se a equipe indicar suspensão: 1 dia. AINE não exige automaticamente sete dias de pausa. [12a, 12b]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Naproxeno</w:t>
            </w:r>
          </w:p>
        </w:tc>
        <w:tc>
          <w:tcPr>
            <w:tcW w:type="dxa" w:w="61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Se indicada suspensão: 4 dias. [12c]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Celecoxibe / meloxicam</w:t>
            </w:r>
          </w:p>
        </w:tc>
        <w:tc>
          <w:tcPr>
            <w:tcW w:type="dxa" w:w="619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UKCPA permite manter; individualizar por rim, risco cardiovascular, associações e protocolo da operação. [12d, 12e]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Lítio</w:t>
            </w:r>
          </w:p>
        </w:tc>
        <w:tc>
          <w:tcPr>
            <w:tcW w:type="dxa" w:w="61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Plano individual para cirurgia maior: protocolos variam entre 24 h e 72 h. Avaliar rim, sódio, hidratação e interações; não usar prazo isolado. [15]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Lisdexanfetamina e estimulantes prescritos</w:t>
            </w:r>
          </w:p>
        </w:tc>
        <w:tc>
          <w:tcPr>
            <w:tcW w:type="dxa" w:w="619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Diretrizes divergem entre manter e omitir no dia. Documentar plano com anestesia e prescritor, considerando PA, frequência cardíaca e interações. [16]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Fitoterápicos e suplementos</w:t>
            </w:r>
          </w:p>
        </w:tc>
        <w:tc>
          <w:tcPr>
            <w:tcW w:type="dxa" w:w="61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Registrar produto, composição e indicação. Não há um único prazo válido para todos; definir por substância e risco. Não extrapolar a tabela de anticoagulantes.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sz w:val="18"/>
        </w:rPr>
        <w:t>Uso de glicocorticoide por mais de 3–4 semanas e acima de aproximadamente 4–6 mg/dia de prednisona equivalente pode causar supressão adrenal. A decisão sobre cobertura depende da exposição, recuperação do eixo e estresse cirúrgico. [11]</w:t>
      </w:r>
    </w:p>
    <w:p>
      <w:r>
        <w:br w:type="page"/>
      </w:r>
    </w:p>
    <w:p>
      <w:bookmarkStart w:id="192" w:name="section_6"/>
      <w:pPr>
        <w:pStyle w:val="Heading1"/>
      </w:pPr>
      <w:r>
        <w:t>Reumatológicos em artroplastia de quadril e joelho</w:t>
      </w:r>
      <w:bookmarkEnd w:id="192"/>
    </w:p>
    <w:p>
      <w:r>
        <w:t>Recomendações condicionais ACR/AAHKS 2022 para adultos com doença reumática submetidos a artroplastia total eletiva de quadril ou joelho. Não extrapolar automaticamente para todas as cirurgias ou para LES grave. Os momentos abaixo são contados desde a última dose. [13]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616"/>
        <w:gridCol w:w="3888"/>
      </w:tblGrid>
      <w:tr>
        <w:trPr>
          <w:cantSplit/>
          <w:tblHeader/>
        </w:trPr>
        <w:tc>
          <w:tcPr>
            <w:tcW w:type="dxa" w:w="5616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Tratamento habitual</w:t>
            </w:r>
          </w:p>
        </w:tc>
        <w:tc>
          <w:tcPr>
            <w:tcW w:type="dxa" w:w="3888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Conduta ou momento da cirurgia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Metotrexato, hidroxicloroquina, sulfassalazina, leflunomida, apremilaste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Manter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Adalimumabe a cada 2 semanas</w:t>
            </w:r>
          </w:p>
        </w:tc>
        <w:tc>
          <w:tcPr>
            <w:tcW w:type="dxa" w:w="3888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Cirurgia na semana 3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Etanercepte semanal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Semana 2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Infliximabe a cada 4 / 6 / 8 semanas</w:t>
            </w:r>
          </w:p>
        </w:tc>
        <w:tc>
          <w:tcPr>
            <w:tcW w:type="dxa" w:w="3888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Semana 5 / 7 / 9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Abatacepte IV mensal / SC semanal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Semana 5 / semana 2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Tocilizumabe SC semanal / IV mensal</w:t>
            </w:r>
          </w:p>
        </w:tc>
        <w:tc>
          <w:tcPr>
            <w:tcW w:type="dxa" w:w="3888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Semana 2 / semana 5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Rituximabe em artrite inflamatória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Mês 7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Tofacitinibe, baricitinibe, upadacitinibe</w:t>
            </w:r>
          </w:p>
        </w:tc>
        <w:tc>
          <w:tcPr>
            <w:tcW w:type="dxa" w:w="3888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Suspender 3 dias completos; operar no dia 4</w:t>
            </w:r>
          </w:p>
        </w:tc>
      </w:tr>
    </w:tbl>
    <w:p>
      <w:pPr>
        <w:spacing w:after="20"/>
      </w:pPr>
    </w:p>
    <w:p>
      <w:r>
        <w:t>Biológicos geralmente são omitidos por um ciclo. Retomar o tratamento suspenso após cicatrização adequada, retirada de suturas ou grampos e ausência de infecção, usualmente em torno de 14 dias. O intervalo dos inibidores de JAK aborda infecção e não elimina risco trombótico. LES grave requer plano próprio com reumatologia. [13]</w:t>
      </w:r>
    </w:p>
    <w:p>
      <w:pPr>
        <w:pStyle w:val="Heading2"/>
      </w:pPr>
      <w:r>
        <w:t>Exemplo de calendário para rivaroxabana</w:t>
      </w:r>
    </w:p>
    <w:p>
      <w:r>
        <w:t>Exemplo didático, com função renal preservada: artroplastia na segunda-feira às 08h, paciente usando rivaroxabana terapêutica às 20h. Omitir sábado, domingo e segunda-feira pela regra dos dois dias completos deixa a última dose na sexta-feira às 20h: intervalo de 60 h. Esse planejamento não atinge as 72 h exigidas para neuroeixo em alta dose. [1, 4, 17]</w:t>
      </w:r>
    </w:p>
    <w:p>
      <w:pPr>
        <w:spacing w:before="120" w:after="160"/>
        <w:shd w:fill="FFF3D7"/>
        <w:pBdr>
          <w:left w:val="single" w:sz="14" w:color="D59522" w:space="8"/>
        </w:pBdr>
        <w:ind w:left="173" w:right="115"/>
      </w:pPr>
      <w:r>
        <w:rPr>
          <w:b/>
        </w:rPr>
        <w:t>Conferir horas além de dias</w:t>
        <w:br/>
      </w:r>
      <w:r>
        <w:t>Se houver raquianestesia às 08h de segunda-feira, a última dose deve ter ocorrido até 08h de sexta-feira para completar 72 h. No esquema habitual das 20h, isso pode exigir que a última tomada seja na quinta-feira às 20h, desde que o plano seja confirmado pela equipe. Não deslocar nem acrescentar dose por conta própria.</w:t>
      </w:r>
    </w:p>
    <w:p>
      <w:pPr>
        <w:pStyle w:val="Heading2"/>
      </w:pPr>
      <w:r>
        <w:t>Aprofundamento para a equipe</w:t>
      </w:r>
    </w:p>
    <w:p>
      <w:pPr>
        <w:spacing w:after="100"/>
        <w:ind w:left="144" w:hanging="144"/>
      </w:pPr>
      <w:r>
        <w:t>• Discutir casos de enoxaparina terapêutica com disfunção renal e cateter peridural.</w:t>
      </w:r>
    </w:p>
    <w:p>
      <w:pPr>
        <w:spacing w:after="100"/>
        <w:ind w:left="144" w:hanging="144"/>
      </w:pPr>
      <w:r>
        <w:t>• Revisar riscos de interromper antiagregantes em stent recente.</w:t>
      </w:r>
    </w:p>
    <w:p>
      <w:pPr>
        <w:spacing w:after="100"/>
        <w:ind w:left="144" w:hanging="144"/>
      </w:pPr>
      <w:r>
        <w:t>• Treinar distinção entre anticoagulação terapêutica, ponte e tromboprofilaxia.</w:t>
      </w:r>
    </w:p>
    <w:p>
      <w:pPr>
        <w:spacing w:after="100"/>
        <w:ind w:left="144" w:hanging="144"/>
      </w:pPr>
      <w:r>
        <w:t>• Revisar ultrassom gástrico e prevenção de cetoacidose euglicêmica no perioperatório.</w:t>
      </w:r>
    </w:p>
    <w:p>
      <w:r>
        <w:br w:type="page"/>
      </w:r>
    </w:p>
    <w:p>
      <w:bookmarkStart w:id="205" w:name="casos"/>
      <w:pPr>
        <w:pStyle w:val="Heading1"/>
      </w:pPr>
      <w:r>
        <w:t>Casos curtos para revisão TEMI</w:t>
      </w:r>
      <w:bookmarkEnd w:id="205"/>
    </w:p>
    <w:p>
      <w:r>
        <w:t>Tente responder antes de ler a explicação. São situações didáticas e não substituem avaliação individual.</w:t>
      </w:r>
    </w:p>
    <w:p>
      <w:pPr>
        <w:pStyle w:val="Heading2"/>
      </w:pPr>
      <w:r>
        <w:t>Caso 1 Betabloqueador</w:t>
      </w:r>
    </w:p>
    <w:p>
      <w:r>
        <w:t>Paciente estável usa carvedilol há meses e fará artroplastia amanhã. Suspender por sete dias?</w:t>
      </w:r>
    </w:p>
    <w:p>
      <w:pPr>
        <w:ind w:left="173"/>
      </w:pPr>
      <w:r>
        <w:t>Resposta  Não. Manutenção habitual, inclusive no dia, se a condição clínica permitir. Reavaliar se houver hipotensão, bradicardia ou choque. [3]</w:t>
      </w:r>
    </w:p>
    <w:p>
      <w:pPr>
        <w:pStyle w:val="Heading2"/>
      </w:pPr>
      <w:r>
        <w:t>Caso 2 Enoxaparina</w:t>
      </w:r>
    </w:p>
    <w:p>
      <w:r>
        <w:t>Duas prescrições: 40 mg/dia e 1 mg/kg a cada 12 h. O intervalo é igual?</w:t>
      </w:r>
    </w:p>
    <w:p>
      <w:pPr>
        <w:ind w:left="173"/>
      </w:pPr>
      <w:r>
        <w:t>Resposta  Não. Com função renal preservada, referência de ≥12 h para profilaxia e ≥24 h para terapia; disfunção renal e cateter mudam o plano. [4, 5]</w:t>
      </w:r>
    </w:p>
    <w:p>
      <w:pPr>
        <w:pStyle w:val="Heading2"/>
      </w:pPr>
      <w:r>
        <w:t>Caso 3 Xarelto e raqui</w:t>
      </w:r>
    </w:p>
    <w:p>
      <w:r>
        <w:t>Rivaroxabana terapêutica tomada sexta às 20h; raqui segunda às 08h. Cumpriu a pausa?</w:t>
      </w:r>
    </w:p>
    <w:p>
      <w:pPr>
        <w:ind w:left="173"/>
      </w:pPr>
      <w:r>
        <w:t>Resposta  São 60 h. Pode corresponder ao esquema cirúrgico de dois dias completos, mas não às ≥72 h para neuroeixo em alta dose. [1, 4]</w:t>
      </w:r>
    </w:p>
    <w:p>
      <w:pPr>
        <w:pStyle w:val="Heading2"/>
      </w:pPr>
      <w:r>
        <w:t>Caso 4 Apixabana reduzida</w:t>
      </w:r>
    </w:p>
    <w:p>
      <w:r>
        <w:t>Apixabana 2,5 mg a cada 12 h por ajuste na fibrilação atrial: aplicar 36 h?</w:t>
      </w:r>
    </w:p>
    <w:p>
      <w:pPr>
        <w:ind w:left="173"/>
      </w:pPr>
      <w:r>
        <w:t>Resposta  Não. A classificação ASRA depende da indicação; esse uso permanece em alta dose, com referência de ≥72 h. [4]</w:t>
      </w:r>
    </w:p>
    <w:p>
      <w:pPr>
        <w:pStyle w:val="Heading2"/>
      </w:pPr>
      <w:r>
        <w:t>Caso 5 Dapagliflozina</w:t>
      </w:r>
    </w:p>
    <w:p>
      <w:r>
        <w:t>Paciente em jejum, após cirurgia, apresenta acidose com glicemia pouco elevada. O uso recente importa?</w:t>
      </w:r>
    </w:p>
    <w:p>
      <w:pPr>
        <w:ind w:left="173"/>
      </w:pPr>
      <w:r>
        <w:t>Resposta  Sim. Considerar cetoacidose euglicêmica associada a iSGLT2 e investigar conforme o quadro. A suspensão eletiva usual é ≥3 dias; não retomar durante jejum ou instabilidade. [7, 8]</w:t>
      </w:r>
    </w:p>
    <w:p>
      <w:pPr>
        <w:pStyle w:val="Heading2"/>
      </w:pPr>
      <w:r>
        <w:t>Caso 6 AAS e coluna</w:t>
      </w:r>
    </w:p>
    <w:p>
      <w:r>
        <w:t>AAS isolado não exige pausa para raqui. Isso libera automaticamente cirurgia de coluna?</w:t>
      </w:r>
    </w:p>
    <w:p>
      <w:pPr>
        <w:ind w:left="173"/>
      </w:pPr>
      <w:r>
        <w:t>Resposta  Não. O bloqueio e a operação têm riscos diferentes. Cirurgia espinal de alto risco pode exigir suspensão ≥7 dias, com avaliação do risco trombótico. [4, 6]</w:t>
      </w:r>
    </w:p>
    <w:p>
      <w:pPr>
        <w:spacing w:before="120" w:after="160"/>
        <w:shd w:fill="FFF3D7"/>
        <w:pBdr>
          <w:left w:val="single" w:sz="14" w:color="D59522" w:space="8"/>
        </w:pBdr>
        <w:ind w:left="173" w:right="115"/>
      </w:pPr>
      <w:r>
        <w:rPr>
          <w:b/>
        </w:rPr>
        <w:t>Por que os prazos diferem</w:t>
        <w:br/>
      </w:r>
      <w:r>
        <w:t>A persistência do efeito depende do mecanismo, da eliminação, da dose e da vulnerabilidade do local operado. A recuperação plaquetária e a eliminação renal não seguem o mesmo relógio.</w:t>
      </w:r>
    </w:p>
    <w:p>
      <w:r>
        <w:br w:type="page"/>
      </w:r>
    </w:p>
    <w:p>
      <w:bookmarkStart w:id="227" w:name="section_7"/>
      <w:pPr>
        <w:pStyle w:val="Heading1"/>
      </w:pPr>
      <w:r>
        <w:t>Plano individual para preencher e validar</w:t>
      </w:r>
      <w:bookmarkEnd w:id="227"/>
    </w:p>
    <w:p>
      <w:r>
        <w:t>Preencher com o paciente e a equipe. Não usar somente expressões como suspender dois dias antes; transformar cada decisão em data e hora e conferir entendimento.</w:t>
      </w:r>
    </w:p>
    <w:p>
      <w:r>
        <w:t>Paciente __________________________________  Identificação __________________</w:t>
      </w:r>
    </w:p>
    <w:p>
      <w:r>
        <w:t>Cirurgia __________________________________  Data e horário __________________</w:t>
      </w:r>
    </w:p>
    <w:p>
      <w:r>
        <w:t>Anestesia _________________________________  Cateter previsto _________________</w:t>
      </w:r>
    </w:p>
    <w:p>
      <w:r>
        <w:t>Peso ______  Creatinina/data _______________  ClCr/método _____________________</w:t>
      </w:r>
    </w:p>
    <w:p>
      <w:r>
        <w:t>Indicação da anticoagulação/antiagregação ______________________________________</w:t>
      </w:r>
    </w:p>
    <w:p>
      <w:r>
        <w:t>Stent e data _____________________________  TEV ou AVC recente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92"/>
        <w:gridCol w:w="2160"/>
        <w:gridCol w:w="2160"/>
        <w:gridCol w:w="2592"/>
      </w:tblGrid>
      <w:tr>
        <w:trPr>
          <w:cantSplit/>
          <w:tblHeader/>
        </w:trPr>
        <w:tc>
          <w:tcPr>
            <w:tcW w:type="dxa" w:w="2592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/>
                <w:color w:val="FFFFFF"/>
                <w:sz w:val="19"/>
              </w:rPr>
              <w:t>Medicamento e dose</w:t>
            </w:r>
          </w:p>
        </w:tc>
        <w:tc>
          <w:tcPr>
            <w:tcW w:type="dxa" w:w="2160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Manter ou ajustar</w:t>
            </w:r>
          </w:p>
        </w:tc>
        <w:tc>
          <w:tcPr>
            <w:tcW w:type="dxa" w:w="2160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Última dose</w:t>
              <w:br/>
              <w:t>data e hora</w:t>
            </w:r>
          </w:p>
        </w:tc>
        <w:tc>
          <w:tcPr>
            <w:tcW w:type="dxa" w:w="2592"/>
            <w:vAlign w:val="center"/>
            <w:shd w:fill="163D60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19"/>
              </w:rPr>
              <w:t>Retomada e responsável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  <w:shd w:fill="EEF4F8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  <w:shd w:fill="FFFFFF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Conferência final</w:t>
      </w:r>
    </w:p>
    <w:p>
      <w:pPr>
        <w:spacing w:after="100"/>
        <w:ind w:left="144" w:hanging="144"/>
      </w:pPr>
      <w:r>
        <w:t>• Lista de medicamentos conciliada, incluindo nomes comerciais e combinações.</w:t>
      </w:r>
    </w:p>
    <w:p>
      <w:pPr>
        <w:spacing w:after="100"/>
        <w:ind w:left="144" w:hanging="144"/>
      </w:pPr>
      <w:r>
        <w:t>• Horário real da última dose confirmado; nenhuma tomada acidental não avaliada.</w:t>
      </w:r>
    </w:p>
    <w:p>
      <w:pPr>
        <w:spacing w:after="100"/>
        <w:ind w:left="144" w:hanging="144"/>
      </w:pPr>
      <w:r>
        <w:t>• Risco hemorrágico, trombótico e função renal considerados.</w:t>
      </w:r>
    </w:p>
    <w:p>
      <w:pPr>
        <w:spacing w:after="100"/>
        <w:ind w:left="144" w:hanging="144"/>
      </w:pPr>
      <w:r>
        <w:t>• Regras de punção, retirada de cateter e retomada registradas separadamente.</w:t>
      </w:r>
    </w:p>
    <w:p>
      <w:pPr>
        <w:spacing w:after="100"/>
        <w:ind w:left="144" w:hanging="144"/>
      </w:pPr>
      <w:r>
        <w:t>• Plano de glicemia, alimentação, insulina e corticoide definido quando aplicável.</w:t>
      </w:r>
    </w:p>
    <w:p>
      <w:pPr>
        <w:spacing w:after="100"/>
        <w:ind w:left="144" w:hanging="144"/>
      </w:pPr>
      <w:r>
        <w:t>• Tromboprofilaxia e responsável pela reintrodução documentados.</w:t>
      </w:r>
    </w:p>
    <w:p>
      <w:pPr>
        <w:spacing w:after="100"/>
        <w:ind w:left="144" w:hanging="144"/>
      </w:pPr>
      <w:r>
        <w:t>• Paciente consegue repetir o plano com suas próprias palavras e sabe quem contatar.</w:t>
      </w:r>
    </w:p>
    <w:p>
      <w:r>
        <w:t>Revisão por anestesiologia __________________________  Data __________________</w:t>
      </w:r>
    </w:p>
    <w:p>
      <w:r>
        <w:t>Revisão por cirurgia / clínica ________________________  Data __________________</w:t>
      </w:r>
    </w:p>
    <w:p>
      <w:pPr>
        <w:spacing w:after="100"/>
      </w:pPr>
      <w:r>
        <w:rPr>
          <w:sz w:val="18"/>
        </w:rPr>
        <w:t>Este formulário não contém dados reais. Campos de assinatura estão vazios e não representam aprovação institucional. As três imagens associadas são resumos; conservar o documento junto aos quadros para consultar exceções e fontes.</w:t>
      </w:r>
    </w:p>
    <w:p>
      <w:r>
        <w:br w:type="page"/>
      </w:r>
    </w:p>
    <w:p>
      <w:bookmarkStart w:id="248" w:name="referencias"/>
      <w:pPr>
        <w:pStyle w:val="Heading1"/>
      </w:pPr>
      <w:r>
        <w:t>Referências e critérios de atualização</w:t>
      </w:r>
      <w:bookmarkEnd w:id="248"/>
    </w:p>
    <w:p>
      <w:r>
        <w:t>Fontes consultadas em 11/09/2026. Preferidas diretrizes de sociedades e documentos institucionais. A síntese foi adaptada para português e para leitura rápida; não reproduz integralmente nenhum protocolo de terceiros.</w:t>
      </w:r>
    </w:p>
    <w:p>
      <w:pPr>
        <w:pStyle w:val="Heading2"/>
      </w:pPr>
      <w:r>
        <w:t>Quando há divergência</w:t>
      </w:r>
    </w:p>
    <w:p>
      <w:r>
        <w:t>Neuroeixo segue ASRA 5ª edição. Secretagogos seguem SBD 2026; a diferença em relação à ADA foi registrada. GLP 1 inclui a nota SBA de maio de 2026. AINEs, lítio e estimulantes preservam as divergências institucionais. As datas de acesso não tornam uma diretriz antiga recém-publicada.</w:t>
      </w:r>
    </w:p>
    <w:p>
      <w:pPr>
        <w:keepNext/>
        <w:spacing w:after="60"/>
      </w:pPr>
      <w:r>
        <w:t>[1] ACC. Perioperative Management of DOACs Key Points. 2024. Esquema para risco hemorrágico cirúrgico; para neuroeixo, priorizada ASRA 5ª edição.</w:t>
      </w:r>
    </w:p>
    <w:p>
      <w:pPr>
        <w:spacing w:after="80"/>
      </w:pPr>
      <w:hyperlink r:id="rId14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[2] Douketis JD et al. CHEST 2022. Perioperative Management of Antithrombotic Therapy. Interrupção, ponte e retomada.</w:t>
      </w:r>
    </w:p>
    <w:p>
      <w:pPr>
        <w:spacing w:after="80"/>
      </w:pPr>
      <w:hyperlink r:id="rId15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[3] AHA/ACC e sociedades colaboradoras. Diretriz perioperatória cardiovascular 2024. Seções 7.1, 7.2, 7.5 e 7.7; tabela 12.</w:t>
      </w:r>
    </w:p>
    <w:p>
      <w:pPr>
        <w:spacing w:after="80"/>
      </w:pPr>
      <w:hyperlink r:id="rId16">
        <w:r>
          <w:rPr>
            <w:color w:val="164B75"/>
            <w:u w:val="single"/>
          </w:rPr>
          <w:t>Abrir fonte 1</w:t>
        </w:r>
      </w:hyperlink>
    </w:p>
    <w:p>
      <w:pPr>
        <w:spacing w:after="80"/>
      </w:pPr>
      <w:hyperlink r:id="rId17">
        <w:r>
          <w:rPr>
            <w:color w:val="164B75"/>
            <w:u w:val="single"/>
          </w:rPr>
          <w:t>Abrir fonte 2</w:t>
        </w:r>
      </w:hyperlink>
    </w:p>
    <w:p>
      <w:pPr>
        <w:keepNext/>
        <w:spacing w:after="60"/>
      </w:pPr>
      <w:r>
        <w:t>[4] Kopp SL et al. ASRA Evidence Based Guidelines 5ª edição. 2025. Tabela 1 e seções de DOACs, heparinas, antiagregantes e varfarina. Texto primário consultado também em cópia PDF espelhada.</w:t>
      </w:r>
    </w:p>
    <w:p>
      <w:pPr>
        <w:spacing w:after="80"/>
      </w:pPr>
      <w:hyperlink r:id="rId18">
        <w:r>
          <w:rPr>
            <w:color w:val="164B75"/>
            <w:u w:val="single"/>
          </w:rPr>
          <w:t>Abrir fonte 1</w:t>
        </w:r>
      </w:hyperlink>
    </w:p>
    <w:p>
      <w:pPr>
        <w:spacing w:after="80"/>
      </w:pPr>
      <w:hyperlink r:id="rId19">
        <w:r>
          <w:rPr>
            <w:color w:val="164B75"/>
            <w:u w:val="single"/>
          </w:rPr>
          <w:t>Abrir fonte 2</w:t>
        </w:r>
      </w:hyperlink>
    </w:p>
    <w:p>
      <w:pPr>
        <w:keepNext/>
        <w:spacing w:after="60"/>
      </w:pPr>
      <w:r>
        <w:t>[5] UKCPA Handbook of Perioperative Medicines. Enoxaparin. Referência operacional por dose e técnica.</w:t>
      </w:r>
    </w:p>
    <w:p>
      <w:pPr>
        <w:spacing w:after="80"/>
      </w:pPr>
      <w:hyperlink r:id="rId20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[6] ESC. Guidelines on cardiovascular assessment and management of patients undergoing non cardiac surgery. 2022. AAS em cirurgia espinal e retomada de antiagregantes.</w:t>
      </w:r>
    </w:p>
    <w:p>
      <w:pPr>
        <w:spacing w:after="80"/>
      </w:pPr>
      <w:hyperlink r:id="rId21">
        <w:r>
          <w:rPr>
            <w:color w:val="164B75"/>
            <w:u w:val="single"/>
          </w:rPr>
          <w:t>Abrir fonte 1</w:t>
        </w:r>
      </w:hyperlink>
    </w:p>
    <w:p>
      <w:pPr>
        <w:spacing w:after="80"/>
      </w:pPr>
      <w:hyperlink r:id="rId22">
        <w:r>
          <w:rPr>
            <w:color w:val="164B75"/>
            <w:u w:val="single"/>
          </w:rPr>
          <w:t>Abrir fonte 2</w:t>
        </w:r>
      </w:hyperlink>
    </w:p>
    <w:p>
      <w:pPr>
        <w:keepNext/>
        <w:spacing w:after="60"/>
      </w:pPr>
      <w:r>
        <w:t>[7] American Diabetes Association. Diabetes Care in the Hospital Standards of Care in Diabetes 2026. Seção perioperatória.</w:t>
      </w:r>
    </w:p>
    <w:p>
      <w:pPr>
        <w:spacing w:after="80"/>
      </w:pPr>
      <w:hyperlink r:id="rId23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[8] SBD/SBA/ABESO. Rastreamento e controle da hiperglicemia no perioperatório. Diretriz SBD 2026. Recomendações R4–R6 e notas sobre iSGLT2.</w:t>
      </w:r>
    </w:p>
    <w:p>
      <w:pPr>
        <w:spacing w:after="80"/>
      </w:pPr>
      <w:hyperlink r:id="rId24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[9] SBA. Nota C.SBA 01744/2026 de 15 de maio de 2026 sobre GLP 1 e GIP/GLP 1. Itens 3–6 e tabela comparativa; texto reconhece necessidade de decisão individual.</w:t>
      </w:r>
    </w:p>
    <w:p>
      <w:pPr>
        <w:spacing w:after="80"/>
      </w:pPr>
      <w:hyperlink r:id="rId25">
        <w:r>
          <w:rPr>
            <w:color w:val="164B75"/>
            <w:u w:val="single"/>
          </w:rPr>
          <w:t>Abrir fonte</w:t>
        </w:r>
      </w:hyperlink>
    </w:p>
    <w:p>
      <w:r>
        <w:br w:type="page"/>
      </w:r>
    </w:p>
    <w:p>
      <w:pPr>
        <w:pStyle w:val="Heading1"/>
      </w:pPr>
      <w:r>
        <w:t>Referências complementares</w:t>
      </w:r>
    </w:p>
    <w:p>
      <w:pPr>
        <w:keepNext/>
        <w:spacing w:after="60"/>
      </w:pPr>
      <w:r>
        <w:t>[10] UCLA Anesthesiology. What Medications Should Patients Take Before Surgery. Apoio operacional para diuréticos.</w:t>
      </w:r>
    </w:p>
    <w:p>
      <w:pPr>
        <w:spacing w:after="80"/>
      </w:pPr>
      <w:hyperlink r:id="rId26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[11] ESE/Endocrine Society. Glucocorticoid Induced Adrenal Insufficiency. 2024. Risco por exposição e cobertura de estresse.</w:t>
      </w:r>
    </w:p>
    <w:p>
      <w:pPr>
        <w:spacing w:after="80"/>
      </w:pPr>
      <w:hyperlink r:id="rId27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[12a–e] UKCPA Handbook. Monografias de ibuprofeno, diclofenaco, naproxeno, celecoxibe e meloxicam. Apoio prático; algumas monografias exibem revisão antiga. Confirmar protocolo local.</w:t>
      </w:r>
    </w:p>
    <w:p>
      <w:pPr>
        <w:spacing w:after="80"/>
      </w:pPr>
      <w:hyperlink r:id="rId28">
        <w:r>
          <w:rPr>
            <w:color w:val="164B75"/>
            <w:u w:val="single"/>
          </w:rPr>
          <w:t>Ibuprofeno</w:t>
        </w:r>
      </w:hyperlink>
    </w:p>
    <w:p>
      <w:pPr>
        <w:spacing w:after="80"/>
      </w:pPr>
      <w:hyperlink r:id="rId29">
        <w:r>
          <w:rPr>
            <w:color w:val="164B75"/>
            <w:u w:val="single"/>
          </w:rPr>
          <w:t>Diclofenaco</w:t>
        </w:r>
      </w:hyperlink>
    </w:p>
    <w:p>
      <w:pPr>
        <w:spacing w:after="80"/>
      </w:pPr>
      <w:hyperlink r:id="rId30">
        <w:r>
          <w:rPr>
            <w:color w:val="164B75"/>
            <w:u w:val="single"/>
          </w:rPr>
          <w:t>Naproxeno</w:t>
        </w:r>
      </w:hyperlink>
    </w:p>
    <w:p>
      <w:pPr>
        <w:spacing w:after="80"/>
      </w:pPr>
      <w:hyperlink r:id="rId31">
        <w:r>
          <w:rPr>
            <w:color w:val="164B75"/>
            <w:u w:val="single"/>
          </w:rPr>
          <w:t>Celecoxibe</w:t>
        </w:r>
      </w:hyperlink>
    </w:p>
    <w:p>
      <w:pPr>
        <w:spacing w:after="80"/>
      </w:pPr>
      <w:hyperlink r:id="rId32">
        <w:r>
          <w:rPr>
            <w:color w:val="164B75"/>
            <w:u w:val="single"/>
          </w:rPr>
          <w:t>Meloxicam</w:t>
        </w:r>
      </w:hyperlink>
    </w:p>
    <w:p>
      <w:pPr>
        <w:keepNext/>
        <w:spacing w:after="60"/>
      </w:pPr>
      <w:r>
        <w:t>[13] ACR/AAHKS. Guideline for the Perioperative Management of Antirheumatic Medication. 2022. Tabelas 2–3. A pasta de hospedagem em 2026 não altera o ano da diretriz.</w:t>
      </w:r>
    </w:p>
    <w:p>
      <w:pPr>
        <w:spacing w:after="80"/>
      </w:pPr>
      <w:hyperlink r:id="rId33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[14] AAOS. Management of Hip Fractures in Older Adults. 2021. Momento da cirurgia e cuidado interdisciplinar.</w:t>
      </w:r>
    </w:p>
    <w:p>
      <w:pPr>
        <w:spacing w:after="80"/>
      </w:pPr>
      <w:hyperlink r:id="rId34">
        <w:r>
          <w:rPr>
            <w:color w:val="164B75"/>
            <w:u w:val="single"/>
          </w:rPr>
          <w:t>Abrir fonte</w:t>
        </w:r>
      </w:hyperlink>
    </w:p>
    <w:p>
      <w:pPr>
        <w:keepNext/>
        <w:spacing w:after="60"/>
      </w:pPr>
      <w:r>
        <w:t>[15] UKCPA Lithium e VMFH Perioperative Medication Administration Guideline 2021. Fontes com prazos divergentes para cirurgia maior.</w:t>
      </w:r>
    </w:p>
    <w:p>
      <w:pPr>
        <w:spacing w:after="80"/>
      </w:pPr>
      <w:hyperlink r:id="rId35">
        <w:r>
          <w:rPr>
            <w:color w:val="164B75"/>
            <w:u w:val="single"/>
          </w:rPr>
          <w:t>Abrir fonte 1</w:t>
        </w:r>
      </w:hyperlink>
    </w:p>
    <w:p>
      <w:pPr>
        <w:spacing w:after="80"/>
      </w:pPr>
      <w:hyperlink r:id="rId36">
        <w:r>
          <w:rPr>
            <w:color w:val="164B75"/>
            <w:u w:val="single"/>
          </w:rPr>
          <w:t>Abrir fonte 2</w:t>
        </w:r>
      </w:hyperlink>
    </w:p>
    <w:p>
      <w:pPr>
        <w:keepNext/>
        <w:spacing w:after="60"/>
      </w:pPr>
      <w:r>
        <w:t>[16] UKCPA Lisdexamfetamine e Chesapeake Regional Perioperative Medication Guidelines revisão junho 2025. Condutas divergentes para estimulantes.</w:t>
      </w:r>
    </w:p>
    <w:p>
      <w:pPr>
        <w:spacing w:after="80"/>
      </w:pPr>
      <w:hyperlink r:id="rId37">
        <w:r>
          <w:rPr>
            <w:color w:val="164B75"/>
            <w:u w:val="single"/>
          </w:rPr>
          <w:t>Abrir fonte 1</w:t>
        </w:r>
      </w:hyperlink>
    </w:p>
    <w:p>
      <w:pPr>
        <w:spacing w:after="80"/>
      </w:pPr>
      <w:hyperlink r:id="rId38">
        <w:r>
          <w:rPr>
            <w:color w:val="164B75"/>
            <w:u w:val="single"/>
          </w:rPr>
          <w:t>Abrir fonte 2</w:t>
        </w:r>
      </w:hyperlink>
    </w:p>
    <w:p>
      <w:pPr>
        <w:keepNext/>
        <w:spacing w:after="60"/>
      </w:pPr>
      <w:r>
        <w:t>[17] Douketis JD et al. Estudo PAUSE. JAMA Internal Medicine 2019. Calendário de interrupção de DOACs.</w:t>
      </w:r>
    </w:p>
    <w:p>
      <w:pPr>
        <w:spacing w:after="80"/>
      </w:pPr>
      <w:hyperlink r:id="rId39">
        <w:r>
          <w:rPr>
            <w:color w:val="164B75"/>
            <w:u w:val="single"/>
          </w:rPr>
          <w:t>Abrir fonte</w:t>
        </w:r>
      </w:hyperlink>
    </w:p>
    <w:p>
      <w:pPr>
        <w:pStyle w:val="Heading2"/>
      </w:pPr>
      <w:r>
        <w:t>Revisão do material</w:t>
      </w:r>
    </w:p>
    <w:p>
      <w:r>
        <w:t>Texto e imagens passaram por conferência documental e visual assistida por IA. Permanecem pendentes revisão médica humana e aprovação institucional. Reavaliar diante de nova diretriz, mudança do protocolo local ou atualização das condições clínicas.</w:t>
      </w:r>
    </w:p>
    <w:p>
      <w:pPr>
        <w:pStyle w:val="Heading2"/>
      </w:pPr>
      <w:r>
        <w:t>Produção das imagens</w:t>
      </w:r>
    </w:p>
    <w:p>
      <w:r>
        <w:t>Três imagens produzidas com a ferramenta nativa image_gen, a partir das tabelas desta síntese. Os prompts completos acompanham o pacote de arquivos. As imagens não contêm dados de pacientes.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07" w:right="1080" w:bottom="907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Prévia educacional em revisão médica  •  11/09/2026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TURBO TEMI 360X  |  MEDICAMENTOS E CIRURGIA ORTOPÉDICA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4" w:lineRule="auto" w:after="12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acc.org/Latest-in-Cardiology/ten-points-to-remember/2024/08/15/15/36/perioperative-management-of" TargetMode="External"/><Relationship Id="rId15" Type="http://schemas.openxmlformats.org/officeDocument/2006/relationships/hyperlink" Target="https://doi.org/10.1016/j.chest.2022.07.025" TargetMode="External"/><Relationship Id="rId16" Type="http://schemas.openxmlformats.org/officeDocument/2006/relationships/hyperlink" Target="https://doi.org/10.1161/CIR.0000000000001285" TargetMode="External"/><Relationship Id="rId17" Type="http://schemas.openxmlformats.org/officeDocument/2006/relationships/hyperlink" Target="https://www.heart.org/-/media/PHD-Files-2/Science-News/2/2024/2024-Guideline-for-Perioperative-Cardiovascular-Management-slide-set.pdf" TargetMode="External"/><Relationship Id="rId18" Type="http://schemas.openxmlformats.org/officeDocument/2006/relationships/hyperlink" Target="https://doi.org/10.1136/rapm-2024-105766" TargetMode="External"/><Relationship Id="rId19" Type="http://schemas.openxmlformats.org/officeDocument/2006/relationships/hyperlink" Target="https://www.swa10.com/uploads/6/1/4/3/61438899/anticoag___regional.asra.2024.pdf" TargetMode="External"/><Relationship Id="rId20" Type="http://schemas.openxmlformats.org/officeDocument/2006/relationships/hyperlink" Target="https://periop-handbook.ukclinicalpharmacy.org/drug/enoxaparin/" TargetMode="External"/><Relationship Id="rId21" Type="http://schemas.openxmlformats.org/officeDocument/2006/relationships/hyperlink" Target="https://doi.org/10.1093/eurheartj/ehac270" TargetMode="External"/><Relationship Id="rId22" Type="http://schemas.openxmlformats.org/officeDocument/2006/relationships/hyperlink" Target="https://www.ucl.ac.uk/anaesthesia/sites/anaesthesia/files/ehac270-2.pdf" TargetMode="External"/><Relationship Id="rId23" Type="http://schemas.openxmlformats.org/officeDocument/2006/relationships/hyperlink" Target="https://doi.org/10.2337/dc26-S016" TargetMode="External"/><Relationship Id="rId24" Type="http://schemas.openxmlformats.org/officeDocument/2006/relationships/hyperlink" Target="https://diretriz.diabetes.org.br/rastreamento-e-controle-da-hiperglicemia-no-perioperatorio/" TargetMode="External"/><Relationship Id="rId25" Type="http://schemas.openxmlformats.org/officeDocument/2006/relationships/hyperlink" Target="https://www.sbahq.org/wp-content/uploads/2026/05/C1744_26.pdf" TargetMode="External"/><Relationship Id="rId26" Type="http://schemas.openxmlformats.org/officeDocument/2006/relationships/hyperlink" Target="https://www.uclahealth.org/departments/anes/referring-providers/what-medications-should-patients-take-before-surgery" TargetMode="External"/><Relationship Id="rId27" Type="http://schemas.openxmlformats.org/officeDocument/2006/relationships/hyperlink" Target="https://www.endocrine.org/clinical-practice-guidelines/glucocorticoid-induced-adrenal-insufficiency" TargetMode="External"/><Relationship Id="rId28" Type="http://schemas.openxmlformats.org/officeDocument/2006/relationships/hyperlink" Target="https://periop-handbook.ukclinicalpharmacy.org/drug/ibuprofen/" TargetMode="External"/><Relationship Id="rId29" Type="http://schemas.openxmlformats.org/officeDocument/2006/relationships/hyperlink" Target="https://periop-handbook.ukclinicalpharmacy.org/drug/diclofenac/" TargetMode="External"/><Relationship Id="rId30" Type="http://schemas.openxmlformats.org/officeDocument/2006/relationships/hyperlink" Target="https://periop-handbook.ukclinicalpharmacy.org/drug/naproxen/" TargetMode="External"/><Relationship Id="rId31" Type="http://schemas.openxmlformats.org/officeDocument/2006/relationships/hyperlink" Target="https://periop-handbook.ukclinicalpharmacy.org/drug/celecoxib/" TargetMode="External"/><Relationship Id="rId32" Type="http://schemas.openxmlformats.org/officeDocument/2006/relationships/hyperlink" Target="https://periop-handbook.ukclinicalpharmacy.org/drug/meloxicam/" TargetMode="External"/><Relationship Id="rId33" Type="http://schemas.openxmlformats.org/officeDocument/2006/relationships/hyperlink" Target="https://www.aahks.org/wp-content/uploads/2026/03/Periop-Management-of-Antirheumatic-Drugs.pdf" TargetMode="External"/><Relationship Id="rId34" Type="http://schemas.openxmlformats.org/officeDocument/2006/relationships/hyperlink" Target="https://www.aaos.org/hipfxcpg" TargetMode="External"/><Relationship Id="rId35" Type="http://schemas.openxmlformats.org/officeDocument/2006/relationships/hyperlink" Target="https://periop-handbook.ukclinicalpharmacy.org/drug/lithium/" TargetMode="External"/><Relationship Id="rId36" Type="http://schemas.openxmlformats.org/officeDocument/2006/relationships/hyperlink" Target="https://www.vmfh.org/content/dam/vmfhorg/pdf/legacy-chi/website-files/medical-staff/files/2021PerioperativeMedicationAdministrationGuideline2021.06.15.pdf" TargetMode="External"/><Relationship Id="rId37" Type="http://schemas.openxmlformats.org/officeDocument/2006/relationships/hyperlink" Target="https://periop-handbook.ukclinicalpharmacy.org/drug/lisdexamfetamnine/" TargetMode="External"/><Relationship Id="rId38" Type="http://schemas.openxmlformats.org/officeDocument/2006/relationships/hyperlink" Target="https://chesapeakeregional.com/sites/default/files/2025-11/Perioperative%20Medication%20Guidelines%20rev.%206-2025.pdf" TargetMode="External"/><Relationship Id="rId39" Type="http://schemas.openxmlformats.org/officeDocument/2006/relationships/hyperlink" Target="https://jamanetwork.com/journals/jamainternalmedicine/fullarticle/2740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Turbo TEMI 360X Manejo perioperatório de medicamentos em ortopedia</dc:title>
  <dc:subject>Prévia educacional em revisão médica com imagens e tabelas editáveis</dc:subject>
  <dc:creator/>
  <cp:keywords>TEMI, ortopedia, perioperatório, medicações, TDAH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