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⚡ PROTOCOLO DE ABORDAGEM DA BRADICARDIA EM UTI</w:t>
      </w:r>
    </w:p>
    <w:p>
      <w:pPr>
        <w:jc w:val="center"/>
      </w:pPr>
      <w:r>
        <w:rPr>
          <w:rFonts w:ascii="Arial" w:hAnsi="Arial" w:eastAsia="Arial"/>
          <w:color w:val="404040"/>
          <w:sz w:val="24"/>
        </w:rPr>
        <w:t>Diagnóstico rápido, estabilização hemodinâmica, atropina, marcapasso, drogas vasoativas e causas reversíveis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9"/>
              </w:rPr>
              <w:t>Versão: maio/2026 | Adultos | Foco: UTI, emergência intra-hospitalar e paciente monitorizado</w:t>
            </w:r>
          </w:p>
        </w:tc>
      </w:tr>
    </w:tbl>
    <w:p>
      <w:pPr>
        <w:jc w:val="center"/>
      </w:pPr>
      <w:r>
        <w:rPr>
          <w:rFonts w:ascii="Arial" w:hAnsi="Arial" w:eastAsia="Arial"/>
          <w:i/>
          <w:sz w:val="20"/>
        </w:rPr>
        <w:br/>
        <w:t>Resumo executivo: bradicardia só é emergência quando causa ou acompanha instabilidade. O objetivo não é “normalizar número”, e sim restaurar perfusão, identificar causa reversível e decidir se o paciente precisa de cronotropismo farmacológico, marcapasso temporário ou correção definitiva.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⚠️ Escopo: protocolo de apoio para médico em ambiente de UTI. Não substitui diretrizes oficiais, consulta à cardiologia/eletrofisiologia, toxicologia, nefrologia ou protocolos institucionais. Pediatria e ACLS pediátrico não estão incluídos.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Pergunta crítica</w:t>
            </w:r>
          </w:p>
        </w:tc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Conduta imediata</w:t>
            </w:r>
          </w:p>
        </w:tc>
      </w:tr>
      <w:tr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Tem pulso?</w:t>
            </w:r>
          </w:p>
        </w:tc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Sem pulso = PCR: iniciar algoritmo de PCR. Com pulso = seguir abordagem de bradicardia.</w:t>
            </w:r>
          </w:p>
        </w:tc>
      </w:tr>
      <w:tr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Há instabilidade?</w:t>
            </w:r>
          </w:p>
        </w:tc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Hipotensão, rebaixamento agudo, choque, dor isquêmica, edema agudo/IC aguda.</w:t>
            </w:r>
          </w:p>
        </w:tc>
      </w:tr>
      <w:tr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Instável?</w:t>
            </w:r>
          </w:p>
        </w:tc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ABCDE + monitor + ECG + acesso + atropina 1 mg IV; preparar marcapasso e adrenalina/dopamina.</w:t>
            </w:r>
          </w:p>
        </w:tc>
      </w:tr>
      <w:tr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Refratária ou BAV avançado?</w:t>
            </w:r>
          </w:p>
        </w:tc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Marcapasso transcutâneo/transvenoso + especialista + tratar causa: K+, IAM, drogas, hipóxia, intoxicação.</w:t>
            </w:r>
          </w:p>
        </w:tc>
      </w:tr>
    </w:tbl>
    <w:p>
      <w:pPr>
        <w:jc w:val="center"/>
      </w:pPr>
      <w:r>
        <w:rPr>
          <w:rFonts w:ascii="Arial" w:hAnsi="Arial" w:eastAsia="Arial"/>
          <w:b/>
          <w:i/>
          <w:color w:val="1F4E79"/>
          <w:sz w:val="22"/>
        </w:rPr>
        <w:br/>
        <w:t>“Na UTI, bradicardia é uma síndrome: ritmo + perfusão + causa reversível.”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Sumário rápido</w:t>
      </w:r>
    </w:p>
    <w:p>
      <w:pPr>
        <w:pStyle w:val="ListBullet"/>
      </w:pPr>
      <w:r>
        <w:rPr>
          <w:rFonts w:ascii="Arial" w:hAnsi="Arial" w:eastAsia="Arial"/>
        </w:rPr>
        <w:t>1. Definição operacional e critérios de gravidade</w:t>
      </w:r>
    </w:p>
    <w:p>
      <w:pPr>
        <w:pStyle w:val="ListBullet"/>
      </w:pPr>
      <w:r>
        <w:rPr>
          <w:rFonts w:ascii="Arial" w:hAnsi="Arial" w:eastAsia="Arial"/>
        </w:rPr>
        <w:t>2. Algoritmo de 60 segundos no leito</w:t>
      </w:r>
    </w:p>
    <w:p>
      <w:pPr>
        <w:pStyle w:val="ListBullet"/>
      </w:pPr>
      <w:r>
        <w:rPr>
          <w:rFonts w:ascii="Arial" w:hAnsi="Arial" w:eastAsia="Arial"/>
        </w:rPr>
        <w:t>3. Diagnóstico eletrocardiográfico prático</w:t>
      </w:r>
    </w:p>
    <w:p>
      <w:pPr>
        <w:pStyle w:val="ListBullet"/>
      </w:pPr>
      <w:r>
        <w:rPr>
          <w:rFonts w:ascii="Arial" w:hAnsi="Arial" w:eastAsia="Arial"/>
        </w:rPr>
        <w:t>4. Causas reversíveis em UTI</w:t>
      </w:r>
    </w:p>
    <w:p>
      <w:pPr>
        <w:pStyle w:val="ListBullet"/>
      </w:pPr>
      <w:r>
        <w:rPr>
          <w:rFonts w:ascii="Arial" w:hAnsi="Arial" w:eastAsia="Arial"/>
        </w:rPr>
        <w:t>5. Tratamento da bradicardia instável</w:t>
      </w:r>
    </w:p>
    <w:p>
      <w:pPr>
        <w:pStyle w:val="ListBullet"/>
      </w:pPr>
      <w:r>
        <w:rPr>
          <w:rFonts w:ascii="Arial" w:hAnsi="Arial" w:eastAsia="Arial"/>
        </w:rPr>
        <w:t>6. Marcapasso transcutâneo e transvenoso</w:t>
      </w:r>
    </w:p>
    <w:p>
      <w:pPr>
        <w:pStyle w:val="ListBullet"/>
      </w:pPr>
      <w:r>
        <w:rPr>
          <w:rFonts w:ascii="Arial" w:hAnsi="Arial" w:eastAsia="Arial"/>
        </w:rPr>
        <w:t>7. Drogas e diluições úteis na UTI</w:t>
      </w:r>
    </w:p>
    <w:p>
      <w:pPr>
        <w:pStyle w:val="ListBullet"/>
      </w:pPr>
      <w:r>
        <w:rPr>
          <w:rFonts w:ascii="Arial" w:hAnsi="Arial" w:eastAsia="Arial"/>
        </w:rPr>
        <w:t>8. Cenários especiais: hipercalemia, BRASH, intoxicações, IAM, pós-operatório, neuro</w:t>
      </w:r>
    </w:p>
    <w:p>
      <w:pPr>
        <w:pStyle w:val="ListBullet"/>
      </w:pPr>
      <w:r>
        <w:rPr>
          <w:rFonts w:ascii="Arial" w:hAnsi="Arial" w:eastAsia="Arial"/>
        </w:rPr>
        <w:t>9. Prescrição/ordens prontas e evolução modelo</w:t>
      </w:r>
    </w:p>
    <w:p>
      <w:pPr>
        <w:pStyle w:val="ListBullet"/>
      </w:pPr>
      <w:r>
        <w:rPr>
          <w:rFonts w:ascii="Arial" w:hAnsi="Arial" w:eastAsia="Arial"/>
        </w:rPr>
        <w:t>10. Checklists, armadilhas e referências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💡 Como usar no plantão: leia primeiro o algoritmo de 60 segundos, depois vá à tabela do ECG e à seção de causas reversíveis. Em paciente instável, não espere laboratório para iniciar suporte e preparar marcapasso.</w:t>
            </w:r>
          </w:p>
        </w:tc>
      </w:tr>
    </w:tbl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1. Definição operacional e critérios de gravidade</w:t>
      </w:r>
    </w:p>
    <w:p>
      <w:r>
        <w:rPr>
          <w:rFonts w:ascii="Arial" w:hAnsi="Arial" w:eastAsia="Arial"/>
          <w:b/>
        </w:rPr>
        <w:t xml:space="preserve">Bradicardia </w:t>
      </w:r>
      <w:r>
        <w:rPr>
          <w:rFonts w:ascii="Arial" w:hAnsi="Arial" w:eastAsia="Arial"/>
        </w:rPr>
        <w:t>é frequência cardíaca baixa para o contexto clínico. Em ACLS adulto, a bradiarritmia clinicamente relevante costuma ser considerada quando a FC está tipicamente abaixo de 50/min, mas a decisão depende de perfusão, ritmo, comorbidades, drogas e reserva fisiológica.</w:t>
      </w:r>
      <w:r>
        <w:rPr>
          <w:rFonts w:ascii="Arial" w:hAnsi="Arial" w:eastAsia="Arial"/>
          <w:color w:val="666666"/>
          <w:sz w:val="16"/>
        </w:rPr>
        <w:t xml:space="preserve"> [1]</w:t>
      </w:r>
    </w:p>
    <w:p>
      <w:pPr>
        <w:pStyle w:val="Heading2"/>
      </w:pPr>
      <w:r>
        <w:rPr>
          <w:rFonts w:ascii="Arial" w:hAnsi="Arial" w:eastAsia="Arial"/>
        </w:rPr>
        <w:t>1.1. O que torna a bradicardia uma emergência?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Sinais práticos no leito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Interpretação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Hipotensão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PAS baixa, PAM &lt;65, queda abrupta, necessidade de vasopressor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Bradicardia pode estar reduzindo débito cardíaco.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Choque/hipoperfusão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Pele fria, livedo, oligúria, lactato, alteração de consciência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Tratar como bradicardia instável até prova em contrário.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Estado mental alterado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Sonolência, confusão, síncope, agitação nova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Sugere hipoperfusão cerebral.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Dor torácica/isquemia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Angina, supra/infra ST, troponina, arritmia pós-IAM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Priorizar ECG 12 derivações e reperfusão quando indicado.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IC aguda/EAP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Dispneia, crepitações, hipoxemia, congestão, edema pulmonar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FC baixa pode piorar DC e congestão.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⚡ Regra de ouro: “bradicardia + hipoperfusão = trate agora”. ECG e investigação correm em paralelo; não devem atrasar suporte hemodinâmico.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1.2. Classificação prática para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Conduta geral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Risco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Assintomática/esperada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Atleta, sono, vagotonia, pós-sedação leve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Observar, revisar drogas, ECG, eletrólitos se contexto exigir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Baixo se ECG benigno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Sintomática estável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Tontura, fraqueza, pré-síncope sem choque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Monitor, ECG, acesso, causas reversíveis; considerar atropina se piora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Moderado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Instável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Hipotensão, choque, rebaixamento, isquemia, IC aguda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ABCDE + atropina + preparar marcapasso e catecolamina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Alto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Bradicardia de alto risco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Mobitz II, BAVT, QRS largo, hipercalemia, intoxicação, pós-IAM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Especialista precoce; não atrasar marcapasso/correção da causa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Muito alto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2. Algoritmo de 60 segundos no leito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9"/>
              </w:rPr>
              <w:t>🚨 Sequência operacional: PULSO → PERFUSÃO → MONITOR → ECG → CAUSA → TERAPIA</w:t>
            </w:r>
          </w:p>
        </w:tc>
      </w:tr>
    </w:tbl>
    <w:p>
      <w:pPr>
        <w:ind w:left="346" w:hanging="288"/>
      </w:pPr>
      <w:r>
        <w:rPr>
          <w:rFonts w:ascii="Arial" w:hAnsi="Arial" w:eastAsia="Arial"/>
          <w:b/>
        </w:rPr>
        <w:t xml:space="preserve">1. Confirmar pulso e perfusão: </w:t>
      </w:r>
      <w:r>
        <w:rPr>
          <w:rFonts w:ascii="Arial" w:hAnsi="Arial" w:eastAsia="Arial"/>
        </w:rPr>
        <w:t>Sem pulso = PCR. Com pulso, avalie PAM, consciência, pele, diurese, lactato, dor torácica e sinais de IC.</w:t>
      </w:r>
    </w:p>
    <w:p>
      <w:pPr>
        <w:ind w:left="346" w:hanging="288"/>
      </w:pPr>
      <w:r>
        <w:rPr>
          <w:rFonts w:ascii="Arial" w:hAnsi="Arial" w:eastAsia="Arial"/>
          <w:b/>
        </w:rPr>
        <w:t xml:space="preserve">2. Chamar ajuda e preparar ambiente: </w:t>
      </w:r>
      <w:r>
        <w:rPr>
          <w:rFonts w:ascii="Arial" w:hAnsi="Arial" w:eastAsia="Arial"/>
        </w:rPr>
        <w:t>Equipe à beira-leito, carrinho de emergência, desfibrilador com função marcapasso, acesso venoso calibroso/IO.</w:t>
      </w:r>
    </w:p>
    <w:p>
      <w:pPr>
        <w:ind w:left="346" w:hanging="288"/>
      </w:pPr>
      <w:r>
        <w:rPr>
          <w:rFonts w:ascii="Arial" w:hAnsi="Arial" w:eastAsia="Arial"/>
          <w:b/>
        </w:rPr>
        <w:t xml:space="preserve">3. ABCDE: </w:t>
      </w:r>
      <w:r>
        <w:rPr>
          <w:rFonts w:ascii="Arial" w:hAnsi="Arial" w:eastAsia="Arial"/>
        </w:rPr>
        <w:t>Via aérea, oxigênio se hipoxemia, ventilação se necessário, monitorização contínua, PA seriada ou invasiva, glicemia capilar.</w:t>
      </w:r>
    </w:p>
    <w:p>
      <w:pPr>
        <w:ind w:left="346" w:hanging="288"/>
      </w:pPr>
      <w:r>
        <w:rPr>
          <w:rFonts w:ascii="Arial" w:hAnsi="Arial" w:eastAsia="Arial"/>
          <w:b/>
        </w:rPr>
        <w:t xml:space="preserve">4. ECG 12 derivações sem atrasar tratamento: </w:t>
      </w:r>
      <w:r>
        <w:rPr>
          <w:rFonts w:ascii="Arial" w:hAnsi="Arial" w:eastAsia="Arial"/>
        </w:rPr>
        <w:t>Identificar BAV, isquemia, hipercalemia, QRS largo, escape ventricular, intoxicações.</w:t>
      </w:r>
    </w:p>
    <w:p>
      <w:pPr>
        <w:ind w:left="346" w:hanging="288"/>
      </w:pPr>
      <w:r>
        <w:rPr>
          <w:rFonts w:ascii="Arial" w:hAnsi="Arial" w:eastAsia="Arial"/>
          <w:b/>
        </w:rPr>
        <w:t xml:space="preserve">5. Se instável: atropina + preparar terapia de resgate: </w:t>
      </w:r>
      <w:r>
        <w:rPr>
          <w:rFonts w:ascii="Arial" w:hAnsi="Arial" w:eastAsia="Arial"/>
        </w:rPr>
        <w:t>Atropina 1 mg IV bolus, repetir a cada 3-5 min até 3 mg; preparar marcapasso transcutâneo e adrenalina/dopamina.</w:t>
      </w:r>
    </w:p>
    <w:p>
      <w:pPr>
        <w:ind w:left="346" w:hanging="288"/>
      </w:pPr>
      <w:r>
        <w:rPr>
          <w:rFonts w:ascii="Arial" w:hAnsi="Arial" w:eastAsia="Arial"/>
          <w:b/>
        </w:rPr>
        <w:t xml:space="preserve">6. Tratar causa reversível agressivamente: </w:t>
      </w:r>
      <w:r>
        <w:rPr>
          <w:rFonts w:ascii="Arial" w:hAnsi="Arial" w:eastAsia="Arial"/>
        </w:rPr>
        <w:t>Hipercalemia, hipóxia, IAM, intoxicação por bloqueadores nodais/digoxina, hipothermia, aumento de PIC, vagal, sedativos.</w:t>
      </w:r>
    </w:p>
    <w:p>
      <w:pPr>
        <w:ind w:left="346" w:hanging="288"/>
      </w:pPr>
      <w:r>
        <w:rPr>
          <w:rFonts w:ascii="Arial" w:hAnsi="Arial" w:eastAsia="Arial"/>
          <w:b/>
        </w:rPr>
        <w:t xml:space="preserve">7. Reavaliar a cada 2-5 min: </w:t>
      </w:r>
      <w:r>
        <w:rPr>
          <w:rFonts w:ascii="Arial" w:hAnsi="Arial" w:eastAsia="Arial"/>
        </w:rPr>
        <w:t>FC é secundária: o alvo real é perfusão, PAM, nível de consciência, débito urinário e resolução da causa.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🧠 Mnemônico nerd: “B.R.A.D.Y.” = Bomba/perfusão, Ritmo, Acesso/ABCDE, Drogas/pacing, Yield da causa reversível.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3. Diagnóstico eletrocardiográfico prático</w:t>
      </w:r>
    </w:p>
    <w:p>
      <w:pPr>
        <w:pStyle w:val="Heading2"/>
      </w:pPr>
      <w:r>
        <w:rPr>
          <w:rFonts w:ascii="Arial" w:hAnsi="Arial" w:eastAsia="Arial"/>
        </w:rPr>
        <w:t>3.1. Perguntas rápidas no ECG</w:t>
      </w:r>
    </w:p>
    <w:p>
      <w:pPr>
        <w:pStyle w:val="ListBullet"/>
      </w:pPr>
      <w:r>
        <w:rPr>
          <w:rFonts w:ascii="Arial" w:hAnsi="Arial" w:eastAsia="Arial"/>
        </w:rPr>
        <w:t>O ritmo é regular ou irregular?</w:t>
      </w:r>
    </w:p>
    <w:p>
      <w:pPr>
        <w:pStyle w:val="ListBullet"/>
      </w:pPr>
      <w:r>
        <w:rPr>
          <w:rFonts w:ascii="Arial" w:hAnsi="Arial" w:eastAsia="Arial"/>
        </w:rPr>
        <w:t>Há onda P antes de cada QRS? A P é sinusal?</w:t>
      </w:r>
    </w:p>
    <w:p>
      <w:pPr>
        <w:pStyle w:val="ListBullet"/>
      </w:pPr>
      <w:r>
        <w:rPr>
          <w:rFonts w:ascii="Arial" w:hAnsi="Arial" w:eastAsia="Arial"/>
        </w:rPr>
        <w:t>O PR é fixo, progressivo ou dissociado?</w:t>
      </w:r>
    </w:p>
    <w:p>
      <w:pPr>
        <w:pStyle w:val="ListBullet"/>
      </w:pPr>
      <w:r>
        <w:rPr>
          <w:rFonts w:ascii="Arial" w:hAnsi="Arial" w:eastAsia="Arial"/>
        </w:rPr>
        <w:t>Há mais ondas P do que QRS? Existe bloqueio 2:1, alto grau ou completo?</w:t>
      </w:r>
    </w:p>
    <w:p>
      <w:pPr>
        <w:pStyle w:val="ListBullet"/>
      </w:pPr>
      <w:r>
        <w:rPr>
          <w:rFonts w:ascii="Arial" w:hAnsi="Arial" w:eastAsia="Arial"/>
        </w:rPr>
        <w:t>O QRS é estreito ou largo? Escape ventricular/QRS largo aumenta risco.</w:t>
      </w:r>
    </w:p>
    <w:p>
      <w:pPr>
        <w:pStyle w:val="ListBullet"/>
      </w:pPr>
      <w:r>
        <w:rPr>
          <w:rFonts w:ascii="Arial" w:hAnsi="Arial" w:eastAsia="Arial"/>
        </w:rPr>
        <w:t>Há sinais de hipercalemia: T apiculada, PR prolongado, QRS alargado, onda sine-wave?</w:t>
      </w:r>
    </w:p>
    <w:p>
      <w:pPr>
        <w:pStyle w:val="ListBullet"/>
      </w:pPr>
      <w:r>
        <w:rPr>
          <w:rFonts w:ascii="Arial" w:hAnsi="Arial" w:eastAsia="Arial"/>
        </w:rPr>
        <w:t>Há sinais de IAM: supra/infra ST, bloqueio novo, ritmo juncional pós-IAM inferior?</w:t>
      </w:r>
    </w:p>
    <w:p>
      <w:pPr>
        <w:pStyle w:val="Heading2"/>
      </w:pPr>
      <w:r>
        <w:rPr>
          <w:rFonts w:ascii="Arial" w:hAnsi="Arial" w:eastAsia="Arial"/>
        </w:rPr>
        <w:t>3.2. Tabela de interpretação e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Ritmo/achado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Pista no ECG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Risco em UTI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Conduta-chave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Bradicardia sinusal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P sinusal antes de cada QRS, PR constante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Baixo a alto conforme perfusão e causa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Revisar sedação, vagal, hipóxia, drogas, hipotermia, PIC; tratar se instável.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Ritmo juncional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QRS estreito, P ausente/invertida, FC 40-60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Moderado se hipotenso ou pós-IAM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Atropina pode ajudar; investigar isquemia/inferior, drogas, eletrólitos.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BAV 1º grau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PR &gt;200 ms, todos P conduzem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Geralmente baixo isolado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Observar; revisar bloqueadores nodais e eletrólitos.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Mobitz I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PR prolonga progressivamente até QRS cair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Geralmente nodal; risco variável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Se instável, tratar; procurar IAM inferior/vagal/drogas.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Mobitz II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PR fixo com QRS bloqueados; frequentemente QRS largo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Alto: pode evoluir para BAVT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Não atrasar marcapasso; especialista.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BAV alto grau/BAVT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Mais P que QRS, dissociação AV, escape lento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Muito alto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Marcapasso transcutâneo/transvenoso + causa reversível.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FA/flutter com resposta lenta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Irregular, ausência de P organizada ou flutter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Depende de perfusão e drogas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Revisar digoxina, beta-bloq, CCB, amiodarona; checar K/Mg/renal.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⚠️ ECG de alto risco: BAV Mobitz II, BAV alto grau, BAV total, QRS largo, escape ventricular lento, bradicardia com hipercalemia ou intoxicação. Nesses cenários, atropina não deve atrasar pacing/correção da causa.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4. Causas reversíveis em UTI: checklist “não perca”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Grupo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Exemplos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Pistas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Ação imediata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Hipóxia/ventilação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IOT obstruída, pneumotórax, aspiração, hipoventilação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SpO2 baixa, EtCO2, gasometria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Corrigir via aérea, VM, POCUS, RX, drenagem se PTX.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Eletrólitos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Hipercalemia, hipocalcemia, hipermagnesemia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QRS largo, T apiculada, DRC, IRA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Cálcio IV se ECG/K alto; insulinoglicose, beta-agonista, diálise.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Isquemia/IAM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IAM inferior, VD, pós-angioplastia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Dor, supra/infra ST, troponina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ECG seriado, cardiologia, reperfusão, evitar bloqueadores nodais.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Drogas UTI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Beta-bloq, verapamil/diltiazem, amiodarona, dexmedetomidina, propofol, opioides, clonidina, digoxina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Mudança após dose/infusão, IRA, associação de drogas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Suspender/reduzir, antídotos específicos, suporte.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Tóxico/metabólico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BB/CCB overdose, digoxina, lítio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Choque refratário, hiperglicemia CCB, K alterado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Toxicologia, cálcio, glucagon, HIET, Fab se digoxina grave.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BRASH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Bradicardia + IRA + bloqueador AV + choque + hipercalemia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K nem sempre “muito alto”; bradi desproporcional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Cálcio, insulinoglicose, volume/diurese/diálise, adrenalina, suspender drogas.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Hipotermia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Exposição, sepse, pós-PCR, ambiente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Temperatura central baixa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Reaquecimento; cuidado com arritmias e drogas.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Neuro/PIC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HIC, AVC, TCE, hidrocefalia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HAS + bradi + respiração irregular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Tratar hipertensão intracraniana, TC/neurocirurgia.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Vagal/reflexa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Aspiração traqueal, vômitos, dor, globo vesical, pressão ocular/carotídea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Temporal com estímulo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Remover gatilho, analgesia, atropina se necessário.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Endócrino/infeccioso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Hipotireoidismo, mixedema, sepse, adrenal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Hipotermia, hiponatremia, choque, TSH/T4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Tratar causa; reposição hormonal quando indicado.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Pós-procedimento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TAVR, cirurgia cardíaca, ablação, cateterismo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Bloqueio novo, fios epicárdicos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3"/>
              </w:rPr>
              <w:t>Usar fios se disponíveis; cardiologia/eletro.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4.1. Medicamentos que podem induzir ou piorar bradicardia/condução</w:t>
      </w:r>
    </w:p>
    <w:p>
      <w:r>
        <w:rPr>
          <w:rFonts w:ascii="Arial" w:hAnsi="Arial" w:eastAsia="Arial"/>
        </w:rPr>
        <w:t>A diretriz ACC/AHA/HRS lista classes como beta-bloqueadores, clonidina, metildopa, bloqueadores de canal de cálcio não diidropiridínicos, antiarrítmicos, donepezila, lítio, opioides, fenotiazinas, fenitoína, ISRS, tricíclicos, anestésicos como propofol, cannabis, digoxina, ivabradina e relaxantes musculares como succinilcolina como potenciais causadores/exacerbadores de bradicardia ou distúrbios de condução.</w:t>
      </w:r>
      <w:r>
        <w:rPr>
          <w:rFonts w:ascii="Arial" w:hAnsi="Arial" w:eastAsia="Arial"/>
          <w:color w:val="666666"/>
          <w:sz w:val="16"/>
        </w:rPr>
        <w:t xml:space="preserve"> [2]</w:t>
      </w:r>
    </w:p>
    <w:p>
      <w:pPr>
        <w:pStyle w:val="Heading1"/>
      </w:pPr>
      <w:r>
        <w:rPr>
          <w:rFonts w:ascii="Arial" w:hAnsi="Arial" w:eastAsia="Arial"/>
        </w:rPr>
        <w:t>5. Tratamento da bradicardia instável</w:t>
      </w:r>
    </w:p>
    <w:p>
      <w:pPr>
        <w:pStyle w:val="Heading2"/>
      </w:pPr>
      <w:r>
        <w:rPr>
          <w:rFonts w:ascii="Arial" w:hAnsi="Arial" w:eastAsia="Arial"/>
        </w:rPr>
        <w:t>5.1. Conduta baseada no algoritmo ACLS adulto</w:t>
      </w:r>
    </w:p>
    <w:p>
      <w:r>
        <w:rPr>
          <w:rFonts w:ascii="Arial" w:hAnsi="Arial" w:eastAsia="Arial"/>
        </w:rPr>
        <w:t>A American Heart Association recomenda, na bradicardia com pulso e comprometimento cardiopulmonar, suporte inicial com via aérea/oxigênio/ventilação se necessário, monitorização, ECG e tratamento de causas; se a bradicardia persistir com comprometimento, usar atropina e, se ineficaz, marcapasso transcutâneo e/ou infusão de dopamina ou epinefrina; considerar especialista e marcapasso transvenoso.</w:t>
      </w:r>
      <w:r>
        <w:rPr>
          <w:rFonts w:ascii="Arial" w:hAnsi="Arial" w:eastAsia="Arial"/>
          <w:color w:val="666666"/>
          <w:sz w:val="16"/>
        </w:rPr>
        <w:t xml:space="preserve"> [1]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Intervenção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Dose inicial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Quando usar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Observações críticas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Atropina IV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1 mg bolus; repetir 3-5 min; máximo 3 mg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Primeira linha em bradicardia sintomática/instável enquanto prepara resgate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Pode falhar em BAV infranodal/BAVT; não atrasar pacing.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Marcapasso transcutâneo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FC 60-80/min; mA até captura + margem 5-10 mA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Instabilidade, falha de atropina, BAV avançado, QRS largo/escape lento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Confirmar captura mecânica: pulso, PA, curva arterial/pleth. Analgesia/sedação.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Epinefrina IV contínua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2-10 mcg/min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Alternativa/ponte para pacing; choque, BRASH, bradicardia com hipotensão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Titular por PAM/perfusão. Preferir bomba e monitorização contínua.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Dopamina IV contínua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5-20 mcg/kg/min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Alternativa para bradicardia com hipotensão se epinefrina não disponível/adequada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Aumenta FC/contratilidade; risco de taquiarritmia/isquemia.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🚨 Não espere “fechar diagnóstico” para tratar choque. Se bradicardia + choque, faça suporte imediato e trate a causa provável em paralelo.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5.2. Alvos de resposta</w:t>
      </w:r>
    </w:p>
    <w:p>
      <w:pPr>
        <w:pStyle w:val="ListBullet"/>
      </w:pPr>
      <w:r>
        <w:rPr>
          <w:rFonts w:ascii="Arial" w:hAnsi="Arial" w:eastAsia="Arial"/>
        </w:rPr>
        <w:t>PAM ≥65 mmHg ou alvo individual, com melhora de perfusão periférica e nível de consciência.</w:t>
      </w:r>
    </w:p>
    <w:p>
      <w:pPr>
        <w:pStyle w:val="ListBullet"/>
      </w:pPr>
      <w:r>
        <w:rPr>
          <w:rFonts w:ascii="Arial" w:hAnsi="Arial" w:eastAsia="Arial"/>
        </w:rPr>
        <w:t>Pulso/captura mecânica confiável, preferencialmente com curva arterial ou pleth adequada.</w:t>
      </w:r>
    </w:p>
    <w:p>
      <w:pPr>
        <w:pStyle w:val="ListBullet"/>
      </w:pPr>
      <w:r>
        <w:rPr>
          <w:rFonts w:ascii="Arial" w:hAnsi="Arial" w:eastAsia="Arial"/>
        </w:rPr>
        <w:t>Redução de lactato/oligúria ao longo do tempo, sem isquemia induzida por catecolamina.</w:t>
      </w:r>
    </w:p>
    <w:p>
      <w:pPr>
        <w:pStyle w:val="ListBullet"/>
      </w:pPr>
      <w:r>
        <w:rPr>
          <w:rFonts w:ascii="Arial" w:hAnsi="Arial" w:eastAsia="Arial"/>
        </w:rPr>
        <w:t>Correção da causa: potássio, hipóxia, intoxicação, IAM, medicação, hipotermia, PIC.</w:t>
      </w:r>
    </w:p>
    <w:p>
      <w:pPr>
        <w:pStyle w:val="Heading1"/>
      </w:pPr>
      <w:r>
        <w:rPr>
          <w:rFonts w:ascii="Arial" w:hAnsi="Arial" w:eastAsia="Arial"/>
        </w:rPr>
        <w:t>6. Marcapasso transcutâneo e transvenoso</w:t>
      </w:r>
    </w:p>
    <w:p>
      <w:pPr>
        <w:pStyle w:val="Heading2"/>
      </w:pPr>
      <w:r>
        <w:rPr>
          <w:rFonts w:ascii="Arial" w:hAnsi="Arial" w:eastAsia="Arial"/>
        </w:rPr>
        <w:t>6.1. Marcapasso transcutâneo: passo a passo</w:t>
      </w:r>
    </w:p>
    <w:p>
      <w:pPr>
        <w:ind w:left="317" w:hanging="259"/>
      </w:pPr>
      <w:r>
        <w:rPr>
          <w:rFonts w:ascii="Arial" w:hAnsi="Arial" w:eastAsia="Arial"/>
          <w:b/>
        </w:rPr>
        <w:t xml:space="preserve">1. </w:t>
      </w:r>
      <w:r>
        <w:rPr>
          <w:rFonts w:ascii="Arial" w:hAnsi="Arial" w:eastAsia="Arial"/>
        </w:rPr>
        <w:t>Posicionar pás adesivas em anterolateral ou anteroposterior; conectar ao desfibrilador em modo pacing.</w:t>
      </w:r>
    </w:p>
    <w:p>
      <w:pPr>
        <w:ind w:left="317" w:hanging="259"/>
      </w:pPr>
      <w:r>
        <w:rPr>
          <w:rFonts w:ascii="Arial" w:hAnsi="Arial" w:eastAsia="Arial"/>
          <w:b/>
        </w:rPr>
        <w:t xml:space="preserve">2. </w:t>
      </w:r>
      <w:r>
        <w:rPr>
          <w:rFonts w:ascii="Arial" w:hAnsi="Arial" w:eastAsia="Arial"/>
        </w:rPr>
        <w:t>Monitorar ECG, oximetria, PA frequente/invasiva; deixar material de via aérea e analgesia disponíveis.</w:t>
      </w:r>
    </w:p>
    <w:p>
      <w:pPr>
        <w:ind w:left="317" w:hanging="259"/>
      </w:pPr>
      <w:r>
        <w:rPr>
          <w:rFonts w:ascii="Arial" w:hAnsi="Arial" w:eastAsia="Arial"/>
          <w:b/>
        </w:rPr>
        <w:t xml:space="preserve">3. </w:t>
      </w:r>
      <w:r>
        <w:rPr>
          <w:rFonts w:ascii="Arial" w:hAnsi="Arial" w:eastAsia="Arial"/>
        </w:rPr>
        <w:t>Selecionar frequência inicial 60-80/min. Em choque profundo, pode ser necessário 80-90/min temporariamente.</w:t>
      </w:r>
    </w:p>
    <w:p>
      <w:pPr>
        <w:ind w:left="317" w:hanging="259"/>
      </w:pPr>
      <w:r>
        <w:rPr>
          <w:rFonts w:ascii="Arial" w:hAnsi="Arial" w:eastAsia="Arial"/>
          <w:b/>
        </w:rPr>
        <w:t xml:space="preserve">4. </w:t>
      </w:r>
      <w:r>
        <w:rPr>
          <w:rFonts w:ascii="Arial" w:hAnsi="Arial" w:eastAsia="Arial"/>
        </w:rPr>
        <w:t>Aumentar corrente até captura elétrica; confirmar captura mecânica por pulso central, PA, curva arterial ou pleth.</w:t>
      </w:r>
    </w:p>
    <w:p>
      <w:pPr>
        <w:ind w:left="317" w:hanging="259"/>
      </w:pPr>
      <w:r>
        <w:rPr>
          <w:rFonts w:ascii="Arial" w:hAnsi="Arial" w:eastAsia="Arial"/>
          <w:b/>
        </w:rPr>
        <w:t xml:space="preserve">5. </w:t>
      </w:r>
      <w:r>
        <w:rPr>
          <w:rFonts w:ascii="Arial" w:hAnsi="Arial" w:eastAsia="Arial"/>
        </w:rPr>
        <w:t>Programar 5-10 mA acima do limiar de captura para reduzir perda de captura.</w:t>
      </w:r>
    </w:p>
    <w:p>
      <w:pPr>
        <w:ind w:left="317" w:hanging="259"/>
      </w:pPr>
      <w:r>
        <w:rPr>
          <w:rFonts w:ascii="Arial" w:hAnsi="Arial" w:eastAsia="Arial"/>
          <w:b/>
        </w:rPr>
        <w:t xml:space="preserve">6. </w:t>
      </w:r>
      <w:r>
        <w:rPr>
          <w:rFonts w:ascii="Arial" w:hAnsi="Arial" w:eastAsia="Arial"/>
        </w:rPr>
        <w:t>Analgesia/sedação se consciente: o procedimento dói. Usar doses pequenas e tituladas conforme perfusão e via aérea.</w:t>
      </w:r>
    </w:p>
    <w:p>
      <w:pPr>
        <w:ind w:left="317" w:hanging="259"/>
      </w:pPr>
      <w:r>
        <w:rPr>
          <w:rFonts w:ascii="Arial" w:hAnsi="Arial" w:eastAsia="Arial"/>
          <w:b/>
        </w:rPr>
        <w:t xml:space="preserve">7. </w:t>
      </w:r>
      <w:r>
        <w:rPr>
          <w:rFonts w:ascii="Arial" w:hAnsi="Arial" w:eastAsia="Arial"/>
        </w:rPr>
        <w:t>Chamar cardiologia/eletrofisiologia para marcapasso transvenoso se necessidade persistente ou bloqueio de alto risco.</w:t>
      </w:r>
    </w:p>
    <w:p>
      <w:pPr>
        <w:pStyle w:val="Heading2"/>
      </w:pPr>
      <w:r>
        <w:rPr>
          <w:rFonts w:ascii="Arial" w:hAnsi="Arial" w:eastAsia="Arial"/>
        </w:rPr>
        <w:t>6.2. Sinais de captura verdadeira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Sinal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O que procurar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Cuidado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Captura elétrica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Espícula seguida de QRS largo e onda T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Pode haver artefato que parece QRS.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Captura mecânica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Pulso central sincronizado, PA melhora, curva arterial/pleth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Não confiar apenas no monitor.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Perfusão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Consciência, pele, lactato, diurese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FC “bonita” sem perfusão não resolve.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Estabilidade do limiar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Captura mantida com movimento/respiração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Rechecar após transporte, banho, mudança de decúbito.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6.3. Quando considerar marcapasso transvenoso urgente</w:t>
      </w:r>
    </w:p>
    <w:p>
      <w:pPr>
        <w:pStyle w:val="ListBullet"/>
      </w:pPr>
      <w:r>
        <w:rPr>
          <w:rFonts w:ascii="Arial" w:hAnsi="Arial" w:eastAsia="Arial"/>
        </w:rPr>
        <w:t>Bradicardia instável refratária a atropina/catecolamina ou dependente de marcapasso transcutâneo.</w:t>
      </w:r>
    </w:p>
    <w:p>
      <w:pPr>
        <w:pStyle w:val="ListBullet"/>
      </w:pPr>
      <w:r>
        <w:rPr>
          <w:rFonts w:ascii="Arial" w:hAnsi="Arial" w:eastAsia="Arial"/>
        </w:rPr>
        <w:t>BAV Mobitz II, BAV alto grau ou BAV total, especialmente com QRS largo ou escape ventricular lento.</w:t>
      </w:r>
    </w:p>
    <w:p>
      <w:pPr>
        <w:pStyle w:val="ListBullet"/>
      </w:pPr>
      <w:r>
        <w:rPr>
          <w:rFonts w:ascii="Arial" w:hAnsi="Arial" w:eastAsia="Arial"/>
        </w:rPr>
        <w:t>Bloqueio AV pós-IAM, pós-TAVR, pós-cirurgia cardíaca ou pós-ablação com instabilidade.</w:t>
      </w:r>
    </w:p>
    <w:p>
      <w:pPr>
        <w:pStyle w:val="ListBullet"/>
      </w:pPr>
      <w:r>
        <w:rPr>
          <w:rFonts w:ascii="Arial" w:hAnsi="Arial" w:eastAsia="Arial"/>
        </w:rPr>
        <w:t>Toxicidade por drogas ou distúrbio metabólico com bradicardia prolongada enquanto correção/antídoto não fazem efeito.</w:t>
      </w:r>
    </w:p>
    <w:p>
      <w:pPr>
        <w:pStyle w:val="ListBullet"/>
      </w:pPr>
      <w:r>
        <w:rPr>
          <w:rFonts w:ascii="Arial" w:hAnsi="Arial" w:eastAsia="Arial"/>
        </w:rPr>
        <w:t>Necessidade prevista de suporte por horas/dias ou intolerância ao transcutâneo.</w:t>
      </w:r>
    </w:p>
    <w:p>
      <w:r>
        <w:rPr>
          <w:rFonts w:ascii="Arial" w:hAnsi="Arial" w:eastAsia="Arial"/>
        </w:rPr>
        <w:t>A diretriz ACC/AHA/HRS destaca que, em pacientes criticamente enfermos por bradicardia com instabilidade apesar de terapia médica, marcapasso transcutâneo e estratégias de pacing temporário/transvenoso são opções conforme disponibilidade e necessidade de suporte prolongado.</w:t>
      </w:r>
      <w:r>
        <w:rPr>
          <w:rFonts w:ascii="Arial" w:hAnsi="Arial" w:eastAsia="Arial"/>
          <w:color w:val="666666"/>
          <w:sz w:val="16"/>
        </w:rPr>
        <w:t xml:space="preserve"> [2]</w:t>
      </w:r>
    </w:p>
    <w:p>
      <w:pPr>
        <w:pStyle w:val="Heading1"/>
      </w:pPr>
      <w:r>
        <w:rPr>
          <w:rFonts w:ascii="Arial" w:hAnsi="Arial" w:eastAsia="Arial"/>
        </w:rPr>
        <w:t>7. Drogas e diluições úteis na UTI</w:t>
      </w:r>
    </w:p>
    <w:p>
      <w:pPr>
        <w:pStyle w:val="Heading2"/>
      </w:pPr>
      <w:r>
        <w:rPr>
          <w:rFonts w:ascii="Arial" w:hAnsi="Arial" w:eastAsia="Arial"/>
        </w:rPr>
        <w:t>7.1. Doses essenciais do ACLS adulto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Fármaco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Dose ACLS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Preparo prático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Alertas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Atropina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1 mg IV bolus; repetir 3-5 min; máx. 3 mg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Ampola usual 0,25-0,5-1 mg/mL conforme serviço; administrar em bolus IV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Não insistir se BAV infranodal/alto grau; preparar pacing.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Epinefrina/adrenalina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2-10 mcg/min IV contínuo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1 mg/250 mL = 4 mcg/mL ou 4 mg/250 mL = 16 mcg/mL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Titular; risco de isquemia/taquiarritmia.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Dopamina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5-20 mcg/kg/min IV contínuo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400 mg/250 mL = 1600 mcg/mL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5"/>
              </w:rPr>
              <w:t>Titular; cuidado em isquemia/taquiarritmias.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7.2. Epinefrina em mL/h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Dose desejada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Diluição 1 mg/250 mL = 4 mcg/mL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Diluição 4 mg/250 mL = 16 mcg/mL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2 mcg/min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30 mL/h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7.5 mL/h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4 mcg/min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60 mL/h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15.0 mL/h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6 mcg/min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90 mL/h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22.5 mL/h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8 mcg/min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120 mL/h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30.0 mL/h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10 mcg/min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150 mL/h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37.5 mL/h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7.3. Dopamina 400 mg/250 mL em mL/h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Dose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50 kg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70 kg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90 kg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5 mcg/kg/min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9.4 mL/h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13.1 mL/h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16.9 mL/h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10 mcg/kg/min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18.8 mL/h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26.2 mL/h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33.8 mL/h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15 mcg/kg/min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28.1 mL/h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39.4 mL/h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50.6 mL/h</w:t>
            </w:r>
          </w:p>
        </w:tc>
      </w:tr>
      <w:tr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20 mcg/kg/min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37.5 mL/h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52.5 mL/h</w:t>
            </w:r>
          </w:p>
        </w:tc>
        <w:tc>
          <w:tcPr>
            <w:tcW w:type="dxa" w:w="26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67.5 mL/h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🧮 Fórmula: mL/h = dose × peso × 60 ÷ concentração. Sempre conferir concentração local, bomba, via, compatibilidade e dupla checagem.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8. Cenários especiais de alto rendimento em UTI</w:t>
      </w:r>
    </w:p>
    <w:p>
      <w:pPr>
        <w:pStyle w:val="Heading2"/>
      </w:pPr>
      <w:r>
        <w:rPr>
          <w:rFonts w:ascii="Arial" w:hAnsi="Arial" w:eastAsia="Arial"/>
        </w:rPr>
        <w:t>8.1. Hipercalemia com bradicardia/QRS largo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9"/>
              </w:rPr>
              <w:t>⚠️ Se ECG sugere hipercalemia, cálcio IV vem antes de “esperar o potássio”.</w:t>
            </w:r>
          </w:p>
        </w:tc>
      </w:tr>
    </w:tbl>
    <w:p>
      <w:pPr>
        <w:pStyle w:val="ListBullet"/>
      </w:pPr>
      <w:r>
        <w:rPr>
          <w:rFonts w:ascii="Arial" w:hAnsi="Arial" w:eastAsia="Arial"/>
        </w:rPr>
        <w:t>Estabilizar membrana: gluconato de cálcio 10% 10-30 mL IV em 5-10 min; repetir se ECG não melhorar. Cloreto de cálcio 10% 10 mL é opção preferencial em acesso central/choque profundo, conforme protocolo.</w:t>
      </w:r>
    </w:p>
    <w:p>
      <w:pPr>
        <w:pStyle w:val="ListBullet"/>
      </w:pPr>
      <w:r>
        <w:rPr>
          <w:rFonts w:ascii="Arial" w:hAnsi="Arial" w:eastAsia="Arial"/>
        </w:rPr>
        <w:t>Shift intracelular: insulina regular 10 U IV + glicose conforme glicemia; salbutamol nebulizado em dose alta; bicarbonato se acidose metabólica importante.</w:t>
      </w:r>
    </w:p>
    <w:p>
      <w:pPr>
        <w:pStyle w:val="ListBullet"/>
      </w:pPr>
      <w:r>
        <w:rPr>
          <w:rFonts w:ascii="Arial" w:hAnsi="Arial" w:eastAsia="Arial"/>
        </w:rPr>
        <w:t>Remoção de potássio: diurético se diurese/reserva renal, resinas/quelantes quando apropriado, hemodiálise se IRA/DRC, hipercalemia grave ou refratária.</w:t>
      </w:r>
    </w:p>
    <w:p>
      <w:pPr>
        <w:pStyle w:val="ListBullet"/>
      </w:pPr>
      <w:r>
        <w:rPr>
          <w:rFonts w:ascii="Arial" w:hAnsi="Arial" w:eastAsia="Arial"/>
        </w:rPr>
        <w:t>Evitar atrasar diálise quando bradicardia/choque/ECG grave persistem.</w:t>
      </w:r>
    </w:p>
    <w:p>
      <w:pPr>
        <w:pStyle w:val="Heading2"/>
      </w:pPr>
      <w:r>
        <w:rPr>
          <w:rFonts w:ascii="Arial" w:hAnsi="Arial" w:eastAsia="Arial"/>
        </w:rPr>
        <w:t>8.2. Síndrome BRASH</w:t>
      </w:r>
    </w:p>
    <w:p>
      <w:r>
        <w:rPr>
          <w:rFonts w:ascii="Arial" w:hAnsi="Arial" w:eastAsia="Arial"/>
          <w:b/>
        </w:rPr>
        <w:t xml:space="preserve">BRASH = </w:t>
      </w:r>
      <w:r>
        <w:rPr>
          <w:rFonts w:ascii="Arial" w:hAnsi="Arial" w:eastAsia="Arial"/>
        </w:rPr>
        <w:t>Bradycardia, Renal failure, AV-nodal blocker, Shock, Hyperkalemia. O ponto central é sinergia: potássio discretamente/moderadamente elevado + beta-bloqueador/CCB/digoxina + insuficiência renal pode gerar bradicardia profunda desproporcional.</w:t>
      </w:r>
    </w:p>
    <w:p>
      <w:pPr>
        <w:pStyle w:val="ListBullet"/>
      </w:pPr>
      <w:r>
        <w:rPr>
          <w:rFonts w:ascii="Arial" w:hAnsi="Arial" w:eastAsia="Arial"/>
        </w:rPr>
        <w:t>Suspender bloqueadores AV, IECA/BRA/espironolactona e fontes de potássio.</w:t>
      </w:r>
    </w:p>
    <w:p>
      <w:pPr>
        <w:pStyle w:val="ListBullet"/>
      </w:pPr>
      <w:r>
        <w:rPr>
          <w:rFonts w:ascii="Arial" w:hAnsi="Arial" w:eastAsia="Arial"/>
        </w:rPr>
        <w:t>Tratar hipercalemia agressivamente com cálcio + shift + remoção.</w:t>
      </w:r>
    </w:p>
    <w:p>
      <w:pPr>
        <w:pStyle w:val="ListBullet"/>
      </w:pPr>
      <w:r>
        <w:rPr>
          <w:rFonts w:ascii="Arial" w:hAnsi="Arial" w:eastAsia="Arial"/>
        </w:rPr>
        <w:t>Reposição volêmica se hipovolêmico; diurese/diálise conforme contexto.</w:t>
      </w:r>
    </w:p>
    <w:p>
      <w:pPr>
        <w:pStyle w:val="ListBullet"/>
      </w:pPr>
      <w:r>
        <w:rPr>
          <w:rFonts w:ascii="Arial" w:hAnsi="Arial" w:eastAsia="Arial"/>
        </w:rPr>
        <w:t>Epinefrina em baixa dose pode ser útil como cronotrópico/vasopressor enquanto corrige a fisiopatologia.</w:t>
      </w:r>
    </w:p>
    <w:p>
      <w:pPr>
        <w:pStyle w:val="ListBullet"/>
      </w:pPr>
      <w:r>
        <w:rPr>
          <w:rFonts w:ascii="Arial" w:hAnsi="Arial" w:eastAsia="Arial"/>
        </w:rPr>
        <w:t>Atropina frequentemente falha porque o mecanismo não é puramente vagal.</w:t>
      </w:r>
    </w:p>
    <w:p>
      <w:pPr>
        <w:pStyle w:val="Heading2"/>
      </w:pPr>
      <w:r>
        <w:rPr>
          <w:rFonts w:ascii="Arial" w:hAnsi="Arial" w:eastAsia="Arial"/>
        </w:rPr>
        <w:t>8.3. Intoxicação por beta-bloqueador ou bloqueador de canal de cálcio</w:t>
      </w:r>
    </w:p>
    <w:p>
      <w:pPr>
        <w:pStyle w:val="ListBullet"/>
      </w:pPr>
      <w:r>
        <w:rPr>
          <w:rFonts w:ascii="Arial" w:hAnsi="Arial" w:eastAsia="Arial"/>
        </w:rPr>
        <w:t>Chamar Centro de Informação Toxicológica/toxicologia e considerar UTI/ECMO em choque refratário.</w:t>
      </w:r>
    </w:p>
    <w:p>
      <w:pPr>
        <w:pStyle w:val="ListBullet"/>
      </w:pPr>
      <w:r>
        <w:rPr>
          <w:rFonts w:ascii="Arial" w:hAnsi="Arial" w:eastAsia="Arial"/>
        </w:rPr>
        <w:t>Carvão ativado se ingestão recente e via aérea protegida; considerar liberação prolongada conforme toxicologia.</w:t>
      </w:r>
    </w:p>
    <w:p>
      <w:pPr>
        <w:pStyle w:val="ListBullet"/>
      </w:pPr>
      <w:r>
        <w:rPr>
          <w:rFonts w:ascii="Arial" w:hAnsi="Arial" w:eastAsia="Arial"/>
        </w:rPr>
        <w:t>Cálcio IV é particularmente importante em CCB; repetir/titular conforme resposta e cálcio sérico.</w:t>
      </w:r>
    </w:p>
    <w:p>
      <w:pPr>
        <w:pStyle w:val="ListBullet"/>
      </w:pPr>
      <w:r>
        <w:rPr>
          <w:rFonts w:ascii="Arial" w:hAnsi="Arial" w:eastAsia="Arial"/>
        </w:rPr>
        <w:t>Glucagon pode ser usado em intoxicação por beta-bloqueador: bolus 5-10 mg IV; náusea/vômito são frequentes.</w:t>
      </w:r>
    </w:p>
    <w:p>
      <w:pPr>
        <w:pStyle w:val="ListBullet"/>
      </w:pPr>
      <w:r>
        <w:rPr>
          <w:rFonts w:ascii="Arial" w:hAnsi="Arial" w:eastAsia="Arial"/>
        </w:rPr>
        <w:t>HIET: insulina em alta dose com euglicemia é terapia-chave em choque por CCB/BB grave; iniciar com monitorização rigorosa de glicose e potássio, geralmente bolus 1 U/kg e infusão 0,5-1 U/kg/h, titulável por especialista/protocolo.</w:t>
      </w:r>
    </w:p>
    <w:p>
      <w:pPr>
        <w:pStyle w:val="ListBullet"/>
      </w:pPr>
      <w:r>
        <w:rPr>
          <w:rFonts w:ascii="Arial" w:hAnsi="Arial" w:eastAsia="Arial"/>
        </w:rPr>
        <w:t>Vasopressores: epinefrina/norepinefrina conforme perfil de choque; lipid emulsion pode ser considerada em toxinas lipofílicas graves; ECMO VA se colapso refratário e reversível.</w:t>
      </w:r>
    </w:p>
    <w:p>
      <w:pPr>
        <w:pStyle w:val="Heading2"/>
      </w:pPr>
      <w:r>
        <w:rPr>
          <w:rFonts w:ascii="Arial" w:hAnsi="Arial" w:eastAsia="Arial"/>
        </w:rPr>
        <w:t>8.4. Digoxina</w:t>
      </w:r>
    </w:p>
    <w:p>
      <w:pPr>
        <w:pStyle w:val="ListBullet"/>
      </w:pPr>
      <w:r>
        <w:rPr>
          <w:rFonts w:ascii="Arial" w:hAnsi="Arial" w:eastAsia="Arial"/>
        </w:rPr>
        <w:t>Suspeitar em idoso/DRC, náuseas, vômitos, sintomas visuais, arritmias variadas, bradicardia/BAV, hipercalemia.</w:t>
      </w:r>
    </w:p>
    <w:p>
      <w:pPr>
        <w:pStyle w:val="ListBullet"/>
      </w:pPr>
      <w:r>
        <w:rPr>
          <w:rFonts w:ascii="Arial" w:hAnsi="Arial" w:eastAsia="Arial"/>
        </w:rPr>
        <w:t>Dosar digoxina quando possível, mas não atrasar tratamento se quadro ameaçador.</w:t>
      </w:r>
    </w:p>
    <w:p>
      <w:pPr>
        <w:pStyle w:val="ListBullet"/>
      </w:pPr>
      <w:r>
        <w:rPr>
          <w:rFonts w:ascii="Arial" w:hAnsi="Arial" w:eastAsia="Arial"/>
        </w:rPr>
        <w:t>Indicações clássicas de digoxin immune Fab incluem arritmia potencialmente fatal, choque, hipercalemia significativa e intoxicação maciça, conforme disponibilidade/protocolo.</w:t>
      </w:r>
    </w:p>
    <w:p>
      <w:pPr>
        <w:pStyle w:val="ListBullet"/>
      </w:pPr>
      <w:r>
        <w:rPr>
          <w:rFonts w:ascii="Arial" w:hAnsi="Arial" w:eastAsia="Arial"/>
        </w:rPr>
        <w:t>Corrigir K/Mg com cautela; evitar cardioversão elétrica salvo instabilidade extrema por risco de arritmias.</w:t>
      </w:r>
    </w:p>
    <w:p>
      <w:pPr>
        <w:pStyle w:val="Heading2"/>
      </w:pPr>
      <w:r>
        <w:rPr>
          <w:rFonts w:ascii="Arial" w:hAnsi="Arial" w:eastAsia="Arial"/>
        </w:rPr>
        <w:t>8.5. IAM inferior/VD e bradicardia</w:t>
      </w:r>
    </w:p>
    <w:p>
      <w:pPr>
        <w:pStyle w:val="ListBullet"/>
      </w:pPr>
      <w:r>
        <w:rPr>
          <w:rFonts w:ascii="Arial" w:hAnsi="Arial" w:eastAsia="Arial"/>
        </w:rPr>
        <w:t>IAM inferior pode cursar com bradicardia sinusal, ritmo juncional e BAV nodal por envolvimento da artéria coronária direita/vagotonia.</w:t>
      </w:r>
    </w:p>
    <w:p>
      <w:pPr>
        <w:pStyle w:val="ListBullet"/>
      </w:pPr>
      <w:r>
        <w:rPr>
          <w:rFonts w:ascii="Arial" w:hAnsi="Arial" w:eastAsia="Arial"/>
        </w:rPr>
        <w:t>Fazer ECG 12 derivações e derivações direitas se suspeita de VD; priorizar reperfusão quando indicada.</w:t>
      </w:r>
    </w:p>
    <w:p>
      <w:pPr>
        <w:pStyle w:val="ListBullet"/>
      </w:pPr>
      <w:r>
        <w:rPr>
          <w:rFonts w:ascii="Arial" w:hAnsi="Arial" w:eastAsia="Arial"/>
        </w:rPr>
        <w:t>Atropina pode funcionar em bradi vagal/nodal; se choque ou BAV alto grau, preparar pacing e hemodinâmica.</w:t>
      </w:r>
    </w:p>
    <w:p>
      <w:pPr>
        <w:pStyle w:val="ListBullet"/>
      </w:pPr>
      <w:r>
        <w:rPr>
          <w:rFonts w:ascii="Arial" w:hAnsi="Arial" w:eastAsia="Arial"/>
        </w:rPr>
        <w:t>Evitar nitrato/diurético agressivo em infarto de VD com hipotensão; volume cuidadosamente titulado e vasopressor conforme necessidade.</w:t>
      </w:r>
    </w:p>
    <w:p>
      <w:pPr>
        <w:pStyle w:val="Heading2"/>
      </w:pPr>
      <w:r>
        <w:rPr>
          <w:rFonts w:ascii="Arial" w:hAnsi="Arial" w:eastAsia="Arial"/>
        </w:rPr>
        <w:t>8.6. Bradicardia por sedação/analgesia na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Droga/contexto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Mecanismo provável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Conduta prática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Dexmedetomidina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Simpaticólise e aumento vagal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Reduzir/suspender; cuidado em BAV/uso de beta-bloq; atropina/pacing se instável.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Propofol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Depressão cardiovascular/vagal, hipotensão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Reduzir dose, volume/vasopressor; investigar PRIS se uso prolongado/acidose.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Opioides/remifentanil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Vagotonia, rigidez torácica em bolus rápido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Reduzir; naloxona se intoxicação com depressão respiratória; suporte ventilatório.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Neostigmina/succinilcolina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Efeito colinérgico/vagal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Anticolinérgico; prevenção com glicopirrolato/atropina conforme anestesia.</w:t>
            </w:r>
          </w:p>
        </w:tc>
      </w:tr>
      <w:tr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Amiodarona/beta-bloq/CCB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Bloqueio nodal e condução</w:t>
            </w:r>
          </w:p>
        </w:tc>
        <w:tc>
          <w:tcPr>
            <w:tcW w:type="dxa" w:w="35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4"/>
              </w:rPr>
              <w:t>Suspender, checar níveis/interações/renal, tratar conforme gravidade.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8.7. Neurocrítico: TCE/AVC/HIC</w:t>
      </w:r>
    </w:p>
    <w:p>
      <w:pPr>
        <w:pStyle w:val="ListBullet"/>
      </w:pPr>
      <w:r>
        <w:rPr>
          <w:rFonts w:ascii="Arial" w:hAnsi="Arial" w:eastAsia="Arial"/>
        </w:rPr>
        <w:t>Bradicardia pode fazer parte da resposta de Cushing: hipertensão + bradicardia + padrão respiratório irregular.</w:t>
      </w:r>
    </w:p>
    <w:p>
      <w:pPr>
        <w:pStyle w:val="ListBullet"/>
      </w:pPr>
      <w:r>
        <w:rPr>
          <w:rFonts w:ascii="Arial" w:hAnsi="Arial" w:eastAsia="Arial"/>
        </w:rPr>
        <w:t>Tratar a causa intracraniana: cabeceira, analgesia/sedação, osmoterapia quando indicada, ventilação, neuroimagem/neurocirurgia.</w:t>
      </w:r>
    </w:p>
    <w:p>
      <w:pPr>
        <w:pStyle w:val="ListBullet"/>
      </w:pPr>
      <w:r>
        <w:rPr>
          <w:rFonts w:ascii="Arial" w:hAnsi="Arial" w:eastAsia="Arial"/>
        </w:rPr>
        <w:t>Evite “mascarar” deterioração neurológica apenas subindo FC; estabilize perfusão sistêmica, mas busque a causa.</w:t>
      </w:r>
    </w:p>
    <w:p>
      <w:pPr>
        <w:pStyle w:val="Heading1"/>
      </w:pPr>
      <w:r>
        <w:rPr>
          <w:rFonts w:ascii="Arial" w:hAnsi="Arial" w:eastAsia="Arial"/>
        </w:rPr>
        <w:t>9. Prescrição/ordens prontas e evolução modelo</w:t>
      </w:r>
    </w:p>
    <w:p>
      <w:pPr>
        <w:pStyle w:val="Heading2"/>
      </w:pPr>
      <w:r>
        <w:rPr>
          <w:rFonts w:ascii="Arial" w:hAnsi="Arial" w:eastAsia="Arial"/>
        </w:rPr>
        <w:t>9.1. Pacote de ordens iniciais — bradicardia instável</w:t>
      </w:r>
    </w:p>
    <w:p>
      <w:pPr>
        <w:pStyle w:val="ListBullet"/>
      </w:pPr>
      <w:r>
        <w:rPr>
          <w:rFonts w:ascii="Arial" w:hAnsi="Arial" w:eastAsia="Arial"/>
        </w:rPr>
        <w:t>Monitorização cardíaca contínua + oximetria + PA a cada 2-3 min ou PAM invasiva se disponível.</w:t>
      </w:r>
    </w:p>
    <w:p>
      <w:pPr>
        <w:pStyle w:val="ListBullet"/>
      </w:pPr>
      <w:r>
        <w:rPr>
          <w:rFonts w:ascii="Arial" w:hAnsi="Arial" w:eastAsia="Arial"/>
        </w:rPr>
        <w:t>Acesso venoso calibroso x2; considerar acesso intraósseo se acesso difícil em choque.</w:t>
      </w:r>
    </w:p>
    <w:p>
      <w:pPr>
        <w:pStyle w:val="ListBullet"/>
      </w:pPr>
      <w:r>
        <w:rPr>
          <w:rFonts w:ascii="Arial" w:hAnsi="Arial" w:eastAsia="Arial"/>
        </w:rPr>
        <w:t>ECG 12 derivações imediato, sem atrasar atropina/pacing se instável.</w:t>
      </w:r>
    </w:p>
    <w:p>
      <w:pPr>
        <w:pStyle w:val="ListBullet"/>
      </w:pPr>
      <w:r>
        <w:rPr>
          <w:rFonts w:ascii="Arial" w:hAnsi="Arial" w:eastAsia="Arial"/>
        </w:rPr>
        <w:t>Gasometria arterial/venosa com lactato; Na/K/Ca/Mg, função renal, glicemia, troponina, hemograma; digoxina/lítio se suspeita.</w:t>
      </w:r>
    </w:p>
    <w:p>
      <w:pPr>
        <w:pStyle w:val="ListBullet"/>
      </w:pPr>
      <w:r>
        <w:rPr>
          <w:rFonts w:ascii="Arial" w:hAnsi="Arial" w:eastAsia="Arial"/>
        </w:rPr>
        <w:t>Atropina 1 mg IV agora se bradicardia instável; repetir a cada 3-5 min até total 3 mg se resposta parcial/ausente.</w:t>
      </w:r>
    </w:p>
    <w:p>
      <w:pPr>
        <w:pStyle w:val="ListBullet"/>
      </w:pPr>
      <w:r>
        <w:rPr>
          <w:rFonts w:ascii="Arial" w:hAnsi="Arial" w:eastAsia="Arial"/>
        </w:rPr>
        <w:t>Deixar desfibrilador em modo marcapasso; pás adesivas posicionadas; testar captura se refratário/alto risco.</w:t>
      </w:r>
    </w:p>
    <w:p>
      <w:pPr>
        <w:pStyle w:val="ListBullet"/>
      </w:pPr>
      <w:r>
        <w:rPr>
          <w:rFonts w:ascii="Arial" w:hAnsi="Arial" w:eastAsia="Arial"/>
        </w:rPr>
        <w:t>Preparar epinefrina 4 mg em 250 mL, iniciar 7,5 mL/h = 2 mcg/min e titular até 37,5 mL/h = 10 mcg/min conforme PAM/perfusão, se necessário.</w:t>
      </w:r>
    </w:p>
    <w:p>
      <w:pPr>
        <w:pStyle w:val="ListBullet"/>
      </w:pPr>
      <w:r>
        <w:rPr>
          <w:rFonts w:ascii="Arial" w:hAnsi="Arial" w:eastAsia="Arial"/>
        </w:rPr>
        <w:t>Suspender/revisar bloqueadores nodais e sedativos associados; checar prescrição das últimas 24-48 h.</w:t>
      </w:r>
    </w:p>
    <w:p>
      <w:pPr>
        <w:pStyle w:val="ListBullet"/>
      </w:pPr>
      <w:r>
        <w:rPr>
          <w:rFonts w:ascii="Arial" w:hAnsi="Arial" w:eastAsia="Arial"/>
        </w:rPr>
        <w:t>Acionar cardiologia/eletrofisiologia se BAV avançado, QRS largo, instabilidade refratária ou necessidade de pacing.</w:t>
      </w:r>
    </w:p>
    <w:p>
      <w:pPr>
        <w:pStyle w:val="Heading2"/>
      </w:pPr>
      <w:r>
        <w:rPr>
          <w:rFonts w:ascii="Arial" w:hAnsi="Arial" w:eastAsia="Arial"/>
        </w:rPr>
        <w:t>9.2. Modelo de evolução médica — copiar e adaptar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Paciente em UTI evolui com bradicardia FC __ bpm, ritmo no monitor/ECG: ____. Pulso presente. Avaliação hemodinâmica: PA/PAM ____, perfusão periférica ____, nível de consciência ____, dor torácica ____, sinais de congestão/IC ____, diurese _____. Critérios de instabilidade: ( ) hipotensão ( ) choque ( ) alteração mental ( ) isquemia ( ) IC aguda ( ) ausentes. Condutas imediatas: ABCDE, O2/VM conforme necessidade, monitorização contínua, acesso venoso, ECG 12 derivações, coleta de gaso/lactato/eletrólitos/função renal/troponina. Causas suspeitas: hipercalemia/hipóxia/IAM/droga/toxicidade/BRASH/hipotermia/neuro/vagal/outra: ____. Terapia: atropina ____ mg IV às ____, resposta ____; marcapasso transcutâneo preparado/iniciado com FC ____ e limiar ____ mA, captura elétrica/mecânica ____; droga vasoativa ____ dose ____; especialista acionado ____. Plano: tratar causa reversível, reavaliar perfusão e ECG seriado, considerar marcapasso transvenoso se persistência/refratariedade.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10. Checklists, armadilhas e pérolas TEMI</w:t>
      </w:r>
    </w:p>
    <w:p>
      <w:pPr>
        <w:pStyle w:val="Heading2"/>
      </w:pPr>
      <w:r>
        <w:rPr>
          <w:rFonts w:ascii="Arial" w:hAnsi="Arial" w:eastAsia="Arial"/>
        </w:rPr>
        <w:t>10.1. Checklist “5 minutos”</w:t>
      </w:r>
    </w:p>
    <w:p>
      <w:pPr>
        <w:pStyle w:val="ListBullet"/>
      </w:pPr>
      <w:r>
        <w:rPr>
          <w:rFonts w:ascii="Arial" w:hAnsi="Arial" w:eastAsia="Arial"/>
        </w:rPr>
        <w:t>Tem pulso? Se não, PCR.</w:t>
      </w:r>
    </w:p>
    <w:p>
      <w:pPr>
        <w:pStyle w:val="ListBullet"/>
      </w:pPr>
      <w:r>
        <w:rPr>
          <w:rFonts w:ascii="Arial" w:hAnsi="Arial" w:eastAsia="Arial"/>
        </w:rPr>
        <w:t>Instabilidade? Hipotensão, choque, rebaixamento, isquemia, IC aguda.</w:t>
      </w:r>
    </w:p>
    <w:p>
      <w:pPr>
        <w:pStyle w:val="ListBullet"/>
      </w:pPr>
      <w:r>
        <w:rPr>
          <w:rFonts w:ascii="Arial" w:hAnsi="Arial" w:eastAsia="Arial"/>
        </w:rPr>
        <w:t>ECG: BAV alto risco? QRS largo? Hipercalemia? IAM?</w:t>
      </w:r>
    </w:p>
    <w:p>
      <w:pPr>
        <w:pStyle w:val="ListBullet"/>
      </w:pPr>
      <w:r>
        <w:rPr>
          <w:rFonts w:ascii="Arial" w:hAnsi="Arial" w:eastAsia="Arial"/>
        </w:rPr>
        <w:t>Causas: drogas, K+, hipóxia, IAM, BRASH, digoxina, hipotermia, PIC/vagal.</w:t>
      </w:r>
    </w:p>
    <w:p>
      <w:pPr>
        <w:pStyle w:val="ListBullet"/>
      </w:pPr>
      <w:r>
        <w:rPr>
          <w:rFonts w:ascii="Arial" w:hAnsi="Arial" w:eastAsia="Arial"/>
        </w:rPr>
        <w:t>Atropina 1 mg IV se instável, mas não atrasar marcapasso.</w:t>
      </w:r>
    </w:p>
    <w:p>
      <w:pPr>
        <w:pStyle w:val="ListBullet"/>
      </w:pPr>
      <w:r>
        <w:rPr>
          <w:rFonts w:ascii="Arial" w:hAnsi="Arial" w:eastAsia="Arial"/>
        </w:rPr>
        <w:t>Pás do marcapasso colocadas cedo se alto risco.</w:t>
      </w:r>
    </w:p>
    <w:p>
      <w:pPr>
        <w:pStyle w:val="ListBullet"/>
      </w:pPr>
      <w:r>
        <w:rPr>
          <w:rFonts w:ascii="Arial" w:hAnsi="Arial" w:eastAsia="Arial"/>
        </w:rPr>
        <w:t>Epinefrina/dopamina prontas em bomba se refratária/ponte.</w:t>
      </w:r>
    </w:p>
    <w:p>
      <w:pPr>
        <w:pStyle w:val="ListBullet"/>
      </w:pPr>
      <w:r>
        <w:rPr>
          <w:rFonts w:ascii="Arial" w:hAnsi="Arial" w:eastAsia="Arial"/>
        </w:rPr>
        <w:t>Especialista chamado cedo se BAV avançado/refratário.</w:t>
      </w:r>
    </w:p>
    <w:p>
      <w:pPr>
        <w:pStyle w:val="ListBullet"/>
      </w:pPr>
      <w:r>
        <w:rPr>
          <w:rFonts w:ascii="Arial" w:hAnsi="Arial" w:eastAsia="Arial"/>
        </w:rPr>
        <w:t>Documentar perfusão e resposta, não apenas FC.</w:t>
      </w:r>
    </w:p>
    <w:p>
      <w:pPr>
        <w:pStyle w:val="Heading2"/>
      </w:pPr>
      <w:r>
        <w:rPr>
          <w:rFonts w:ascii="Arial" w:hAnsi="Arial" w:eastAsia="Arial"/>
        </w:rPr>
        <w:t>10.2. Armadilhas fatais</w:t>
      </w:r>
    </w:p>
    <w:p>
      <w:pPr>
        <w:pStyle w:val="ListBullet"/>
      </w:pPr>
      <w:r>
        <w:rPr>
          <w:rFonts w:ascii="Arial" w:hAnsi="Arial" w:eastAsia="Arial"/>
        </w:rPr>
        <w:t>Tratar número e ignorar perfusão: FC 38 em paciente dormindo e perfundido ≠ FC 48 com choque.</w:t>
      </w:r>
    </w:p>
    <w:p>
      <w:pPr>
        <w:pStyle w:val="ListBullet"/>
      </w:pPr>
      <w:r>
        <w:rPr>
          <w:rFonts w:ascii="Arial" w:hAnsi="Arial" w:eastAsia="Arial"/>
        </w:rPr>
        <w:t>Insistir em atropina em BAVT/Mobitz II enquanto o paciente choca: prepare pacing cedo.</w:t>
      </w:r>
    </w:p>
    <w:p>
      <w:pPr>
        <w:pStyle w:val="ListBullet"/>
      </w:pPr>
      <w:r>
        <w:rPr>
          <w:rFonts w:ascii="Arial" w:hAnsi="Arial" w:eastAsia="Arial"/>
        </w:rPr>
        <w:t>Não reconhecer hipercalemia: bradicardia + QRS largo = cálcio IV imediato até provar o contrário.</w:t>
      </w:r>
    </w:p>
    <w:p>
      <w:pPr>
        <w:pStyle w:val="ListBullet"/>
      </w:pPr>
      <w:r>
        <w:rPr>
          <w:rFonts w:ascii="Arial" w:hAnsi="Arial" w:eastAsia="Arial"/>
        </w:rPr>
        <w:t>Confiar em captura elétrica sem pulso/PA: sempre confirmar captura mecânica.</w:t>
      </w:r>
    </w:p>
    <w:p>
      <w:pPr>
        <w:pStyle w:val="ListBullet"/>
      </w:pPr>
      <w:r>
        <w:rPr>
          <w:rFonts w:ascii="Arial" w:hAnsi="Arial" w:eastAsia="Arial"/>
        </w:rPr>
        <w:t>Esquecer drogas da prescrição: dexmedetomidina, beta-bloq, CCB, amiodarona, digoxina, opioides e clonidina.</w:t>
      </w:r>
    </w:p>
    <w:p>
      <w:pPr>
        <w:pStyle w:val="ListBullet"/>
      </w:pPr>
      <w:r>
        <w:rPr>
          <w:rFonts w:ascii="Arial" w:hAnsi="Arial" w:eastAsia="Arial"/>
        </w:rPr>
        <w:t>Sedação excessiva para marcapasso transcutâneo em paciente já hipotenso: analgesia e sedação tituladas.</w:t>
      </w:r>
    </w:p>
    <w:p>
      <w:pPr>
        <w:pStyle w:val="ListBullet"/>
      </w:pPr>
      <w:r>
        <w:rPr>
          <w:rFonts w:ascii="Arial" w:hAnsi="Arial" w:eastAsia="Arial"/>
        </w:rPr>
        <w:t>Não pensar em BRASH quando K não parece “tão alto”: o conjunto gera bradicardia desproporcional.</w:t>
      </w:r>
    </w:p>
    <w:p>
      <w:pPr>
        <w:pStyle w:val="ListBullet"/>
      </w:pPr>
      <w:r>
        <w:rPr>
          <w:rFonts w:ascii="Arial" w:hAnsi="Arial" w:eastAsia="Arial"/>
        </w:rPr>
        <w:t>Atrasar cardiologia/eletrofisiologia em BAV avançado persistente.</w:t>
      </w:r>
    </w:p>
    <w:p>
      <w:pPr>
        <w:pStyle w:val="Heading2"/>
      </w:pPr>
      <w:r>
        <w:rPr>
          <w:rFonts w:ascii="Arial" w:hAnsi="Arial" w:eastAsia="Arial"/>
        </w:rPr>
        <w:t>10.3. Pérolas para prova/TEMI e plantão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Pérola</w:t>
            </w:r>
          </w:p>
        </w:tc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Explicação prática</w:t>
            </w:r>
          </w:p>
        </w:tc>
      </w:tr>
      <w:tr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Débito cardíaco = FC × volume sistólico</w:t>
            </w:r>
          </w:p>
        </w:tc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Em paciente com VS fixo/baixo, queda de FC derruba débito; em outros, bradicardia pode ser tolerada.</w:t>
            </w:r>
          </w:p>
        </w:tc>
      </w:tr>
      <w:tr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Atropina age no parassimpático</w:t>
            </w:r>
          </w:p>
        </w:tc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Funciona melhor em bradicardia vagal/nodal; pior em bloqueio infranodal.</w:t>
            </w:r>
          </w:p>
        </w:tc>
      </w:tr>
      <w:tr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QRS largo na bradicardia preocupa</w:t>
            </w:r>
          </w:p>
        </w:tc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Sugere escape ventricular, doença infranodal, hipercalemia ou intoxicação.</w:t>
            </w:r>
          </w:p>
        </w:tc>
      </w:tr>
      <w:tr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Catecolamina é ponte, não solução</w:t>
            </w:r>
          </w:p>
        </w:tc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Útil até corrigir K, toxina, isquemia ou implantar pacing definitivo/temporário.</w:t>
            </w:r>
          </w:p>
        </w:tc>
      </w:tr>
      <w:tr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Sono/apneia pode causar bradi</w:t>
            </w:r>
          </w:p>
        </w:tc>
        <w:tc>
          <w:tcPr>
            <w:tcW w:type="dxa" w:w="52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Bradicardia noturna isolada raramente indica marcapasso; investigar/tratar apneia se suspeita.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Referências principais</w:t>
      </w:r>
    </w:p>
    <w:p>
      <w:pPr>
        <w:ind w:left="360" w:hanging="317"/>
      </w:pPr>
      <w:r>
        <w:rPr>
          <w:rFonts w:ascii="Arial" w:hAnsi="Arial" w:eastAsia="Arial"/>
          <w:b/>
        </w:rPr>
        <w:t xml:space="preserve">1. </w:t>
      </w:r>
      <w:r>
        <w:rPr>
          <w:rFonts w:ascii="Arial" w:hAnsi="Arial" w:eastAsia="Arial"/>
        </w:rPr>
        <w:t>American Heart Association. Adult Bradycardia With a Pulse Algorithm. 2025 ACLS Algorithms. AHA CPR &amp; ECC Guidelines, 2025.</w:t>
      </w:r>
    </w:p>
    <w:p>
      <w:pPr>
        <w:ind w:left="360" w:hanging="317"/>
      </w:pPr>
      <w:r>
        <w:rPr>
          <w:rFonts w:ascii="Arial" w:hAnsi="Arial" w:eastAsia="Arial"/>
          <w:b/>
        </w:rPr>
        <w:t xml:space="preserve">2. </w:t>
      </w:r>
      <w:r>
        <w:rPr>
          <w:rFonts w:ascii="Arial" w:hAnsi="Arial" w:eastAsia="Arial"/>
        </w:rPr>
        <w:t>Kusumoto FM, Schoenfeld MH, Barrett C, et al. 2018 ACC/AHA/HRS Guideline on the Evaluation and Management of Patients With Bradycardia and Cardiac Conduction Delay. J Am Coll Cardiol. 2019;74(7):e51-e156. doi:10.1016/j.jacc.2018.10.044.</w:t>
      </w:r>
    </w:p>
    <w:p>
      <w:pPr>
        <w:ind w:left="360" w:hanging="317"/>
      </w:pPr>
      <w:r>
        <w:rPr>
          <w:rFonts w:ascii="Arial" w:hAnsi="Arial" w:eastAsia="Arial"/>
          <w:b/>
        </w:rPr>
        <w:t xml:space="preserve">3. </w:t>
      </w:r>
      <w:r>
        <w:rPr>
          <w:rFonts w:ascii="Arial" w:hAnsi="Arial" w:eastAsia="Arial"/>
        </w:rPr>
        <w:t>Resuscitation Council UK. Adult Bradycardia Algorithm. Resuscitation Guidelines 2021.</w:t>
      </w:r>
    </w:p>
    <w:p>
      <w:pPr>
        <w:ind w:left="360" w:hanging="317"/>
      </w:pPr>
      <w:r>
        <w:rPr>
          <w:rFonts w:ascii="Arial" w:hAnsi="Arial" w:eastAsia="Arial"/>
          <w:b/>
        </w:rPr>
        <w:t xml:space="preserve">4. </w:t>
      </w:r>
      <w:r>
        <w:rPr>
          <w:rFonts w:ascii="Arial" w:hAnsi="Arial" w:eastAsia="Arial"/>
        </w:rPr>
        <w:t>St-Onge M, Anseeuw K, Cantrell FL, et al. Experts consensus recommendations for the management of calcium channel blocker poisoning in adults. Crit Care Med. 2017;45(3):e306-e315. doi:10.1097/CCM.0000000000002087.</w:t>
      </w:r>
    </w:p>
    <w:p>
      <w:pPr>
        <w:ind w:left="360" w:hanging="317"/>
      </w:pPr>
      <w:r>
        <w:rPr>
          <w:rFonts w:ascii="Arial" w:hAnsi="Arial" w:eastAsia="Arial"/>
          <w:b/>
        </w:rPr>
        <w:t xml:space="preserve">5. </w:t>
      </w:r>
      <w:r>
        <w:rPr>
          <w:rFonts w:ascii="Arial" w:hAnsi="Arial" w:eastAsia="Arial"/>
        </w:rPr>
        <w:t>Wong CK, Patel A, Basu-Ray I, et al. Bradycardia, renal failure, atrioventricular nodal blockade, shock, and hyperkalemia syndrome: clinical review/case literature. 2021.</w:t>
      </w:r>
    </w:p>
    <w:p>
      <w:pPr>
        <w:ind w:left="360" w:hanging="317"/>
      </w:pPr>
      <w:r>
        <w:rPr>
          <w:rFonts w:ascii="Arial" w:hAnsi="Arial" w:eastAsia="Arial"/>
          <w:b/>
        </w:rPr>
        <w:t xml:space="preserve">6. </w:t>
      </w:r>
      <w:r>
        <w:rPr>
          <w:rFonts w:ascii="Arial" w:hAnsi="Arial" w:eastAsia="Arial"/>
        </w:rPr>
        <w:t>Hafeez Y, Grossman SA. Sinus Bradycardia. StatPearls. Updated 2023/2025 as 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Atualização sugerida: revisar anualmente ou sempre que houver nova diretriz AHA/ILCOR/ACC/HRS, mudança de protocolo institucional de marcapasso temporário, ou padronização de novas diluições de drogas vasoativas no serviço.</w:t>
            </w:r>
          </w:p>
        </w:tc>
      </w:tr>
    </w:tbl>
    <w:sectPr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>Documento de apoio clínico. Individualizar conforme contexto, protocolos locais e julgamento médico.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404040"/>
        <w:sz w:val="16"/>
      </w:rPr>
      <w:t>Protocolo prático - Bradicardia em UTI | Uso adulto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ext">
    <w:name w:val="Box Text"/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Abordagem da Bradicardia em UTI</dc:title>
  <dc:subject>Medicina Intensiva, ACLS, Bradicardia, Marcapasso, Drogas Vasoativas</dc:subject>
  <dc:creator/>
  <cp:keywords>bradicardia, UTI, ACLS, atropina, epinefrina, dopamina, marcapasso transcutâneo, marcapasso transvenoso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