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F4E79"/>
          <w:sz w:val="48"/>
          <w:szCs w:val="48"/>
        </w:rPr>
        <w:t xml:space="preserve">VASODILATADORES NA UTI</w:t>
      </w:r>
    </w:p>
    <w:p>
      <w:pPr>
        <w:spacing w:after="200"/>
        <w:jc w:val="center"/>
      </w:pPr>
      <w:r>
        <w:rPr>
          <w:b/>
          <w:bCs/>
          <w:color w:val="C00000"/>
          <w:sz w:val="30"/>
          <w:szCs w:val="30"/>
        </w:rPr>
        <w:t xml:space="preserve">TRIDIL® (Nitroglicerina) e NIPRIDE® (Nitroprussiato de Sódio)</w:t>
      </w:r>
    </w:p>
    <w:p>
      <w:pPr>
        <w:spacing w:after="600"/>
        <w:jc w:val="center"/>
      </w:pPr>
      <w:r>
        <w:rPr>
          <w:i/>
          <w:iCs/>
          <w:color w:val="555555"/>
          <w:sz w:val="24"/>
          <w:szCs w:val="24"/>
        </w:rPr>
        <w:t xml:space="preserve">Indicações, Diluições, Titulação, Toxicidade e Comparativo Prático</w:t>
      </w:r>
    </w:p>
    <w:p>
      <w:pPr>
        <w:spacing w:after="200"/>
        <w:jc w:val="center"/>
      </w:pPr>
      <w:r>
        <w:rPr>
          <w:i/>
          <w:iCs/>
          <w:color w:val="888888"/>
          <w:sz w:val="22"/>
          <w:szCs w:val="22"/>
        </w:rPr>
        <w:t xml:space="preserve">Edema Agudo • Emergências Hipertensivas • Pós-Op Cardíaco • Dissecção Aórtica</w:t>
      </w:r>
    </w:p>
    <w:p>
      <w:pPr>
        <w:spacing w:after="200" w:before="1000"/>
        <w:jc w:val="center"/>
      </w:pPr>
      <w:r>
        <w:rPr>
          <w:b/>
          <w:bCs/>
          <w:color w:val="333333"/>
          <w:sz w:val="26"/>
          <w:szCs w:val="26"/>
        </w:rPr>
        <w:t xml:space="preserve">Material para Beira-Leito e Preparação TEMI/AMIB</w:t>
      </w:r>
    </w:p>
    <w:p>
      <w:pPr>
        <w:spacing w:after="100"/>
        <w:jc w:val="center"/>
      </w:pPr>
      <w:r>
        <w:rPr>
          <w:b/>
          <w:bCs/>
          <w:sz w:val="24"/>
          <w:szCs w:val="24"/>
        </w:rPr>
        <w:t xml:space="preserve">Dr. Aldenir Rocha</w:t>
      </w:r>
    </w:p>
    <w:p>
      <w:pPr>
        <w:spacing w:after="100"/>
        <w:jc w:val="center"/>
      </w:pPr>
      <w:r>
        <w:rPr>
          <w:sz w:val="22"/>
          <w:szCs w:val="22"/>
        </w:rPr>
        <w:t xml:space="preserve">CRM-CE 16.587 | RQE Clínica Médica 11.846</w:t>
      </w:r>
    </w:p>
    <w:p>
      <w:pPr>
        <w:spacing w:after="100"/>
        <w:jc w:val="center"/>
      </w:pPr>
      <w:r>
        <w:rPr>
          <w:sz w:val="22"/>
          <w:szCs w:val="22"/>
        </w:rPr>
        <w:t xml:space="preserve">Hospital Regional Norte | Santa Casa de Misericórdia de Sobral – CE</w:t>
      </w:r>
    </w:p>
    <w:p>
      <w:pPr>
        <w:spacing w:before="1000"/>
        <w:jc w:val="center"/>
      </w:pPr>
      <w:r>
        <w:rPr>
          <w:i/>
          <w:iCs/>
          <w:color w:val="777777"/>
          <w:sz w:val="22"/>
          <w:szCs w:val="22"/>
        </w:rPr>
        <w:t xml:space="preserve">Edição revisada – 2026</w:t>
      </w:r>
    </w:p>
    <w:p>
      <w:r>
        <w:br w:type="page"/>
      </w:r>
    </w:p>
    <w:p>
      <w:pPr>
        <w:pStyle w:val="Heading1"/>
        <w:spacing w:after="200" w:before="360"/>
      </w:pPr>
      <w:r>
        <w:rPr>
          <w:b/>
          <w:bCs/>
          <w:color w:val="1F4E79"/>
          <w:sz w:val="32"/>
          <w:szCs w:val="32"/>
        </w:rPr>
        <w:t xml:space="preserve">📋 Sumário Executivo</w:t>
      </w:r>
    </w:p>
    <w:p>
      <w:pPr>
        <w:spacing w:after="120" w:line="300"/>
        <w:jc w:val="both"/>
      </w:pPr>
      <w:r>
        <w:rPr>
          <w:b/>
          <w:bCs/>
          <w:color w:val="2E7D32"/>
        </w:rPr>
        <w:t xml:space="preserve">TRIDIL® (Nitroglicerina) </w:t>
      </w:r>
      <w:r>
        <w:t xml:space="preserve">e </w:t>
      </w:r>
      <w:r>
        <w:rPr>
          <w:b/>
          <w:bCs/>
          <w:color w:val="6A1B9A"/>
        </w:rPr>
        <w:t xml:space="preserve">NIPRIDE® (Nitroprussiato de Sódio) </w:t>
      </w:r>
      <w:r>
        <w:t xml:space="preserve">são os </w:t>
      </w:r>
      <w:r>
        <w:rPr>
          <w:b/>
          <w:bCs/>
        </w:rPr>
        <w:t xml:space="preserve">DOIS VASODILATADORES INTRAVENOSOS </w:t>
      </w:r>
      <w:r>
        <w:t xml:space="preserve">mais utilizados na UTI brasileira. Embora ambos sejam doadores de óxido nítrico (NO), suas diferenças farmacodinâmicas determinam ESCOLHAS CLÍNICAS DISTINTAS.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C8C8C" w:sz="6"/>
              <w:left w:val="single" w:color="8C8C8C" w:sz="6"/>
              <w:bottom w:val="single" w:color="8C8C8C" w:sz="6"/>
              <w:right w:val="single" w:color="8C8C8C" w:sz="6"/>
            </w:tcBorders>
            <w:shd w:fill="2E7D32" w:val="clear"/>
            <w:tcMar>
              <w:top w:type="dxa" w:w="100"/>
              <w:left w:type="dxa" w:w="140"/>
              <w:bottom w:type="dxa" w:w="100"/>
              <w:right w:type="dxa" w:w="140"/>
            </w:tcMar>
            <w:vAlign w:val="center"/>
          </w:tcPr>
          <w:p>
            <w:pPr>
              <w:spacing w:after="0"/>
              <w:jc w:val="center"/>
            </w:pPr>
            <w:r>
              <w:rPr>
                <w:b/>
                <w:bCs/>
                <w:color w:val="FFFFFF"/>
                <w:sz w:val="22"/>
                <w:szCs w:val="22"/>
              </w:rPr>
              <w:t xml:space="preserve">🟢 TRIDIL® (Nitroglicerina)</w:t>
            </w:r>
          </w:p>
        </w:tc>
        <w:tc>
          <w:tcPr>
            <w:tcW w:type="dxa" w:w="4680"/>
            <w:tcBorders>
              <w:top w:val="single" w:color="8C8C8C" w:sz="6"/>
              <w:left w:val="single" w:color="8C8C8C" w:sz="6"/>
              <w:bottom w:val="single" w:color="8C8C8C" w:sz="6"/>
              <w:right w:val="single" w:color="8C8C8C" w:sz="6"/>
            </w:tcBorders>
            <w:shd w:fill="6A1B9A" w:val="clear"/>
            <w:tcMar>
              <w:top w:type="dxa" w:w="100"/>
              <w:left w:type="dxa" w:w="140"/>
              <w:bottom w:type="dxa" w:w="100"/>
              <w:right w:type="dxa" w:w="140"/>
            </w:tcMar>
            <w:vAlign w:val="center"/>
          </w:tcPr>
          <w:p>
            <w:pPr>
              <w:spacing w:after="0"/>
              <w:jc w:val="center"/>
            </w:pPr>
            <w:r>
              <w:rPr>
                <w:b/>
                <w:bCs/>
                <w:color w:val="FFFFFF"/>
                <w:sz w:val="22"/>
                <w:szCs w:val="22"/>
              </w:rPr>
              <w:t xml:space="preserve">🟣 NIPRIDE® (Nitroprussiato)</w:t>
            </w:r>
          </w:p>
        </w:tc>
      </w:tr>
      <w:tr>
        <w:tc>
          <w:tcPr>
            <w:tcW w:type="dxa" w:w="468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60"/>
            </w:pPr>
            <w:r>
              <w:rPr>
                <w:b/>
                <w:bCs/>
                <w:sz w:val="20"/>
                <w:szCs w:val="20"/>
              </w:rPr>
              <w:t xml:space="preserve">VENODILATADOR predominante</w:t>
            </w:r>
          </w:p>
          <w:p>
            <w:pPr>
              <w:spacing w:after="60"/>
            </w:pPr>
            <w:r>
              <w:rPr>
                <w:sz w:val="20"/>
                <w:szCs w:val="20"/>
              </w:rPr>
              <w:t xml:space="preserve">↓ Pré-carga ≫ ↓ Pós-carga</w:t>
            </w:r>
          </w:p>
          <w:p>
            <w:pPr>
              <w:spacing w:after="60"/>
            </w:pPr>
            <w:r>
              <w:rPr>
                <w:sz w:val="20"/>
                <w:szCs w:val="20"/>
              </w:rPr>
              <w:t xml:space="preserve">Início: 1-2 min | T½: 1-3 min</w:t>
            </w:r>
          </w:p>
          <w:p>
            <w:pPr>
              <w:spacing w:after="60"/>
            </w:pPr>
            <w:r>
              <w:rPr>
                <w:sz w:val="20"/>
                <w:szCs w:val="20"/>
              </w:rPr>
              <w:t xml:space="preserve">Dose: 5-200 µg/min</w:t>
            </w:r>
          </w:p>
          <w:p>
            <w:pPr>
              <w:spacing w:after="60"/>
            </w:pPr>
            <w:r>
              <w:rPr>
                <w:sz w:val="20"/>
                <w:szCs w:val="20"/>
              </w:rPr>
              <w:t xml:space="preserve">INDICAÇÃO PRINCIPAL: edema agudo de pulmão, SCA, isquemia miocárdica</w:t>
            </w:r>
          </w:p>
          <w:p>
            <w:pPr>
              <w:spacing w:after="0"/>
            </w:pPr>
            <w:r>
              <w:rPr>
                <w:sz w:val="20"/>
                <w:szCs w:val="20"/>
              </w:rPr>
              <w:t xml:space="preserve">Toxicidade: cefaleia, taquifilaxia, metaHb (rara)</w:t>
            </w:r>
          </w:p>
        </w:tc>
        <w:tc>
          <w:tcPr>
            <w:tcW w:type="dxa" w:w="468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60"/>
            </w:pPr>
            <w:r>
              <w:rPr>
                <w:b/>
                <w:bCs/>
                <w:sz w:val="20"/>
                <w:szCs w:val="20"/>
              </w:rPr>
              <w:t xml:space="preserve">BALANCEADO arteriovenoso</w:t>
            </w:r>
          </w:p>
          <w:p>
            <w:pPr>
              <w:spacing w:after="60"/>
            </w:pPr>
            <w:r>
              <w:rPr>
                <w:sz w:val="20"/>
                <w:szCs w:val="20"/>
              </w:rPr>
              <w:t xml:space="preserve">↓ Pré-carga = ↓ Pós-carga (potente)</w:t>
            </w:r>
          </w:p>
          <w:p>
            <w:pPr>
              <w:spacing w:after="60"/>
            </w:pPr>
            <w:r>
              <w:rPr>
                <w:sz w:val="20"/>
                <w:szCs w:val="20"/>
              </w:rPr>
              <w:t xml:space="preserve">Início: &lt; 30s | T½: 1-2 min</w:t>
            </w:r>
          </w:p>
          <w:p>
            <w:pPr>
              <w:spacing w:after="60"/>
            </w:pPr>
            <w:r>
              <w:rPr>
                <w:sz w:val="20"/>
                <w:szCs w:val="20"/>
              </w:rPr>
              <w:t xml:space="preserve">Dose: 0,3-10 µg/kg/min</w:t>
            </w:r>
          </w:p>
          <w:p>
            <w:pPr>
              <w:spacing w:after="60"/>
            </w:pPr>
            <w:r>
              <w:rPr>
                <w:sz w:val="20"/>
                <w:szCs w:val="20"/>
              </w:rPr>
              <w:t xml:space="preserve">INDICAÇÃO PRINCIPAL: emergência hipertensiva, dissecção aórtica, IC com RVS muito alta</w:t>
            </w:r>
          </w:p>
          <w:p>
            <w:pPr>
              <w:spacing w:after="0"/>
            </w:pPr>
            <w:r>
              <w:rPr>
                <w:b/>
                <w:bCs/>
                <w:color w:val="C00000"/>
                <w:sz w:val="20"/>
                <w:szCs w:val="20"/>
              </w:rPr>
              <w:t xml:space="preserve">Toxicidade: CIANETO/TIOCIANATO (grave!)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FF2CC" w:val="clear"/>
            <w:tcMar>
              <w:top w:type="dxa" w:w="160"/>
              <w:left w:type="dxa" w:w="200"/>
              <w:bottom w:type="dxa" w:w="160"/>
              <w:right w:type="dxa" w:w="200"/>
            </w:tcMar>
          </w:tcPr>
          <w:p>
            <w:pPr>
              <w:spacing w:after="80"/>
            </w:pPr>
            <w:r>
              <w:rPr>
                <w:b/>
                <w:bCs/>
                <w:color w:val="1F4E79"/>
                <w:sz w:val="22"/>
                <w:szCs w:val="22"/>
              </w:rPr>
              <w:t xml:space="preserve">⚡ MENSAGENS-CHAVE PARA DECORAR:</w:t>
            </w:r>
          </w:p>
          <w:p>
            <w:pPr>
              <w:pStyle w:val="ListParagraph"/>
              <w:numPr>
                <w:ilvl w:val="0"/>
                <w:numId w:val="2"/>
              </w:numPr>
              <w:spacing w:after="60"/>
            </w:pPr>
            <w:r>
              <w:rPr>
                <w:b/>
                <w:bCs/>
                <w:sz w:val="22"/>
                <w:szCs w:val="22"/>
              </w:rPr>
              <w:t xml:space="preserve">EAP hipertensivo / SCA → TRIDIL é a escolha (efeito venoso predominante).</w:t>
            </w:r>
          </w:p>
          <w:p>
            <w:pPr>
              <w:pStyle w:val="ListParagraph"/>
              <w:numPr>
                <w:ilvl w:val="0"/>
                <w:numId w:val="2"/>
              </w:numPr>
              <w:spacing w:after="60"/>
            </w:pPr>
            <w:r>
              <w:rPr>
                <w:b/>
                <w:bCs/>
                <w:sz w:val="22"/>
                <w:szCs w:val="22"/>
              </w:rPr>
              <w:t xml:space="preserve">Emergência hipertensiva grave / dissecção aórtica → NIPRIDE (com β-bloq antes!).</w:t>
            </w:r>
          </w:p>
          <w:p>
            <w:pPr>
              <w:pStyle w:val="ListParagraph"/>
              <w:numPr>
                <w:ilvl w:val="0"/>
                <w:numId w:val="2"/>
              </w:numPr>
              <w:spacing w:after="60"/>
            </w:pPr>
            <w:r>
              <w:rPr>
                <w:sz w:val="22"/>
                <w:szCs w:val="22"/>
              </w:rPr>
              <w:t xml:space="preserve">AMBOS exigem PA INVASIVA quando em doses altas / infusão prolongada.</w:t>
            </w:r>
          </w:p>
          <w:p>
            <w:pPr>
              <w:pStyle w:val="ListParagraph"/>
              <w:numPr>
                <w:ilvl w:val="0"/>
                <w:numId w:val="2"/>
              </w:numPr>
              <w:spacing w:after="60"/>
            </w:pPr>
            <w:r>
              <w:rPr>
                <w:color w:val="C00000"/>
                <w:sz w:val="22"/>
                <w:szCs w:val="22"/>
              </w:rPr>
              <w:t xml:space="preserve">NIPRIDE EVITAR em IRC, hepatopatia, gestante, infusão &gt; 24-48h.</w:t>
            </w:r>
          </w:p>
          <w:p>
            <w:pPr>
              <w:pStyle w:val="ListParagraph"/>
              <w:numPr>
                <w:ilvl w:val="0"/>
                <w:numId w:val="2"/>
              </w:numPr>
              <w:spacing w:after="0"/>
            </w:pPr>
            <w:r>
              <w:rPr>
                <w:b/>
                <w:bCs/>
                <w:sz w:val="22"/>
                <w:szCs w:val="22"/>
              </w:rPr>
              <w:t xml:space="preserve">PROTEGER NIPRIDE DA LUZ (cobertura âmbar/papel alumínio).</w:t>
            </w:r>
          </w:p>
        </w:tc>
      </w:tr>
    </w:tbl>
    <w:p>
      <w:pPr>
        <w:spacing w:after="120"/>
      </w:pPr>
      <w:r>
        <w:t xml:space="preserve"/>
      </w:r>
    </w:p>
    <w:p>
      <w:r>
        <w:br w:type="page"/>
      </w:r>
    </w:p>
    <w:p>
      <w:pPr>
        <w:pStyle w:val="Heading1"/>
        <w:spacing w:after="200" w:before="360"/>
      </w:pPr>
      <w:r>
        <w:rPr>
          <w:b/>
          <w:bCs/>
          <w:color w:val="1F4E79"/>
          <w:sz w:val="32"/>
          <w:szCs w:val="32"/>
        </w:rPr>
        <w:t xml:space="preserve">1. 🟢 TRIDIL® (Nitroglicerina) — Farmacologia</w:t>
      </w:r>
    </w:p>
    <w:p>
      <w:pPr>
        <w:pStyle w:val="Heading2"/>
        <w:spacing w:after="160" w:before="280"/>
      </w:pPr>
      <w:r>
        <w:rPr>
          <w:b/>
          <w:bCs/>
          <w:color w:val="1F4E79"/>
          <w:sz w:val="28"/>
          <w:szCs w:val="28"/>
        </w:rPr>
        <w:t xml:space="preserve">1.1 Mecanismo de Ação</w:t>
      </w:r>
    </w:p>
    <w:p>
      <w:pPr>
        <w:spacing w:after="120" w:line="300"/>
        <w:jc w:val="both"/>
      </w:pPr>
      <w:r>
        <w:t xml:space="preserve">A nitroglicerina (GTN — gliceriltrinitrato) é um pró-fármaco que requer biotransformação intracelular (mitocondrial aldeído desidrogenase – ALDH-2) para liberar ÓXIDO NÍTRICO (NO).</w:t>
      </w:r>
    </w:p>
    <w:p>
      <w:pPr>
        <w:spacing w:after="120" w:line="300"/>
        <w:jc w:val="both"/>
      </w:pPr>
      <w:r>
        <w:t xml:space="preserve">O NO ativa a guanilato ciclase solúvel → ↑ GMPc → relaxamento da musculatura lisa vascular.</w:t>
      </w:r>
    </w:p>
    <w:p>
      <w:pPr>
        <w:pStyle w:val="Heading2"/>
        <w:spacing w:after="160" w:before="280"/>
      </w:pPr>
      <w:r>
        <w:rPr>
          <w:b/>
          <w:bCs/>
          <w:color w:val="1F4E79"/>
          <w:sz w:val="28"/>
          <w:szCs w:val="28"/>
        </w:rPr>
        <w:t xml:space="preserve">1.2 Perfil Vasodilatador (DOSE-DEPENDENTE)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Dose (µg/min)</w:t>
            </w:r>
          </w:p>
        </w:tc>
        <w:tc>
          <w:tcPr>
            <w:tcW w:type="dxa" w:w="23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Efeito Predominante</w:t>
            </w:r>
          </w:p>
        </w:tc>
        <w:tc>
          <w:tcPr>
            <w:tcW w:type="dxa" w:w="23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Hemodinâmica</w:t>
            </w:r>
          </w:p>
        </w:tc>
        <w:tc>
          <w:tcPr>
            <w:tcW w:type="dxa" w:w="23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Clínica</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5 - 20</w:t>
            </w:r>
          </w:p>
        </w:tc>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Venodilatação</w:t>
            </w:r>
          </w:p>
        </w:tc>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 pré-carga, ↓ PCP, ↓ PVC</w:t>
            </w:r>
          </w:p>
        </w:tc>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Antianginoso, anti-isquêmico</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20 - 100</w:t>
            </w:r>
          </w:p>
        </w:tc>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Veno + arteriolar</w:t>
            </w:r>
          </w:p>
        </w:tc>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 pré + ↓ pós-carga moderada, ↓ PA leve</w:t>
            </w:r>
          </w:p>
        </w:tc>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Edema agudo, SCA, ICC descompensada</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100 - 200+</w:t>
            </w:r>
          </w:p>
        </w:tc>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Arteriolar predomina</w:t>
            </w:r>
          </w:p>
        </w:tc>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 PA, ↓ RVS significativa</w:t>
            </w:r>
          </w:p>
        </w:tc>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EAP grave, crise hipertensiva (alternativa)</w:t>
            </w:r>
          </w:p>
        </w:tc>
      </w:tr>
    </w:tbl>
    <w:p>
      <w:pPr>
        <w:spacing w:after="120"/>
      </w:pPr>
      <w:r>
        <w:t xml:space="preserve"/>
      </w:r>
    </w:p>
    <w:p>
      <w:pPr>
        <w:pStyle w:val="Heading2"/>
        <w:spacing w:after="160" w:before="280"/>
      </w:pPr>
      <w:r>
        <w:rPr>
          <w:b/>
          <w:bCs/>
          <w:color w:val="1F4E79"/>
          <w:sz w:val="28"/>
          <w:szCs w:val="28"/>
        </w:rPr>
        <w:t xml:space="preserve">1.3 Farmacocinética</w:t>
      </w:r>
    </w:p>
    <w:p>
      <w:pPr>
        <w:pStyle w:val="ListParagraph"/>
        <w:numPr>
          <w:ilvl w:val="0"/>
          <w:numId w:val="2"/>
        </w:numPr>
        <w:spacing w:after="80" w:line="280"/>
      </w:pPr>
      <w:r>
        <w:rPr>
          <w:b/>
          <w:bCs/>
        </w:rPr>
        <w:t xml:space="preserve">Início de ação: </w:t>
      </w:r>
      <w:r>
        <w:t xml:space="preserve">1-2 minutos.</w:t>
      </w:r>
    </w:p>
    <w:p>
      <w:pPr>
        <w:pStyle w:val="ListParagraph"/>
        <w:numPr>
          <w:ilvl w:val="0"/>
          <w:numId w:val="2"/>
        </w:numPr>
        <w:spacing w:after="80" w:line="280"/>
      </w:pPr>
      <w:r>
        <w:rPr>
          <w:b/>
          <w:bCs/>
        </w:rPr>
        <w:t xml:space="preserve">Pico: </w:t>
      </w:r>
      <w:r>
        <w:t xml:space="preserve">2-5 minutos.</w:t>
      </w:r>
    </w:p>
    <w:p>
      <w:pPr>
        <w:pStyle w:val="ListParagraph"/>
        <w:numPr>
          <w:ilvl w:val="0"/>
          <w:numId w:val="2"/>
        </w:numPr>
        <w:spacing w:after="80" w:line="280"/>
      </w:pPr>
      <w:r>
        <w:rPr>
          <w:b/>
          <w:bCs/>
        </w:rPr>
        <w:t xml:space="preserve">Meia-vida: </w:t>
      </w:r>
      <w:r>
        <w:t xml:space="preserve">1-3 minutos (extremamente curta).</w:t>
      </w:r>
    </w:p>
    <w:p>
      <w:pPr>
        <w:pStyle w:val="ListParagraph"/>
        <w:numPr>
          <w:ilvl w:val="0"/>
          <w:numId w:val="2"/>
        </w:numPr>
        <w:spacing w:after="80" w:line="280"/>
      </w:pPr>
      <w:r>
        <w:rPr>
          <w:b/>
          <w:bCs/>
        </w:rPr>
        <w:t xml:space="preserve">Metabolização: </w:t>
      </w:r>
      <w:r>
        <w:t xml:space="preserve">hepática (glutationa-S-transferase) → dinitratos (parcialmente ativos) → mononitratos (inativos).</w:t>
      </w:r>
    </w:p>
    <w:p>
      <w:pPr>
        <w:pStyle w:val="ListParagraph"/>
        <w:numPr>
          <w:ilvl w:val="0"/>
          <w:numId w:val="2"/>
        </w:numPr>
        <w:spacing w:after="80" w:line="280"/>
      </w:pPr>
      <w:r>
        <w:rPr>
          <w:b/>
          <w:bCs/>
        </w:rPr>
        <w:t xml:space="preserve">Eliminação: </w:t>
      </w:r>
      <w:r>
        <w:t xml:space="preserve">renal (mononitratos).</w:t>
      </w:r>
    </w:p>
    <w:p>
      <w:pPr>
        <w:pStyle w:val="ListParagraph"/>
        <w:numPr>
          <w:ilvl w:val="0"/>
          <w:numId w:val="2"/>
        </w:numPr>
        <w:spacing w:after="80" w:line="280"/>
      </w:pPr>
      <w:r>
        <w:rPr>
          <w:b/>
          <w:bCs/>
        </w:rPr>
        <w:t xml:space="preserve">Ajuste renal/hepático: </w:t>
      </w:r>
      <w:r>
        <w:t xml:space="preserve">não necessário (titular por efeito).</w:t>
      </w:r>
    </w:p>
    <w:p>
      <w:pPr>
        <w:pStyle w:val="Heading2"/>
        <w:spacing w:after="160" w:before="280"/>
      </w:pPr>
      <w:r>
        <w:rPr>
          <w:b/>
          <w:bCs/>
          <w:color w:val="1F4E79"/>
          <w:sz w:val="28"/>
          <w:szCs w:val="28"/>
        </w:rPr>
        <w:t xml:space="preserve">1.4 Tolerância e Taquifilaxia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CE4D6" w:val="clear"/>
            <w:tcMar>
              <w:top w:type="dxa" w:w="160"/>
              <w:left w:type="dxa" w:w="200"/>
              <w:bottom w:type="dxa" w:w="160"/>
              <w:right w:type="dxa" w:w="200"/>
            </w:tcMar>
          </w:tcPr>
          <w:p>
            <w:pPr>
              <w:spacing w:after="80"/>
            </w:pPr>
            <w:r>
              <w:rPr>
                <w:b/>
                <w:bCs/>
                <w:color w:val="1F4E79"/>
                <w:sz w:val="22"/>
                <w:szCs w:val="22"/>
              </w:rPr>
              <w:t xml:space="preserve">⚠️ FENÔMENO DA TOLERÂNCIA:</w:t>
            </w:r>
          </w:p>
          <w:p>
            <w:pPr>
              <w:spacing w:after="0"/>
            </w:pPr>
            <w:r>
              <w:rPr>
                <w:sz w:val="22"/>
                <w:szCs w:val="22"/>
              </w:rPr>
              <w:t xml:space="preserve">Após 24-72h de infusão contínua, há REDUÇÃO de eficácia por DEPLEÇÃO de grupos sulfidril (cofatores da bioativação) + ESTRESSE OXIDATIVO (formação de peroxinitrito que degrada NO). Estratégias: (1) intervalo livre de nitrato (12h sem nitrato à noite), (2) associação com N-acetilcisteína (controverso), (3) trocar para nipride. Em UTI, a taquifilaxia é menos problemática se uso &lt; 24-48h.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EAD1DC" w:val="clear"/>
            <w:tcMar>
              <w:top w:type="dxa" w:w="160"/>
              <w:left w:type="dxa" w:w="200"/>
              <w:bottom w:type="dxa" w:w="160"/>
              <w:right w:type="dxa" w:w="200"/>
            </w:tcMar>
          </w:tcPr>
          <w:p>
            <w:pPr>
              <w:spacing w:after="80"/>
            </w:pPr>
            <w:r>
              <w:rPr>
                <w:b/>
                <w:bCs/>
                <w:color w:val="1F4E79"/>
                <w:sz w:val="22"/>
                <w:szCs w:val="22"/>
              </w:rPr>
              <w:t xml:space="preserve">🤓 NERD FACT — Nitroglicerina e Alfred Nobel:</w:t>
            </w:r>
          </w:p>
          <w:p>
            <w:pPr>
              <w:spacing w:after="0"/>
            </w:pPr>
            <w:r>
              <w:rPr>
                <w:sz w:val="22"/>
                <w:szCs w:val="22"/>
              </w:rPr>
              <w:t xml:space="preserve">Alfred Nobel inventou o dinamite (nitroglicerina + diatomácea) em 1867. Curiosamente, Nobel sofria de angina de peito e seus médicos sugeriram que tomasse... NITROGLICERINA! Ele recusou, dizendo "é uma ironia do destino que me prescrevam para uso interno aquilo que eu fabrico para uso externo." Morreu em 1896 sem aceitar o tratamento. A nitroglicerina foi posteriormente formalizada como antianginosa por William Murrell em 1879.</w:t>
            </w:r>
          </w:p>
        </w:tc>
      </w:tr>
    </w:tbl>
    <w:p>
      <w:pPr>
        <w:spacing w:after="120"/>
      </w:pPr>
      <w:r>
        <w:t xml:space="preserve"/>
      </w:r>
    </w:p>
    <w:p>
      <w:r>
        <w:br w:type="page"/>
      </w:r>
    </w:p>
    <w:p>
      <w:pPr>
        <w:pStyle w:val="Heading1"/>
        <w:spacing w:after="200" w:before="360"/>
      </w:pPr>
      <w:r>
        <w:rPr>
          <w:b/>
          <w:bCs/>
          <w:color w:val="1F4E79"/>
          <w:sz w:val="32"/>
          <w:szCs w:val="32"/>
        </w:rPr>
        <w:t xml:space="preserve">2. 🟢 TRIDIL® — Indicações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Cenário Clínico</w:t>
            </w:r>
          </w:p>
        </w:tc>
        <w:tc>
          <w:tcPr>
            <w:tcW w:type="dxa" w:w="62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Justificativa e Particularidades</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2E7D32"/>
                <w:sz w:val="20"/>
                <w:szCs w:val="20"/>
              </w:rPr>
              <w:t xml:space="preserve">Edema agudo de pulmão (EAP) hipertensivo</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INDICAÇÃO PRINCIPAL. ↓ pré-carga reduz pressão capilar pulmonar rapidamente. Em PA elevada, considerar dose alta (até 200-400 µg/min ou bolus 1-2 mg).</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Síndromes coronarianas agudas (SCA)</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Reduz pré-carga + dilata coronárias epicárdicas + reduz consumo de O₂. CONTRAINDICADO em IAM de VD, uso recente de inibidores PDE-5 (sildenafil 24h, tadalafil 48h).</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ICC descompensada congestiva</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Reduz congestão; sinérgico com diurético. Bolus intermitente (1-2 mg cada 3 min) pode reduzir admissão à UTI (estudo Levy 2007).</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Crise hipertensiva (alternativa ao Nipride)</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Útil quando há componente coronariano associado. Resposta MENOS previsível em queda de PA do que Nipride.</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Hipertensão pós-operatória (cirurgia cardíaca)</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Controle de PA na chegada à UTI pós-CEC. Pode reduzir vasoconstrição coronária por enxertos (mamária).</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Espasmo coronariano (Prinzmetal)</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Dilatação direta do segmento espasmodado.</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Hipertensão pulmonar (uso restrito)</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Pode reduzir pressão pulmonar, mas óxido nítrico inalado é preferível.</w:t>
            </w:r>
          </w:p>
        </w:tc>
      </w:tr>
    </w:tbl>
    <w:p>
      <w:pPr>
        <w:spacing w:after="120"/>
      </w:pPr>
      <w:r>
        <w:t xml:space="preserve"/>
      </w:r>
    </w:p>
    <w:p>
      <w:pPr>
        <w:pStyle w:val="Heading2"/>
        <w:spacing w:after="160" w:before="280"/>
      </w:pPr>
      <w:r>
        <w:rPr>
          <w:b/>
          <w:bCs/>
          <w:color w:val="1F4E79"/>
          <w:sz w:val="28"/>
          <w:szCs w:val="28"/>
        </w:rPr>
        <w:t xml:space="preserve">2.1 Estratégia EAP — Doses Altas (Evidência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C9DAF8" w:val="clear"/>
            <w:tcMar>
              <w:top w:type="dxa" w:w="160"/>
              <w:left w:type="dxa" w:w="200"/>
              <w:bottom w:type="dxa" w:w="160"/>
              <w:right w:type="dxa" w:w="200"/>
            </w:tcMar>
          </w:tcPr>
          <w:p>
            <w:pPr>
              <w:spacing w:after="80"/>
            </w:pPr>
            <w:r>
              <w:rPr>
                <w:b/>
                <w:bCs/>
                <w:color w:val="1F4E79"/>
                <w:sz w:val="22"/>
                <w:szCs w:val="22"/>
              </w:rPr>
              <w:t xml:space="preserve">📚 EVIDÊNCIA RECENTE — Dose alta vs baixa em EAP hipertensivo:</w:t>
            </w:r>
          </w:p>
          <w:p>
            <w:pPr>
              <w:spacing w:after="60"/>
            </w:pPr>
            <w:r>
              <w:rPr>
                <w:b/>
                <w:bCs/>
                <w:sz w:val="22"/>
                <w:szCs w:val="22"/>
              </w:rPr>
              <w:t xml:space="preserve">Estudo retrospectivo 2024 (441 pacientes, EAP em emergência hipertensiva):</w:t>
            </w:r>
          </w:p>
          <w:p>
            <w:pPr>
              <w:pStyle w:val="ListParagraph"/>
              <w:numPr>
                <w:ilvl w:val="0"/>
                <w:numId w:val="2"/>
              </w:numPr>
              <w:spacing w:after="60"/>
            </w:pPr>
            <w:r>
              <w:rPr>
                <w:sz w:val="22"/>
                <w:szCs w:val="22"/>
              </w:rPr>
              <w:t xml:space="preserve">DOSE BAIXA (&lt; 100 µg/min): tempo para desmame O₂ = 3,8h</w:t>
            </w:r>
          </w:p>
          <w:p>
            <w:pPr>
              <w:pStyle w:val="ListParagraph"/>
              <w:numPr>
                <w:ilvl w:val="0"/>
                <w:numId w:val="2"/>
              </w:numPr>
              <w:spacing w:after="60"/>
            </w:pPr>
            <w:r>
              <w:rPr>
                <w:b/>
                <w:bCs/>
                <w:sz w:val="22"/>
                <w:szCs w:val="22"/>
              </w:rPr>
              <w:t xml:space="preserve">DOSE ALTA (≥ 100 µg/min): tempo para desmame O₂ = 2,7h (P&lt;0,05)</w:t>
            </w:r>
          </w:p>
          <w:p>
            <w:pPr>
              <w:spacing w:after="60"/>
            </w:pPr>
            <w:r>
              <w:rPr>
                <w:sz w:val="22"/>
                <w:szCs w:val="22"/>
              </w:rPr>
              <w:t xml:space="preserve">Estratégia agressiva (Levy 2007): bolus de 2.000 µg a cada 3 min (até 20.000 µg total) — reduziu IOT (13,8% vs 26,7%) e admissão UTI (37,9% vs 80%).</w:t>
            </w:r>
          </w:p>
          <w:p>
            <w:pPr>
              <w:spacing w:after="0"/>
            </w:pPr>
            <w:r>
              <w:rPr>
                <w:i/>
                <w:iCs/>
                <w:color w:val="548235"/>
                <w:sz w:val="22"/>
                <w:szCs w:val="22"/>
              </w:rPr>
              <w:t xml:space="preserve">CONCLUSÃO: NÃO TENHA MEDO de aumentar dose em EAP hipertensivo. Iniciar 50-100 µg/min e titular agressivamente é seguro se houver monitorização.</w:t>
            </w:r>
          </w:p>
        </w:tc>
      </w:tr>
    </w:tbl>
    <w:p>
      <w:pPr>
        <w:spacing w:after="120"/>
      </w:pPr>
      <w:r>
        <w:t xml:space="preserve"/>
      </w:r>
    </w:p>
    <w:p>
      <w:pPr>
        <w:pStyle w:val="Heading2"/>
        <w:spacing w:after="160" w:before="280"/>
      </w:pPr>
      <w:r>
        <w:rPr>
          <w:b/>
          <w:bCs/>
          <w:color w:val="1F4E79"/>
          <w:sz w:val="28"/>
          <w:szCs w:val="28"/>
        </w:rPr>
        <w:t xml:space="preserve">2.2 Contraindicações do TRIDIL</w:t>
      </w:r>
    </w:p>
    <w:p>
      <w:pPr>
        <w:pStyle w:val="ListParagraph"/>
        <w:numPr>
          <w:ilvl w:val="0"/>
          <w:numId w:val="2"/>
        </w:numPr>
        <w:spacing w:after="80" w:line="280"/>
      </w:pPr>
      <w:r>
        <w:rPr>
          <w:b/>
          <w:bCs/>
          <w:color w:val="C00000"/>
        </w:rPr>
        <w:t xml:space="preserve">ABSOLUTAS: </w:t>
      </w:r>
    </w:p>
    <w:p>
      <w:pPr>
        <w:pStyle w:val="ListParagraph"/>
        <w:numPr>
          <w:ilvl w:val="1"/>
          <w:numId w:val="2"/>
        </w:numPr>
        <w:spacing w:after="80" w:line="280"/>
      </w:pPr>
      <w:r>
        <w:t xml:space="preserve">Uso de inibidores PDE-5 nas últimas 24h (sildenafil) ou 48h (tadalafil) — risco de hipotensão grave.</w:t>
      </w:r>
    </w:p>
    <w:p>
      <w:pPr>
        <w:pStyle w:val="ListParagraph"/>
        <w:numPr>
          <w:ilvl w:val="1"/>
          <w:numId w:val="2"/>
        </w:numPr>
        <w:spacing w:after="80" w:line="280"/>
      </w:pPr>
      <w:r>
        <w:t xml:space="preserve">Hipotensão (PAS &lt; 90 mmHg).</w:t>
      </w:r>
    </w:p>
    <w:p>
      <w:pPr>
        <w:pStyle w:val="ListParagraph"/>
        <w:numPr>
          <w:ilvl w:val="1"/>
          <w:numId w:val="2"/>
        </w:numPr>
        <w:spacing w:after="80" w:line="280"/>
      </w:pPr>
      <w:r>
        <w:t xml:space="preserve">Hipertensão intracraniana grave (pode aumentar PIC).</w:t>
      </w:r>
    </w:p>
    <w:p>
      <w:pPr>
        <w:pStyle w:val="ListParagraph"/>
        <w:numPr>
          <w:ilvl w:val="1"/>
          <w:numId w:val="2"/>
        </w:numPr>
        <w:spacing w:after="80" w:line="280"/>
      </w:pPr>
      <w:r>
        <w:t xml:space="preserve">Cardiomiopatia hipertrófica obstrutiva.</w:t>
      </w:r>
    </w:p>
    <w:p>
      <w:pPr>
        <w:pStyle w:val="ListParagraph"/>
        <w:numPr>
          <w:ilvl w:val="1"/>
          <w:numId w:val="2"/>
        </w:numPr>
        <w:spacing w:after="80" w:line="280"/>
      </w:pPr>
      <w:r>
        <w:t xml:space="preserve">Estenose aórtica grave (risco de hipotensão refratária).</w:t>
      </w:r>
    </w:p>
    <w:p>
      <w:pPr>
        <w:pStyle w:val="ListParagraph"/>
        <w:numPr>
          <w:ilvl w:val="1"/>
          <w:numId w:val="2"/>
        </w:numPr>
        <w:spacing w:after="80" w:line="280"/>
      </w:pPr>
      <w:r>
        <w:t xml:space="preserve">Tamponamento cardíaco / pericardite constritiva (dependência de pré-carga).</w:t>
      </w:r>
    </w:p>
    <w:p>
      <w:pPr>
        <w:pStyle w:val="ListParagraph"/>
        <w:numPr>
          <w:ilvl w:val="1"/>
          <w:numId w:val="2"/>
        </w:numPr>
        <w:spacing w:after="80" w:line="280"/>
      </w:pPr>
      <w:r>
        <w:t xml:space="preserve">Anemia grave (descompensa transporte de O₂).</w:t>
      </w:r>
    </w:p>
    <w:p>
      <w:pPr>
        <w:pStyle w:val="ListParagraph"/>
        <w:numPr>
          <w:ilvl w:val="0"/>
          <w:numId w:val="2"/>
        </w:numPr>
        <w:spacing w:after="80" w:line="280"/>
      </w:pPr>
      <w:r>
        <w:rPr>
          <w:b/>
          <w:bCs/>
          <w:color w:val="BF8F00"/>
        </w:rPr>
        <w:t xml:space="preserve">RELATIVAS: </w:t>
      </w:r>
    </w:p>
    <w:p>
      <w:pPr>
        <w:pStyle w:val="ListParagraph"/>
        <w:numPr>
          <w:ilvl w:val="1"/>
          <w:numId w:val="2"/>
        </w:numPr>
        <w:spacing w:after="80" w:line="280"/>
      </w:pPr>
      <w:r>
        <w:t xml:space="preserve">IAM de VD (depende de pré-carga — pode causar hipotensão grave).</w:t>
      </w:r>
    </w:p>
    <w:p>
      <w:pPr>
        <w:pStyle w:val="ListParagraph"/>
        <w:numPr>
          <w:ilvl w:val="1"/>
          <w:numId w:val="2"/>
        </w:numPr>
        <w:spacing w:after="80" w:line="280"/>
      </w:pPr>
      <w:r>
        <w:t xml:space="preserve">Glaucoma de ângulo fechado (cuidado teórico).</w:t>
      </w:r>
    </w:p>
    <w:p>
      <w:pPr>
        <w:pStyle w:val="ListParagraph"/>
        <w:numPr>
          <w:ilvl w:val="1"/>
          <w:numId w:val="2"/>
        </w:numPr>
        <w:spacing w:after="80" w:line="280"/>
      </w:pPr>
      <w:r>
        <w:t xml:space="preserve">Hipovolemia não corrigida.</w:t>
      </w:r>
    </w:p>
    <w:p>
      <w:pPr>
        <w:spacing w:after="120"/>
      </w:pPr>
      <w:r>
        <w:t xml:space="preserve"/>
      </w:r>
    </w:p>
    <w:p>
      <w:r>
        <w:br w:type="page"/>
      </w:r>
    </w:p>
    <w:p>
      <w:pPr>
        <w:pStyle w:val="Heading1"/>
        <w:spacing w:after="200" w:before="360"/>
      </w:pPr>
      <w:r>
        <w:rPr>
          <w:b/>
          <w:bCs/>
          <w:color w:val="1F4E79"/>
          <w:sz w:val="32"/>
          <w:szCs w:val="32"/>
        </w:rPr>
        <w:t xml:space="preserve">3. 🟢 TRIDIL® — Preparo e Administração</w:t>
      </w:r>
    </w:p>
    <w:p>
      <w:pPr>
        <w:pStyle w:val="Heading2"/>
        <w:spacing w:after="160" w:before="280"/>
      </w:pPr>
      <w:r>
        <w:rPr>
          <w:b/>
          <w:bCs/>
          <w:color w:val="1F4E79"/>
          <w:sz w:val="28"/>
          <w:szCs w:val="28"/>
        </w:rPr>
        <w:t xml:space="preserve">3.1 Apresentações</w:t>
      </w:r>
    </w:p>
    <w:p>
      <w:pPr>
        <w:pStyle w:val="ListParagraph"/>
        <w:numPr>
          <w:ilvl w:val="0"/>
          <w:numId w:val="2"/>
        </w:numPr>
        <w:spacing w:after="80" w:line="280"/>
      </w:pPr>
      <w:r>
        <w:t xml:space="preserve">Tridil® (nitroglicerina): ampola 25 mg/5 mL (5 mg/mL) ou 50 mg/10 mL (5 mg/mL) — Brasil.</w:t>
      </w:r>
    </w:p>
    <w:p>
      <w:pPr>
        <w:pStyle w:val="ListParagraph"/>
        <w:numPr>
          <w:ilvl w:val="0"/>
          <w:numId w:val="2"/>
        </w:numPr>
        <w:spacing w:after="80" w:line="280"/>
      </w:pPr>
      <w:r>
        <w:t xml:space="preserve">Compatível com SF 0,9% e SG 5%.</w:t>
      </w:r>
    </w:p>
    <w:p>
      <w:pPr>
        <w:pStyle w:val="ListParagraph"/>
        <w:numPr>
          <w:ilvl w:val="0"/>
          <w:numId w:val="2"/>
        </w:numPr>
        <w:spacing w:after="80" w:line="280"/>
      </w:pPr>
      <w:r>
        <w:t xml:space="preserve">INCOMPATIBILIDADE: usar APENAS equipos e bolsas de PVC com baixa absorção (PVC convencional absorve até 40-80% — preferir POLIETILENO ou VIDRO).</w:t>
      </w:r>
    </w:p>
    <w:p>
      <w:pPr>
        <w:pStyle w:val="Heading2"/>
        <w:spacing w:after="160" w:before="280"/>
      </w:pPr>
      <w:r>
        <w:rPr>
          <w:b/>
          <w:bCs/>
          <w:color w:val="1F4E79"/>
          <w:sz w:val="28"/>
          <w:szCs w:val="28"/>
        </w:rPr>
        <w:t xml:space="preserve">3.2 Diluições Padrão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Diluição</w:t>
            </w:r>
          </w:p>
        </w:tc>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Concentração Final</w:t>
            </w:r>
          </w:p>
        </w:tc>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Indicação</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25 mg em 250 mL SG 5% / SF</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100 µg/mL</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PADRÃO mais usada</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50 mg em 250 mL</w:t>
            </w:r>
          </w:p>
        </w:tc>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200 µg/mL</w:t>
            </w:r>
          </w:p>
        </w:tc>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Doses altas / restrição hídrica</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25 mg em 100 mL</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250 µg/mL</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Restrição hídrica grave</w:t>
            </w:r>
          </w:p>
        </w:tc>
      </w:tr>
    </w:tbl>
    <w:p>
      <w:pPr>
        <w:spacing w:after="120"/>
      </w:pPr>
      <w:r>
        <w:t xml:space="preserve"/>
      </w:r>
    </w:p>
    <w:p>
      <w:pPr>
        <w:pStyle w:val="Heading2"/>
        <w:spacing w:after="160" w:before="280"/>
      </w:pPr>
      <w:r>
        <w:rPr>
          <w:b/>
          <w:bCs/>
          <w:color w:val="1F4E79"/>
          <w:sz w:val="28"/>
          <w:szCs w:val="28"/>
        </w:rPr>
        <w:t xml:space="preserve">3.3 Cálculo de Velocidade de Infusão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8"/>
              <w:left w:val="single" w:color="1F4E79" w:sz="18"/>
              <w:bottom w:val="single" w:color="1F4E79" w:sz="18"/>
              <w:right w:val="single" w:color="1F4E79" w:sz="18"/>
            </w:tcBorders>
            <w:shd w:fill="F2F2F2" w:val="clear"/>
            <w:tcMar>
              <w:top w:type="dxa" w:w="200"/>
              <w:left w:type="dxa" w:w="240"/>
              <w:bottom w:type="dxa" w:w="200"/>
              <w:right w:type="dxa" w:w="240"/>
            </w:tcMar>
          </w:tcPr>
          <w:p>
            <w:pPr>
              <w:spacing w:after="100"/>
              <w:jc w:val="center"/>
            </w:pPr>
            <w:r>
              <w:rPr>
                <w:b/>
                <w:bCs/>
                <w:color w:val="1F4E79"/>
                <w:sz w:val="24"/>
                <w:szCs w:val="24"/>
              </w:rPr>
              <w:t xml:space="preserve">FÓRMULA DE INFUSÃO (TRIDIL — dose em µg/min, NÃO por kg!)</w:t>
            </w:r>
          </w:p>
          <w:p>
            <w:pPr>
              <w:spacing w:after="100"/>
              <w:jc w:val="center"/>
            </w:pPr>
            <w:r>
              <w:rPr>
                <w:rFonts w:ascii="Cambria Math" w:cs="Cambria Math" w:eastAsia="Cambria Math" w:hAnsi="Cambria Math"/>
                <w:b/>
                <w:bCs/>
                <w:color w:val="C00000"/>
                <w:sz w:val="28"/>
                <w:szCs w:val="28"/>
              </w:rPr>
              <w:t xml:space="preserve">Velocidade (mL/h) = [Dose (µg/min) × 60] ÷ Concentração (µg/mL)</w:t>
            </w:r>
          </w:p>
          <w:p>
            <w:pPr>
              <w:spacing w:after="0"/>
              <w:jc w:val="center"/>
            </w:pPr>
            <w:r>
              <w:rPr>
                <w:i/>
                <w:iCs/>
                <w:color w:val="555555"/>
                <w:sz w:val="20"/>
                <w:szCs w:val="20"/>
              </w:rPr>
              <w:t xml:space="preserve">Atenção: dose do Tridil é em µg/min TOTAL, NÃO por kg/min</w:t>
            </w:r>
          </w:p>
        </w:tc>
      </w:tr>
    </w:tbl>
    <w:p>
      <w:pPr>
        <w:spacing w:after="120"/>
      </w:pPr>
      <w:r>
        <w:t xml:space="preserve"/>
      </w:r>
    </w:p>
    <w:p>
      <w:pPr>
        <w:pStyle w:val="Heading3"/>
        <w:spacing w:after="120" w:before="200"/>
      </w:pPr>
      <w:r>
        <w:rPr>
          <w:b/>
          <w:bCs/>
          <w:color w:val="BF8F00"/>
          <w:sz w:val="24"/>
          <w:szCs w:val="24"/>
        </w:rPr>
        <w:t xml:space="preserve">Exemplo prático</w:t>
      </w:r>
    </w:p>
    <w:p>
      <w:pPr>
        <w:spacing w:after="120" w:line="300"/>
        <w:jc w:val="both"/>
      </w:pPr>
      <w:r>
        <w:rPr>
          <w:b/>
          <w:bCs/>
        </w:rPr>
        <w:t xml:space="preserve">Tridil </w:t>
      </w:r>
      <w:r>
        <w:t xml:space="preserve">25 mg em 250 mL (concentração 100 µg/mL). </w:t>
      </w:r>
      <w:r>
        <w:rPr>
          <w:b/>
          <w:bCs/>
        </w:rPr>
        <w:t xml:space="preserve">Dose desejada: </w:t>
      </w:r>
      <w:r>
        <w:t xml:space="preserve">50 µg/min.</w:t>
      </w:r>
    </w:p>
    <w:p>
      <w:pPr>
        <w:spacing w:after="120" w:line="300"/>
        <w:jc w:val="both"/>
      </w:pPr>
      <w:r>
        <w:rPr>
          <w:b/>
          <w:bCs/>
        </w:rPr>
        <w:t xml:space="preserve">Cálculo: </w:t>
      </w:r>
      <w:r>
        <w:t xml:space="preserve">(50 × 60) ÷ 100 = </w:t>
      </w:r>
      <w:r>
        <w:rPr>
          <w:b/>
          <w:bCs/>
          <w:color w:val="C00000"/>
        </w:rPr>
        <w:t xml:space="preserve">30 mL/h.</w:t>
      </w:r>
    </w:p>
    <w:p>
      <w:pPr>
        <w:spacing w:after="120"/>
      </w:pPr>
      <w:r>
        <w:t xml:space="preserve"/>
      </w:r>
    </w:p>
    <w:p>
      <w:pPr>
        <w:pStyle w:val="Heading3"/>
        <w:spacing w:after="120" w:before="200"/>
      </w:pPr>
      <w:r>
        <w:rPr>
          <w:b/>
          <w:bCs/>
          <w:color w:val="BF8F00"/>
          <w:sz w:val="24"/>
          <w:szCs w:val="24"/>
        </w:rPr>
        <w:t xml:space="preserve">Tabela Rápida — Bomba (mL/h) para diluição PADRÃO 100 µg/mL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Dose (µg/min)</w:t>
            </w:r>
          </w:p>
        </w:tc>
        <w:tc>
          <w:tcPr>
            <w:tcW w:type="dxa" w:w="1872"/>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5</w:t>
            </w:r>
          </w:p>
        </w:tc>
        <w:tc>
          <w:tcPr>
            <w:tcW w:type="dxa" w:w="1872"/>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10</w:t>
            </w:r>
          </w:p>
        </w:tc>
        <w:tc>
          <w:tcPr>
            <w:tcW w:type="dxa" w:w="1872"/>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20</w:t>
            </w:r>
          </w:p>
        </w:tc>
        <w:tc>
          <w:tcPr>
            <w:tcW w:type="dxa" w:w="1872"/>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Demais doses</w:t>
            </w:r>
          </w:p>
        </w:tc>
      </w:tr>
      <w:tr>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Velocidade (mL/h)</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3</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6</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12</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Multiplicar por 0,6</w:t>
            </w:r>
          </w:p>
        </w:tc>
      </w:tr>
      <w:tr>
        <w:tc>
          <w:tcPr>
            <w:tcW w:type="dxa" w:w="1872"/>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Dose (µg/min)</w:t>
            </w:r>
          </w:p>
        </w:tc>
        <w:tc>
          <w:tcPr>
            <w:tcW w:type="dxa" w:w="1872"/>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50</w:t>
            </w:r>
          </w:p>
        </w:tc>
        <w:tc>
          <w:tcPr>
            <w:tcW w:type="dxa" w:w="1872"/>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100</w:t>
            </w:r>
          </w:p>
        </w:tc>
        <w:tc>
          <w:tcPr>
            <w:tcW w:type="dxa" w:w="1872"/>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150</w:t>
            </w:r>
          </w:p>
        </w:tc>
        <w:tc>
          <w:tcPr>
            <w:tcW w:type="dxa" w:w="1872"/>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200</w:t>
            </w:r>
          </w:p>
        </w:tc>
      </w:tr>
      <w:tr>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Velocidade (mL/h)</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30</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60</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90</w:t>
            </w:r>
          </w:p>
        </w:tc>
        <w:tc>
          <w:tcPr>
            <w:tcW w:type="dxa" w:w="1872"/>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120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FF2CC" w:val="clear"/>
            <w:tcMar>
              <w:top w:type="dxa" w:w="160"/>
              <w:left w:type="dxa" w:w="200"/>
              <w:bottom w:type="dxa" w:w="160"/>
              <w:right w:type="dxa" w:w="200"/>
            </w:tcMar>
          </w:tcPr>
          <w:p>
            <w:pPr>
              <w:spacing w:after="80"/>
            </w:pPr>
            <w:r>
              <w:rPr>
                <w:b/>
                <w:bCs/>
                <w:color w:val="1F4E79"/>
                <w:sz w:val="22"/>
                <w:szCs w:val="22"/>
              </w:rPr>
              <w:t xml:space="preserve">💡 DICA — Conversão rápida (TRIDIL 100 µg/mL):</w:t>
            </w:r>
          </w:p>
          <w:p>
            <w:pPr>
              <w:spacing w:after="0"/>
            </w:pPr>
            <w:r>
              <w:rPr>
                <w:sz w:val="22"/>
                <w:szCs w:val="22"/>
              </w:rPr>
              <w:t xml:space="preserve">Para a diluição padrão 100 µg/mL: VELOCIDADE (mL/h) = DOSE (µg/min) × 0,6. Exemplo: 50 µg/min × 0,6 = 30 mL/h. Para 200 µg/mL: VELOCIDADE = DOSE × 0,3. Memorizar essa relação economiza tempo no leito.</w:t>
            </w:r>
          </w:p>
        </w:tc>
      </w:tr>
    </w:tbl>
    <w:p>
      <w:pPr>
        <w:spacing w:after="120"/>
      </w:pPr>
      <w:r>
        <w:t xml:space="preserve"/>
      </w:r>
    </w:p>
    <w:p>
      <w:pPr>
        <w:pStyle w:val="Heading2"/>
        <w:spacing w:after="160" w:before="280"/>
      </w:pPr>
      <w:r>
        <w:rPr>
          <w:b/>
          <w:bCs/>
          <w:color w:val="1F4E79"/>
          <w:sz w:val="28"/>
          <w:szCs w:val="28"/>
        </w:rPr>
        <w:t xml:space="preserve">3.4 Acesso Venoso</w:t>
      </w:r>
    </w:p>
    <w:p>
      <w:pPr>
        <w:pStyle w:val="ListParagraph"/>
        <w:numPr>
          <w:ilvl w:val="0"/>
          <w:numId w:val="2"/>
        </w:numPr>
        <w:spacing w:after="80" w:line="280"/>
      </w:pPr>
      <w:r>
        <w:t xml:space="preserve">Pode ser administrado por veia periférica (boa tolerância).</w:t>
      </w:r>
    </w:p>
    <w:p>
      <w:pPr>
        <w:pStyle w:val="ListParagraph"/>
        <w:numPr>
          <w:ilvl w:val="0"/>
          <w:numId w:val="2"/>
        </w:numPr>
        <w:spacing w:after="80" w:line="280"/>
      </w:pPr>
      <w:r>
        <w:t xml:space="preserve">CVC preferível em infusões prolongadas (&gt; 24h) ou doses altas (&gt; 100 µg/min).</w:t>
      </w:r>
    </w:p>
    <w:p>
      <w:pPr>
        <w:pStyle w:val="ListParagraph"/>
        <w:numPr>
          <w:ilvl w:val="0"/>
          <w:numId w:val="2"/>
        </w:numPr>
        <w:spacing w:after="80" w:line="280"/>
      </w:pPr>
      <w:r>
        <w:t xml:space="preserve">PA INVASIVA recomendada se dose &gt; 100 µg/min ou paciente em choque cardiogênico.</w:t>
      </w:r>
    </w:p>
    <w:p>
      <w:pPr>
        <w:spacing w:after="120"/>
      </w:pPr>
      <w:r>
        <w:t xml:space="preserve"/>
      </w:r>
    </w:p>
    <w:p>
      <w:r>
        <w:br w:type="page"/>
      </w:r>
    </w:p>
    <w:p>
      <w:pPr>
        <w:pStyle w:val="Heading1"/>
        <w:spacing w:after="200" w:before="360"/>
      </w:pPr>
      <w:r>
        <w:rPr>
          <w:b/>
          <w:bCs/>
          <w:color w:val="1F4E79"/>
          <w:sz w:val="32"/>
          <w:szCs w:val="32"/>
        </w:rPr>
        <w:t xml:space="preserve">4. 🟣 NIPRIDE® (Nitroprussiato de Sódio) — Farmacologia</w:t>
      </w:r>
    </w:p>
    <w:p>
      <w:pPr>
        <w:pStyle w:val="Heading2"/>
        <w:spacing w:after="160" w:before="280"/>
      </w:pPr>
      <w:r>
        <w:rPr>
          <w:b/>
          <w:bCs/>
          <w:color w:val="1F4E79"/>
          <w:sz w:val="28"/>
          <w:szCs w:val="28"/>
        </w:rPr>
        <w:t xml:space="preserve">4.1 Mecanismo de Ação</w:t>
      </w:r>
    </w:p>
    <w:p>
      <w:pPr>
        <w:spacing w:after="120" w:line="300"/>
        <w:jc w:val="both"/>
      </w:pPr>
      <w:r>
        <w:t xml:space="preserve">O nitroprussiato de sódio (Na₂[Fe(CN)₅NO]) é uma molécula complexa contendo 1 átomo de FERRO + 5 grupos CIANETO + 1 grupo NITROSIL. Em contato com tecidos, libera NO RAPIDAMENTE (sem necessidade de bioativação enzimática) → ↑ GMPc → vasodilatação arterial E venosa BALANCEADA.</w:t>
      </w:r>
    </w:p>
    <w:p>
      <w:pPr>
        <w:pStyle w:val="Heading2"/>
        <w:spacing w:after="160" w:before="280"/>
      </w:pPr>
      <w:r>
        <w:rPr>
          <w:b/>
          <w:bCs/>
          <w:color w:val="1F4E79"/>
          <w:sz w:val="28"/>
          <w:szCs w:val="28"/>
        </w:rPr>
        <w:t xml:space="preserve">4.2 Perfil Vasodilatador</w:t>
      </w:r>
    </w:p>
    <w:p>
      <w:pPr>
        <w:pStyle w:val="ListParagraph"/>
        <w:numPr>
          <w:ilvl w:val="0"/>
          <w:numId w:val="2"/>
        </w:numPr>
        <w:spacing w:after="80" w:line="280"/>
      </w:pPr>
      <w:r>
        <w:rPr>
          <w:b/>
          <w:bCs/>
        </w:rPr>
        <w:t xml:space="preserve">Vasodilatação BALANCEADA: </w:t>
      </w:r>
      <w:r>
        <w:t xml:space="preserve">artérias e veias em proporção semelhante.</w:t>
      </w:r>
    </w:p>
    <w:p>
      <w:pPr>
        <w:pStyle w:val="ListParagraph"/>
        <w:numPr>
          <w:ilvl w:val="0"/>
          <w:numId w:val="2"/>
        </w:numPr>
        <w:spacing w:after="80" w:line="280"/>
      </w:pPr>
      <w:r>
        <w:rPr>
          <w:b/>
          <w:bCs/>
        </w:rPr>
        <w:t xml:space="preserve">↓ Pós-carga: </w:t>
      </w:r>
      <w:r>
        <w:t xml:space="preserve">redução acentuada da RVS (↓ PA).</w:t>
      </w:r>
    </w:p>
    <w:p>
      <w:pPr>
        <w:pStyle w:val="ListParagraph"/>
        <w:numPr>
          <w:ilvl w:val="0"/>
          <w:numId w:val="2"/>
        </w:numPr>
        <w:spacing w:after="80" w:line="280"/>
      </w:pPr>
      <w:r>
        <w:rPr>
          <w:b/>
          <w:bCs/>
        </w:rPr>
        <w:t xml:space="preserve">↓ Pré-carga: </w:t>
      </w:r>
      <w:r>
        <w:t xml:space="preserve">redução da PVC e PCP.</w:t>
      </w:r>
    </w:p>
    <w:p>
      <w:pPr>
        <w:pStyle w:val="ListParagraph"/>
        <w:numPr>
          <w:ilvl w:val="0"/>
          <w:numId w:val="2"/>
        </w:numPr>
        <w:spacing w:after="80" w:line="280"/>
      </w:pPr>
      <w:r>
        <w:rPr>
          <w:b/>
          <w:bCs/>
        </w:rPr>
        <w:t xml:space="preserve">↑ DC potencial: </w:t>
      </w:r>
      <w:r>
        <w:t xml:space="preserve">em pacientes com IC e RVS muito elevada.</w:t>
      </w:r>
    </w:p>
    <w:p>
      <w:pPr>
        <w:pStyle w:val="ListParagraph"/>
        <w:numPr>
          <w:ilvl w:val="0"/>
          <w:numId w:val="2"/>
        </w:numPr>
        <w:spacing w:after="80" w:line="280"/>
      </w:pPr>
      <w:r>
        <w:rPr>
          <w:b/>
          <w:bCs/>
        </w:rPr>
        <w:t xml:space="preserve">Sem efeito direto sobre coronárias </w:t>
      </w:r>
      <w:r>
        <w:t xml:space="preserve">(diferente do Tridil — pode causar "steal" coronariano, eis um motivo a evitar em isquemia ativa).</w:t>
      </w:r>
    </w:p>
    <w:p>
      <w:pPr>
        <w:pStyle w:val="Heading2"/>
        <w:spacing w:after="160" w:before="280"/>
      </w:pPr>
      <w:r>
        <w:rPr>
          <w:b/>
          <w:bCs/>
          <w:color w:val="1F4E79"/>
          <w:sz w:val="28"/>
          <w:szCs w:val="28"/>
        </w:rPr>
        <w:t xml:space="preserve">4.3 Farmacocinética</w:t>
      </w:r>
    </w:p>
    <w:p>
      <w:pPr>
        <w:pStyle w:val="ListParagraph"/>
        <w:numPr>
          <w:ilvl w:val="0"/>
          <w:numId w:val="2"/>
        </w:numPr>
        <w:spacing w:after="80" w:line="280"/>
      </w:pPr>
      <w:r>
        <w:rPr>
          <w:b/>
          <w:bCs/>
        </w:rPr>
        <w:t xml:space="preserve">Início: </w:t>
      </w:r>
      <w:r>
        <w:t xml:space="preserve">imediato (&lt; 30 segundos).</w:t>
      </w:r>
    </w:p>
    <w:p>
      <w:pPr>
        <w:pStyle w:val="ListParagraph"/>
        <w:numPr>
          <w:ilvl w:val="0"/>
          <w:numId w:val="2"/>
        </w:numPr>
        <w:spacing w:after="80" w:line="280"/>
      </w:pPr>
      <w:r>
        <w:rPr>
          <w:b/>
          <w:bCs/>
        </w:rPr>
        <w:t xml:space="preserve">Pico: </w:t>
      </w:r>
      <w:r>
        <w:t xml:space="preserve">1-2 minutos.</w:t>
      </w:r>
    </w:p>
    <w:p>
      <w:pPr>
        <w:pStyle w:val="ListParagraph"/>
        <w:numPr>
          <w:ilvl w:val="0"/>
          <w:numId w:val="2"/>
        </w:numPr>
        <w:spacing w:after="80" w:line="280"/>
      </w:pPr>
      <w:r>
        <w:rPr>
          <w:b/>
          <w:bCs/>
        </w:rPr>
        <w:t xml:space="preserve">Meia-vida: </w:t>
      </w:r>
      <w:r>
        <w:t xml:space="preserve">1-2 minutos (uma das mais curtas em farmacologia clínica).</w:t>
      </w:r>
    </w:p>
    <w:p>
      <w:pPr>
        <w:pStyle w:val="ListParagraph"/>
        <w:numPr>
          <w:ilvl w:val="0"/>
          <w:numId w:val="2"/>
        </w:numPr>
        <w:spacing w:after="80" w:line="280"/>
      </w:pPr>
      <w:r>
        <w:rPr>
          <w:b/>
          <w:bCs/>
        </w:rPr>
        <w:t xml:space="preserve">Metabolismo: </w:t>
      </w:r>
      <w:r>
        <w:t xml:space="preserve">hidrólise direta + reação com hemoglobina → libera CIANETO (CN⁻) → metabolizado pela ENZIMA RODANESE (hepática) com TIOSSULFATO → TIOCIANATO (SCN⁻) → eliminação RENAL.</w:t>
      </w:r>
    </w:p>
    <w:p>
      <w:pPr>
        <w:pStyle w:val="ListParagraph"/>
        <w:numPr>
          <w:ilvl w:val="0"/>
          <w:numId w:val="2"/>
        </w:numPr>
        <w:spacing w:after="80" w:line="280"/>
      </w:pPr>
      <w:r>
        <w:rPr>
          <w:b/>
          <w:bCs/>
        </w:rPr>
        <w:t xml:space="preserve">Acúmulo: </w:t>
      </w:r>
      <w:r>
        <w:t xml:space="preserve">CIANETO em hepatopatia ou doses &gt; 2 µg/kg/min; TIOCIANATO em IRC ou infusão prolongada (&gt; 48h).</w:t>
      </w:r>
    </w:p>
    <w:p>
      <w:pPr>
        <w:pStyle w:val="Heading2"/>
        <w:spacing w:after="160" w:before="280"/>
      </w:pPr>
      <w:r>
        <w:rPr>
          <w:b/>
          <w:bCs/>
          <w:color w:val="1F4E79"/>
          <w:sz w:val="28"/>
          <w:szCs w:val="28"/>
        </w:rPr>
        <w:t xml:space="preserve">4.4 Cadeia Metabólica (decorar!)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CE4D6" w:val="clear"/>
            <w:tcMar>
              <w:top w:type="dxa" w:w="160"/>
              <w:left w:type="dxa" w:w="200"/>
              <w:bottom w:type="dxa" w:w="160"/>
              <w:right w:type="dxa" w:w="200"/>
            </w:tcMar>
          </w:tcPr>
          <w:p>
            <w:pPr>
              <w:spacing w:after="80"/>
            </w:pPr>
            <w:r>
              <w:rPr>
                <w:b/>
                <w:bCs/>
                <w:color w:val="1F4E79"/>
                <w:sz w:val="22"/>
                <w:szCs w:val="22"/>
              </w:rPr>
              <w:t xml:space="preserve">⚙️ METABOLISMO DO NIPRIDE — A "Receita do Cianeto":</w:t>
            </w:r>
          </w:p>
          <w:p>
            <w:pPr>
              <w:spacing w:after="60"/>
            </w:pPr>
            <w:r>
              <w:rPr>
                <w:b/>
                <w:bCs/>
                <w:sz w:val="22"/>
                <w:szCs w:val="22"/>
              </w:rPr>
              <w:t xml:space="preserve">1️⃣ NITROPRUSSIATO + Hb → libera 5 íons CIANETO (CN⁻) por molécula.</w:t>
            </w:r>
          </w:p>
          <w:p>
            <w:pPr>
              <w:spacing w:after="60"/>
            </w:pPr>
            <w:r>
              <w:rPr>
                <w:b/>
                <w:bCs/>
                <w:sz w:val="22"/>
                <w:szCs w:val="22"/>
              </w:rPr>
              <w:t xml:space="preserve">2️⃣ CIANETO + TIOSSULFATO → TIOCIANATO (via RODANESE hepática).</w:t>
            </w:r>
          </w:p>
          <w:p>
            <w:pPr>
              <w:spacing w:after="60"/>
            </w:pPr>
            <w:r>
              <w:rPr>
                <w:b/>
                <w:bCs/>
                <w:sz w:val="22"/>
                <w:szCs w:val="22"/>
              </w:rPr>
              <w:t xml:space="preserve">3️⃣ TIOCIANATO eliminado pelos RINS (depuração lenta).</w:t>
            </w:r>
          </w:p>
          <w:p>
            <w:pPr>
              <w:spacing w:after="60"/>
            </w:pPr>
            <w:r>
              <w:rPr>
                <w:b/>
                <w:bCs/>
                <w:color w:val="C00000"/>
                <w:sz w:val="22"/>
                <w:szCs w:val="22"/>
              </w:rPr>
              <w:t xml:space="preserve">🚨 LIMITES METABÓLICOS:</w:t>
            </w:r>
          </w:p>
          <w:p>
            <w:pPr>
              <w:pStyle w:val="ListParagraph"/>
              <w:numPr>
                <w:ilvl w:val="0"/>
                <w:numId w:val="2"/>
              </w:numPr>
              <w:spacing w:after="60"/>
            </w:pPr>
            <w:r>
              <w:rPr>
                <w:sz w:val="22"/>
                <w:szCs w:val="22"/>
              </w:rPr>
              <w:t xml:space="preserve">Tiossulfato endógeno limitado → SATURA com infusão &gt; 2 µg/kg/min prolongada.</w:t>
            </w:r>
          </w:p>
          <w:p>
            <w:pPr>
              <w:pStyle w:val="ListParagraph"/>
              <w:numPr>
                <w:ilvl w:val="0"/>
                <w:numId w:val="2"/>
              </w:numPr>
              <w:spacing w:after="60"/>
            </w:pPr>
            <w:r>
              <w:rPr>
                <w:sz w:val="22"/>
                <w:szCs w:val="22"/>
              </w:rPr>
              <w:t xml:space="preserve">Rodanese hepática: REDUZIDA em hepatopatas → CIANETO ↑.</w:t>
            </w:r>
          </w:p>
          <w:p>
            <w:pPr>
              <w:pStyle w:val="ListParagraph"/>
              <w:numPr>
                <w:ilvl w:val="0"/>
                <w:numId w:val="2"/>
              </w:numPr>
              <w:spacing w:after="0"/>
            </w:pPr>
            <w:r>
              <w:rPr>
                <w:sz w:val="22"/>
                <w:szCs w:val="22"/>
              </w:rPr>
              <w:t xml:space="preserve">Excreção renal de tiocianato: REDUZIDA em IRC → TIOCIANATO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EAD1DC" w:val="clear"/>
            <w:tcMar>
              <w:top w:type="dxa" w:w="160"/>
              <w:left w:type="dxa" w:w="200"/>
              <w:bottom w:type="dxa" w:w="160"/>
              <w:right w:type="dxa" w:w="200"/>
            </w:tcMar>
          </w:tcPr>
          <w:p>
            <w:pPr>
              <w:spacing w:after="80"/>
            </w:pPr>
            <w:r>
              <w:rPr>
                <w:b/>
                <w:bCs/>
                <w:color w:val="1F4E79"/>
                <w:sz w:val="22"/>
                <w:szCs w:val="22"/>
              </w:rPr>
              <w:t xml:space="preserve">🤓 NERD FACT — Nipride e CEC:</w:t>
            </w:r>
          </w:p>
          <w:p>
            <w:pPr>
              <w:spacing w:after="0"/>
            </w:pPr>
            <w:r>
              <w:rPr>
                <w:sz w:val="22"/>
                <w:szCs w:val="22"/>
              </w:rPr>
              <w:t xml:space="preserve">Em circulação extracorpórea (CEC), há HEMÓLISE → ↑ hemoglobina LIVRE → ACELERA a liberação de cianeto pelo nitroprussiato. Por isso, em pacientes pós-cirurgia cardíaca, o risco de toxicidade por cianeto é MAIOR mesmo em doses 'usuais'. Considerar nitroglicerina ou clevidipina como alternativas pós-CEC.</w:t>
            </w:r>
          </w:p>
        </w:tc>
      </w:tr>
    </w:tbl>
    <w:p>
      <w:pPr>
        <w:spacing w:after="120"/>
      </w:pPr>
      <w:r>
        <w:t xml:space="preserve"/>
      </w:r>
    </w:p>
    <w:p>
      <w:r>
        <w:br w:type="page"/>
      </w:r>
    </w:p>
    <w:p>
      <w:pPr>
        <w:pStyle w:val="Heading1"/>
        <w:spacing w:after="200" w:before="360"/>
      </w:pPr>
      <w:r>
        <w:rPr>
          <w:b/>
          <w:bCs/>
          <w:color w:val="1F4E79"/>
          <w:sz w:val="32"/>
          <w:szCs w:val="32"/>
        </w:rPr>
        <w:t xml:space="preserve">5. 🟣 NIPRIDE® — Indicações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Cenário Clínico</w:t>
            </w:r>
          </w:p>
        </w:tc>
        <w:tc>
          <w:tcPr>
            <w:tcW w:type="dxa" w:w="62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Justificativa e Particularidades</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6A1B9A"/>
                <w:sz w:val="20"/>
                <w:szCs w:val="20"/>
              </w:rPr>
              <w:t xml:space="preserve">Emergência hipertensiva grave</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PAD &gt; 130 mmHg com lesão de órgão-alvo (encefalopatia, EAP, dissecção). Titulação minuto-a-minuto. ALTERNATIVAS: clevidipina, nicardipina, labetalol.</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Dissecção aórtica aguda</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OBRIGATÓRIO usar β-bloqueador ANTES (esmolol, metoprolol) para evitar reflexo simpático com ↑ dP/dt. Alvo: PAS &lt; 120 mmHg, FC &lt; 60. Nipride sozinho é PROIBIDO!</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EAP refratário a Tridil + IECA + diurético</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Reduz pós-carga eficazmente. Cuidado em isquemia ativa (steal). Cadidato bom para IC com RVS muito alta.</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Choque cardiogênico (com PA preservada)</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REDUÇÃO DE PÓS-CARGA em IC avançada com PAS &gt; 100 mmHg + RVS muito elevada — pode ↑ DC. Combinação com dobutamina é clássica.</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HAS pós-cirurgia (cardíaca/vascular)</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Controle agudo de PA. Cuidado com toxicidade por cianeto pós-CEC.</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Hipotensão controlada perioperatória</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Cirurgias de neurorradiologia, cirurgia ortognática (reduz sangramento intraoperatório).</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Teste de reversibilidade da HP (transplante)</w:t>
            </w:r>
          </w:p>
        </w:tc>
        <w:tc>
          <w:tcPr>
            <w:tcW w:type="dxa" w:w="62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Avalia se HP é fixa ou reativa em candidatos a transplante cardíaco.</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Insuficiência mitral/aórtica aguda</w:t>
            </w:r>
          </w:p>
        </w:tc>
        <w:tc>
          <w:tcPr>
            <w:tcW w:type="dxa" w:w="62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Reduz pós-carga → reduz fração regurgitante → ponte para cirurgia.</w:t>
            </w:r>
          </w:p>
        </w:tc>
      </w:tr>
    </w:tbl>
    <w:p>
      <w:pPr>
        <w:spacing w:after="120"/>
      </w:pPr>
      <w:r>
        <w:t xml:space="preserve"/>
      </w:r>
    </w:p>
    <w:p>
      <w:pPr>
        <w:pStyle w:val="Heading2"/>
        <w:spacing w:after="160" w:before="280"/>
      </w:pPr>
      <w:r>
        <w:rPr>
          <w:b/>
          <w:bCs/>
          <w:color w:val="1F4E79"/>
          <w:sz w:val="28"/>
          <w:szCs w:val="28"/>
        </w:rPr>
        <w:t xml:space="preserve">5.1 Contraindicações do NIPRIDE</w:t>
      </w:r>
    </w:p>
    <w:p>
      <w:pPr>
        <w:pStyle w:val="ListParagraph"/>
        <w:numPr>
          <w:ilvl w:val="0"/>
          <w:numId w:val="2"/>
        </w:numPr>
        <w:spacing w:after="80" w:line="280"/>
      </w:pPr>
      <w:r>
        <w:rPr>
          <w:b/>
          <w:bCs/>
          <w:color w:val="C00000"/>
        </w:rPr>
        <w:t xml:space="preserve">ABSOLUTAS: </w:t>
      </w:r>
    </w:p>
    <w:p>
      <w:pPr>
        <w:pStyle w:val="ListParagraph"/>
        <w:numPr>
          <w:ilvl w:val="1"/>
          <w:numId w:val="2"/>
        </w:numPr>
        <w:spacing w:after="80" w:line="280"/>
      </w:pPr>
      <w:r>
        <w:t xml:space="preserve">Hipertensão compensatória (coarctação de aorta, fístula arteriovenosa).</w:t>
      </w:r>
    </w:p>
    <w:p>
      <w:pPr>
        <w:pStyle w:val="ListParagraph"/>
        <w:numPr>
          <w:ilvl w:val="1"/>
          <w:numId w:val="2"/>
        </w:numPr>
        <w:spacing w:after="80" w:line="280"/>
      </w:pPr>
      <w:r>
        <w:t xml:space="preserve">Atrofia óptica de Leber / ambliopia tabaco-álcool (acúmulo de cianeto neurotóxico).</w:t>
      </w:r>
    </w:p>
    <w:p>
      <w:pPr>
        <w:pStyle w:val="ListParagraph"/>
        <w:numPr>
          <w:ilvl w:val="1"/>
          <w:numId w:val="2"/>
        </w:numPr>
        <w:spacing w:after="80" w:line="280"/>
      </w:pPr>
      <w:r>
        <w:t xml:space="preserve">Hipovolemia não corrigida.</w:t>
      </w:r>
    </w:p>
    <w:p>
      <w:pPr>
        <w:pStyle w:val="ListParagraph"/>
        <w:numPr>
          <w:ilvl w:val="1"/>
          <w:numId w:val="2"/>
        </w:numPr>
        <w:spacing w:after="80" w:line="280"/>
      </w:pPr>
      <w:r>
        <w:t xml:space="preserve">Anemia grave (Hb &lt; 8) — descompensa transporte de O₂.</w:t>
      </w:r>
    </w:p>
    <w:p>
      <w:pPr>
        <w:pStyle w:val="ListParagraph"/>
        <w:numPr>
          <w:ilvl w:val="0"/>
          <w:numId w:val="2"/>
        </w:numPr>
        <w:spacing w:after="80" w:line="280"/>
      </w:pPr>
      <w:r>
        <w:rPr>
          <w:b/>
          <w:bCs/>
          <w:color w:val="BF8F00"/>
        </w:rPr>
        <w:t xml:space="preserve">RELATIVAS (cuidado redobrado): </w:t>
      </w:r>
    </w:p>
    <w:p>
      <w:pPr>
        <w:pStyle w:val="ListParagraph"/>
        <w:numPr>
          <w:ilvl w:val="1"/>
          <w:numId w:val="2"/>
        </w:numPr>
        <w:spacing w:after="80" w:line="280"/>
      </w:pPr>
      <w:r>
        <w:t xml:space="preserve">Insuficiência hepática (rodanese deficiente — risco de cianeto).</w:t>
      </w:r>
    </w:p>
    <w:p>
      <w:pPr>
        <w:pStyle w:val="ListParagraph"/>
        <w:numPr>
          <w:ilvl w:val="1"/>
          <w:numId w:val="2"/>
        </w:numPr>
        <w:spacing w:after="80" w:line="280"/>
      </w:pPr>
      <w:r>
        <w:t xml:space="preserve">Insuficiência renal (acúmulo de tiocianato).</w:t>
      </w:r>
    </w:p>
    <w:p>
      <w:pPr>
        <w:pStyle w:val="ListParagraph"/>
        <w:numPr>
          <w:ilvl w:val="1"/>
          <w:numId w:val="2"/>
        </w:numPr>
        <w:spacing w:after="80" w:line="280"/>
      </w:pPr>
      <w:r>
        <w:t xml:space="preserve">Gestação (atravessa placenta — cianeto fetal).</w:t>
      </w:r>
    </w:p>
    <w:p>
      <w:pPr>
        <w:pStyle w:val="ListParagraph"/>
        <w:numPr>
          <w:ilvl w:val="1"/>
          <w:numId w:val="2"/>
        </w:numPr>
        <w:spacing w:after="80" w:line="280"/>
      </w:pPr>
      <w:r>
        <w:t xml:space="preserve">HIC (vasodilatação cerebral pode ↑ PIC — usar com cautela).</w:t>
      </w:r>
    </w:p>
    <w:p>
      <w:pPr>
        <w:pStyle w:val="ListParagraph"/>
        <w:numPr>
          <w:ilvl w:val="1"/>
          <w:numId w:val="2"/>
        </w:numPr>
        <w:spacing w:after="80" w:line="280"/>
      </w:pPr>
      <w:r>
        <w:t xml:space="preserve">IAM ativo / isquemia ("steal" coronariano).</w:t>
      </w:r>
    </w:p>
    <w:p>
      <w:pPr>
        <w:pStyle w:val="ListParagraph"/>
        <w:numPr>
          <w:ilvl w:val="1"/>
          <w:numId w:val="2"/>
        </w:numPr>
        <w:spacing w:after="80" w:line="280"/>
      </w:pPr>
      <w:r>
        <w:t xml:space="preserve">Uso de inibidores PDE-5 (mesmo da nitroglicerina).</w:t>
      </w:r>
    </w:p>
    <w:p>
      <w:pPr>
        <w:spacing w:after="120"/>
      </w:pPr>
      <w:r>
        <w:t xml:space="preserve"/>
      </w:r>
    </w:p>
    <w:p>
      <w:r>
        <w:br w:type="page"/>
      </w:r>
    </w:p>
    <w:p>
      <w:pPr>
        <w:pStyle w:val="Heading1"/>
        <w:spacing w:after="200" w:before="360"/>
      </w:pPr>
      <w:r>
        <w:rPr>
          <w:b/>
          <w:bCs/>
          <w:color w:val="1F4E79"/>
          <w:sz w:val="32"/>
          <w:szCs w:val="32"/>
        </w:rPr>
        <w:t xml:space="preserve">6. 🟣 NIPRIDE® — Preparo e Administração</w:t>
      </w:r>
    </w:p>
    <w:p>
      <w:pPr>
        <w:pStyle w:val="Heading2"/>
        <w:spacing w:after="160" w:before="280"/>
      </w:pPr>
      <w:r>
        <w:rPr>
          <w:b/>
          <w:bCs/>
          <w:color w:val="1F4E79"/>
          <w:sz w:val="28"/>
          <w:szCs w:val="28"/>
        </w:rPr>
        <w:t xml:space="preserve">6.1 Apresentações</w:t>
      </w:r>
    </w:p>
    <w:p>
      <w:pPr>
        <w:pStyle w:val="ListParagraph"/>
        <w:numPr>
          <w:ilvl w:val="0"/>
          <w:numId w:val="2"/>
        </w:numPr>
        <w:spacing w:after="80" w:line="280"/>
      </w:pPr>
      <w:r>
        <w:t xml:space="preserve">Nipride®: ampola 50 mg de pó liofilizado para reconstituição.</w:t>
      </w:r>
    </w:p>
    <w:p>
      <w:pPr>
        <w:pStyle w:val="ListParagraph"/>
        <w:numPr>
          <w:ilvl w:val="0"/>
          <w:numId w:val="2"/>
        </w:numPr>
        <w:spacing w:after="80" w:line="280"/>
      </w:pPr>
      <w:r>
        <w:t xml:space="preserve">Reconstituir em 2-3 mL de SG 5% → diluir em 250-500 mL de SG 5% (NÃO USAR SF 0,9% — pode haver instabilidade).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CE4D6" w:val="clear"/>
            <w:tcMar>
              <w:top w:type="dxa" w:w="160"/>
              <w:left w:type="dxa" w:w="200"/>
              <w:bottom w:type="dxa" w:w="160"/>
              <w:right w:type="dxa" w:w="200"/>
            </w:tcMar>
          </w:tcPr>
          <w:p>
            <w:pPr>
              <w:spacing w:after="80"/>
            </w:pPr>
            <w:r>
              <w:rPr>
                <w:b/>
                <w:bCs/>
                <w:color w:val="1F4E79"/>
                <w:sz w:val="22"/>
                <w:szCs w:val="22"/>
              </w:rPr>
              <w:t xml:space="preserve">☀️ FOTOSSENSIBILIDADE — REGRA DE OURO:</w:t>
            </w:r>
          </w:p>
          <w:p>
            <w:pPr>
              <w:spacing w:after="0"/>
            </w:pPr>
            <w:r>
              <w:rPr>
                <w:sz w:val="22"/>
                <w:szCs w:val="22"/>
              </w:rPr>
              <w:t xml:space="preserve">O NIPRIDE é EXTREMAMENTE FOTOSSENSÍVEL. A luz catalisa decomposição com formação ACELERADA de cianeto. SEMPRE: (1) PROTEGER bolsa com papel alumínio ou cobertura âmbar; (2) Trocar a solução a cada 24 horas; (3) DESCARTAR se houver mudança de cor (azul/verde/laranja escuro = degradação). A solução fresca tem cor LEVEMENTE AMARELO-ÂMBAR.</w:t>
            </w:r>
          </w:p>
        </w:tc>
      </w:tr>
    </w:tbl>
    <w:p>
      <w:pPr>
        <w:spacing w:after="120"/>
      </w:pPr>
      <w:r>
        <w:t xml:space="preserve"/>
      </w:r>
    </w:p>
    <w:p>
      <w:pPr>
        <w:pStyle w:val="Heading2"/>
        <w:spacing w:after="160" w:before="280"/>
      </w:pPr>
      <w:r>
        <w:rPr>
          <w:b/>
          <w:bCs/>
          <w:color w:val="1F4E79"/>
          <w:sz w:val="28"/>
          <w:szCs w:val="28"/>
        </w:rPr>
        <w:t xml:space="preserve">6.2 Diluições Padrão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Diluição</w:t>
            </w:r>
          </w:p>
        </w:tc>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Concentração Final</w:t>
            </w:r>
          </w:p>
        </w:tc>
        <w:tc>
          <w:tcPr>
            <w:tcW w:type="dxa" w:w="312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Indicação</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50 mg em 250 mL SG 5%</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200 µg/mL</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PADRÃO mais usada</w:t>
            </w:r>
          </w:p>
        </w:tc>
      </w:tr>
      <w:tr>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50 mg em 500 mL SG 5%</w:t>
            </w:r>
          </w:p>
        </w:tc>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100 µg/mL</w:t>
            </w:r>
          </w:p>
        </w:tc>
        <w:tc>
          <w:tcPr>
            <w:tcW w:type="dxa" w:w="312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Pacientes pequenos / pediatria</w:t>
            </w:r>
          </w:p>
        </w:tc>
      </w:tr>
      <w:tr>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50 mg em 100 mL SG 5%</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500 µg/mL</w:t>
            </w:r>
          </w:p>
        </w:tc>
        <w:tc>
          <w:tcPr>
            <w:tcW w:type="dxa" w:w="312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Restrição hídrica grave</w:t>
            </w:r>
          </w:p>
        </w:tc>
      </w:tr>
    </w:tbl>
    <w:p>
      <w:pPr>
        <w:spacing w:after="120"/>
      </w:pPr>
      <w:r>
        <w:t xml:space="preserve"/>
      </w:r>
    </w:p>
    <w:p>
      <w:pPr>
        <w:pStyle w:val="Heading2"/>
        <w:spacing w:after="160" w:before="280"/>
      </w:pPr>
      <w:r>
        <w:rPr>
          <w:b/>
          <w:bCs/>
          <w:color w:val="1F4E79"/>
          <w:sz w:val="28"/>
          <w:szCs w:val="28"/>
        </w:rPr>
        <w:t xml:space="preserve">6.3 Cálculo de Velocidade de Infusão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8"/>
              <w:left w:val="single" w:color="1F4E79" w:sz="18"/>
              <w:bottom w:val="single" w:color="1F4E79" w:sz="18"/>
              <w:right w:val="single" w:color="1F4E79" w:sz="18"/>
            </w:tcBorders>
            <w:shd w:fill="F2F2F2" w:val="clear"/>
            <w:tcMar>
              <w:top w:type="dxa" w:w="200"/>
              <w:left w:type="dxa" w:w="240"/>
              <w:bottom w:type="dxa" w:w="200"/>
              <w:right w:type="dxa" w:w="240"/>
            </w:tcMar>
          </w:tcPr>
          <w:p>
            <w:pPr>
              <w:spacing w:after="100"/>
              <w:jc w:val="center"/>
            </w:pPr>
            <w:r>
              <w:rPr>
                <w:b/>
                <w:bCs/>
                <w:color w:val="1F4E79"/>
                <w:sz w:val="24"/>
                <w:szCs w:val="24"/>
              </w:rPr>
              <w:t xml:space="preserve">FÓRMULA DE INFUSÃO (NIPRIDE — dose POR KG/min!)</w:t>
            </w:r>
          </w:p>
          <w:p>
            <w:pPr>
              <w:spacing w:after="100"/>
              <w:jc w:val="center"/>
            </w:pPr>
            <w:r>
              <w:rPr>
                <w:rFonts w:ascii="Cambria Math" w:cs="Cambria Math" w:eastAsia="Cambria Math" w:hAnsi="Cambria Math"/>
                <w:b/>
                <w:bCs/>
                <w:color w:val="C00000"/>
                <w:sz w:val="28"/>
                <w:szCs w:val="28"/>
              </w:rPr>
              <w:t xml:space="preserve">Velocidade (mL/h) = [Dose (µg/kg/min) × Peso (kg) × 60] ÷ Concentração (µg/mL)</w:t>
            </w:r>
          </w:p>
          <w:p>
            <w:pPr>
              <w:spacing w:after="0"/>
              <w:jc w:val="center"/>
            </w:pPr>
            <w:r>
              <w:rPr>
                <w:i/>
                <w:iCs/>
                <w:color w:val="555555"/>
                <w:sz w:val="20"/>
                <w:szCs w:val="20"/>
              </w:rPr>
              <w:t xml:space="preserve">ATENÇÃO: dose do Nipride é em µg/KG/min (diferente do Tridil)</w:t>
            </w:r>
          </w:p>
        </w:tc>
      </w:tr>
    </w:tbl>
    <w:p>
      <w:pPr>
        <w:spacing w:after="120"/>
      </w:pPr>
      <w:r>
        <w:t xml:space="preserve"/>
      </w:r>
    </w:p>
    <w:p>
      <w:pPr>
        <w:pStyle w:val="Heading3"/>
        <w:spacing w:after="120" w:before="200"/>
      </w:pPr>
      <w:r>
        <w:rPr>
          <w:b/>
          <w:bCs/>
          <w:color w:val="BF8F00"/>
          <w:sz w:val="24"/>
          <w:szCs w:val="24"/>
        </w:rPr>
        <w:t xml:space="preserve">Exemplo prático</w:t>
      </w:r>
    </w:p>
    <w:p>
      <w:pPr>
        <w:spacing w:after="120" w:line="300"/>
        <w:jc w:val="both"/>
      </w:pPr>
      <w:r>
        <w:rPr>
          <w:b/>
          <w:bCs/>
        </w:rPr>
        <w:t xml:space="preserve">Paciente: </w:t>
      </w:r>
      <w:r>
        <w:t xml:space="preserve">70 kg. </w:t>
      </w:r>
      <w:r>
        <w:rPr>
          <w:b/>
          <w:bCs/>
        </w:rPr>
        <w:t xml:space="preserve">Nipride </w:t>
      </w:r>
      <w:r>
        <w:t xml:space="preserve">50 mg em 250 mL SG 5% (concentração 200 µg/mL). </w:t>
      </w:r>
      <w:r>
        <w:rPr>
          <w:b/>
          <w:bCs/>
        </w:rPr>
        <w:t xml:space="preserve">Dose desejada: </w:t>
      </w:r>
      <w:r>
        <w:t xml:space="preserve">1 µg/kg/min.</w:t>
      </w:r>
    </w:p>
    <w:p>
      <w:pPr>
        <w:spacing w:after="120" w:line="300"/>
        <w:jc w:val="both"/>
      </w:pPr>
      <w:r>
        <w:rPr>
          <w:b/>
          <w:bCs/>
        </w:rPr>
        <w:t xml:space="preserve">Cálculo: </w:t>
      </w:r>
      <w:r>
        <w:t xml:space="preserve">(1 × 70 × 60) ÷ 200 = </w:t>
      </w:r>
      <w:r>
        <w:rPr>
          <w:b/>
          <w:bCs/>
          <w:color w:val="C00000"/>
        </w:rPr>
        <w:t xml:space="preserve">21 mL/h.</w:t>
      </w:r>
    </w:p>
    <w:p>
      <w:pPr>
        <w:spacing w:after="120"/>
      </w:pPr>
      <w:r>
        <w:t xml:space="preserve"/>
      </w:r>
    </w:p>
    <w:p>
      <w:pPr>
        <w:pStyle w:val="Heading3"/>
        <w:spacing w:after="120" w:before="200"/>
      </w:pPr>
      <w:r>
        <w:rPr>
          <w:b/>
          <w:bCs/>
          <w:color w:val="BF8F00"/>
          <w:sz w:val="24"/>
          <w:szCs w:val="24"/>
        </w:rPr>
        <w:t xml:space="preserve">Tabela Rápida — NIPRIDE 200 µg/mL (mL/h por peso e dose)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Peso (kg)</w:t>
            </w:r>
          </w:p>
        </w:tc>
        <w:tc>
          <w:tcPr>
            <w:tcW w:type="dxa" w:w="156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0,3 µg/kg/min</w:t>
            </w:r>
          </w:p>
        </w:tc>
        <w:tc>
          <w:tcPr>
            <w:tcW w:type="dxa" w:w="156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0,5 µg/kg/min</w:t>
            </w:r>
          </w:p>
        </w:tc>
        <w:tc>
          <w:tcPr>
            <w:tcW w:type="dxa" w:w="156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1 µg/kg/min</w:t>
            </w:r>
          </w:p>
        </w:tc>
        <w:tc>
          <w:tcPr>
            <w:tcW w:type="dxa" w:w="156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2 µg/kg/min</w:t>
            </w:r>
          </w:p>
        </w:tc>
        <w:tc>
          <w:tcPr>
            <w:tcW w:type="dxa" w:w="156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center"/>
            </w:pPr>
            <w:r>
              <w:rPr>
                <w:b/>
                <w:bCs/>
                <w:color w:val="FFFFFF"/>
                <w:sz w:val="20"/>
                <w:szCs w:val="20"/>
              </w:rPr>
              <w:t xml:space="preserve">5 µg/kg/min</w:t>
            </w:r>
          </w:p>
        </w:tc>
      </w:tr>
      <w:tr>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50</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4,5</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7,5</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15</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30</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75</w:t>
            </w:r>
          </w:p>
        </w:tc>
      </w:tr>
      <w:tr>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60</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5,4</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9</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18</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36</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90</w:t>
            </w:r>
          </w:p>
        </w:tc>
      </w:tr>
      <w:tr>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70</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6,3</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10,5</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21</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42</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105</w:t>
            </w:r>
          </w:p>
        </w:tc>
      </w:tr>
      <w:tr>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80</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7,2</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12</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24</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48</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120</w:t>
            </w:r>
          </w:p>
        </w:tc>
      </w:tr>
      <w:tr>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bCs/>
                <w:color w:val="000000"/>
                <w:sz w:val="20"/>
                <w:szCs w:val="20"/>
              </w:rPr>
              <w:t xml:space="preserve">90</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8,1</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13,5</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27</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54</w:t>
            </w:r>
          </w:p>
        </w:tc>
        <w:tc>
          <w:tcPr>
            <w:tcW w:type="dxa" w:w="156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center"/>
            </w:pPr>
            <w:r>
              <w:rPr>
                <w:b w:val="false"/>
                <w:bCs w:val="false"/>
                <w:color w:val="000000"/>
                <w:sz w:val="20"/>
                <w:szCs w:val="20"/>
              </w:rPr>
              <w:t xml:space="preserve">135</w:t>
            </w:r>
          </w:p>
        </w:tc>
      </w:tr>
      <w:tr>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bCs/>
                <w:color w:val="000000"/>
                <w:sz w:val="20"/>
                <w:szCs w:val="20"/>
              </w:rPr>
              <w:t xml:space="preserve">100</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9</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15</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30</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60</w:t>
            </w:r>
          </w:p>
        </w:tc>
        <w:tc>
          <w:tcPr>
            <w:tcW w:type="dxa" w:w="156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center"/>
            </w:pPr>
            <w:r>
              <w:rPr>
                <w:b w:val="false"/>
                <w:bCs w:val="false"/>
                <w:color w:val="000000"/>
                <w:sz w:val="20"/>
                <w:szCs w:val="20"/>
              </w:rPr>
              <w:t xml:space="preserve">150</w:t>
            </w:r>
          </w:p>
        </w:tc>
      </w:tr>
    </w:tbl>
    <w:p>
      <w:pPr>
        <w:spacing w:after="120"/>
      </w:pPr>
      <w:r>
        <w:t xml:space="preserve"/>
      </w:r>
    </w:p>
    <w:p>
      <w:pPr>
        <w:pStyle w:val="Heading2"/>
        <w:spacing w:after="160" w:before="280"/>
      </w:pPr>
      <w:r>
        <w:rPr>
          <w:b/>
          <w:bCs/>
          <w:color w:val="1F4E79"/>
          <w:sz w:val="28"/>
          <w:szCs w:val="28"/>
        </w:rPr>
        <w:t xml:space="preserve">6.4 Acesso e Monitorização</w:t>
      </w:r>
    </w:p>
    <w:p>
      <w:pPr>
        <w:pStyle w:val="ListParagraph"/>
        <w:numPr>
          <w:ilvl w:val="0"/>
          <w:numId w:val="2"/>
        </w:numPr>
        <w:spacing w:after="80" w:line="280"/>
      </w:pPr>
      <w:r>
        <w:rPr>
          <w:b/>
          <w:bCs/>
        </w:rPr>
        <w:t xml:space="preserve">ACESSO: </w:t>
      </w:r>
      <w:r>
        <w:t xml:space="preserve">OBRIGATÓRIO CVC para infusão &gt; 6h ou doses &gt; 2 µg/kg/min.</w:t>
      </w:r>
    </w:p>
    <w:p>
      <w:pPr>
        <w:pStyle w:val="ListParagraph"/>
        <w:numPr>
          <w:ilvl w:val="0"/>
          <w:numId w:val="2"/>
        </w:numPr>
        <w:spacing w:after="80" w:line="280"/>
      </w:pPr>
      <w:r>
        <w:rPr>
          <w:b/>
          <w:bCs/>
        </w:rPr>
        <w:t xml:space="preserve">PA INVASIVA: </w:t>
      </w:r>
      <w:r>
        <w:t xml:space="preserve">OBRIGATÓRIA — não usar PA não invasiva intermitente para titulação.</w:t>
      </w:r>
    </w:p>
    <w:p>
      <w:pPr>
        <w:pStyle w:val="ListParagraph"/>
        <w:numPr>
          <w:ilvl w:val="0"/>
          <w:numId w:val="2"/>
        </w:numPr>
        <w:spacing w:after="80" w:line="280"/>
      </w:pPr>
      <w:r>
        <w:rPr>
          <w:b/>
          <w:bCs/>
        </w:rPr>
        <w:t xml:space="preserve">MONITORIZAÇÃO: </w:t>
      </w:r>
      <w:r>
        <w:t xml:space="preserve">contínua de PA, FC, ECG, SpO₂, sinais clínicos de toxicidade.</w:t>
      </w:r>
    </w:p>
    <w:p>
      <w:pPr>
        <w:pStyle w:val="ListParagraph"/>
        <w:numPr>
          <w:ilvl w:val="0"/>
          <w:numId w:val="2"/>
        </w:numPr>
        <w:spacing w:after="80" w:line="280"/>
      </w:pPr>
      <w:r>
        <w:rPr>
          <w:b/>
          <w:bCs/>
        </w:rPr>
        <w:t xml:space="preserve">GASOMETRIA: </w:t>
      </w:r>
      <w:r>
        <w:t xml:space="preserve">checar a cada 6-12h (acidose metabólica = primeiro sinal de toxicidade por cianeto).</w:t>
      </w:r>
    </w:p>
    <w:p>
      <w:pPr>
        <w:spacing w:after="120"/>
      </w:pPr>
      <w:r>
        <w:t xml:space="preserve"/>
      </w:r>
    </w:p>
    <w:p>
      <w:r>
        <w:br w:type="page"/>
      </w:r>
    </w:p>
    <w:p>
      <w:pPr>
        <w:pStyle w:val="Heading1"/>
        <w:spacing w:after="200" w:before="360"/>
      </w:pPr>
      <w:r>
        <w:rPr>
          <w:b/>
          <w:bCs/>
          <w:color w:val="1F4E79"/>
          <w:sz w:val="32"/>
          <w:szCs w:val="32"/>
        </w:rPr>
        <w:t xml:space="preserve">7. ☠️ Toxicidade do NIPRIDE — Cianeto e Tiocianato</w:t>
      </w:r>
    </w:p>
    <w:p>
      <w:pPr>
        <w:pStyle w:val="Heading2"/>
        <w:spacing w:after="160" w:before="280"/>
      </w:pPr>
      <w:r>
        <w:rPr>
          <w:b/>
          <w:bCs/>
          <w:color w:val="1F4E79"/>
          <w:sz w:val="28"/>
          <w:szCs w:val="28"/>
        </w:rPr>
        <w:t xml:space="preserve">7.1 Limites de Dose Seguros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Cenário</w:t>
            </w:r>
          </w:p>
        </w:tc>
        <w:tc>
          <w:tcPr>
            <w:tcW w:type="dxa" w:w="468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Limite Recomendado</w:t>
            </w:r>
          </w:p>
        </w:tc>
      </w:tr>
      <w:tr>
        <w:tc>
          <w:tcPr>
            <w:tcW w:type="dxa" w:w="468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Dose máxima INSTANTÂNEA</w:t>
            </w:r>
          </w:p>
        </w:tc>
        <w:tc>
          <w:tcPr>
            <w:tcW w:type="dxa" w:w="468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10 µg/kg/min — APENAS por curtos períodos (&lt; 10 min)</w:t>
            </w:r>
          </w:p>
        </w:tc>
      </w:tr>
      <w:tr>
        <w:tc>
          <w:tcPr>
            <w:tcW w:type="dxa" w:w="468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Dose CONTÍNUA segura</w:t>
            </w:r>
          </w:p>
        </w:tc>
        <w:tc>
          <w:tcPr>
            <w:tcW w:type="dxa" w:w="468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 2 µg/kg/min (limite metabólico de tiossulfato)</w:t>
            </w:r>
          </w:p>
        </w:tc>
      </w:tr>
      <w:tr>
        <w:tc>
          <w:tcPr>
            <w:tcW w:type="dxa" w:w="468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Duração MÁXIMA</w:t>
            </w:r>
          </w:p>
        </w:tc>
        <w:tc>
          <w:tcPr>
            <w:tcW w:type="dxa" w:w="468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24-48 horas se possível (idealmente &lt; 72h)</w:t>
            </w:r>
          </w:p>
        </w:tc>
      </w:tr>
      <w:tr>
        <w:tc>
          <w:tcPr>
            <w:tcW w:type="dxa" w:w="468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Em hepatopatia</w:t>
            </w:r>
          </w:p>
        </w:tc>
        <w:tc>
          <w:tcPr>
            <w:tcW w:type="dxa" w:w="468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Reduzir dose 50%; trocar precocemente</w:t>
            </w:r>
          </w:p>
        </w:tc>
      </w:tr>
      <w:tr>
        <w:tc>
          <w:tcPr>
            <w:tcW w:type="dxa" w:w="468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Em IRC</w:t>
            </w:r>
          </w:p>
        </w:tc>
        <w:tc>
          <w:tcPr>
            <w:tcW w:type="dxa" w:w="468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Tiocianato acumula &gt; 24h. Considerar diálise se &gt; 100 mg/L</w:t>
            </w:r>
          </w:p>
        </w:tc>
      </w:tr>
      <w:tr>
        <w:tc>
          <w:tcPr>
            <w:tcW w:type="dxa" w:w="468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Em CEC (pós-cirurgia cardíaca)</w:t>
            </w:r>
          </w:p>
        </w:tc>
        <w:tc>
          <w:tcPr>
            <w:tcW w:type="dxa" w:w="468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Risco AUMENTADO — preferir nitroglicerina ou clevidipina</w:t>
            </w:r>
          </w:p>
        </w:tc>
      </w:tr>
    </w:tbl>
    <w:p>
      <w:pPr>
        <w:spacing w:after="120"/>
      </w:pPr>
      <w:r>
        <w:t xml:space="preserve"/>
      </w:r>
    </w:p>
    <w:p>
      <w:pPr>
        <w:pStyle w:val="Heading2"/>
        <w:spacing w:after="160" w:before="280"/>
      </w:pPr>
      <w:r>
        <w:rPr>
          <w:b/>
          <w:bCs/>
          <w:color w:val="1F4E79"/>
          <w:sz w:val="28"/>
          <w:szCs w:val="28"/>
        </w:rPr>
        <w:t xml:space="preserve">7.2 Toxicidade por CIANETO (CN⁻) — Aguda</w:t>
      </w:r>
    </w:p>
    <w:p>
      <w:pPr>
        <w:spacing w:after="120" w:line="300"/>
        <w:jc w:val="both"/>
      </w:pPr>
      <w:r>
        <w:t xml:space="preserve">É a toxicidade MAIS GRAVE e POTENCIALMENTE FATAL. Ocorre por bloqueio da cadeia respiratória mitocondrial (citocromo oxidase) → impede uso de O₂ → metabolismo anaeróbio → acidose lática.</w:t>
      </w:r>
    </w:p>
    <w:p>
      <w:pPr>
        <w:pStyle w:val="Heading3"/>
        <w:spacing w:after="120" w:before="200"/>
      </w:pPr>
      <w:r>
        <w:rPr>
          <w:b/>
          <w:bCs/>
          <w:color w:val="BF8F00"/>
          <w:sz w:val="24"/>
          <w:szCs w:val="24"/>
        </w:rPr>
        <w:t xml:space="preserve">Sinais e Sintomas</w:t>
      </w:r>
    </w:p>
    <w:p>
      <w:pPr>
        <w:pStyle w:val="ListParagraph"/>
        <w:numPr>
          <w:ilvl w:val="0"/>
          <w:numId w:val="2"/>
        </w:numPr>
        <w:spacing w:after="80" w:line="280"/>
      </w:pPr>
      <w:r>
        <w:rPr>
          <w:b/>
          <w:bCs/>
        </w:rPr>
        <w:t xml:space="preserve">Acidose metabólica progressiva </w:t>
      </w:r>
      <w:r>
        <w:t xml:space="preserve">(SINAL MAIS PRECOCE — gap aniônico aumentado).</w:t>
      </w:r>
    </w:p>
    <w:p>
      <w:pPr>
        <w:pStyle w:val="ListParagraph"/>
        <w:numPr>
          <w:ilvl w:val="0"/>
          <w:numId w:val="2"/>
        </w:numPr>
        <w:spacing w:after="80" w:line="280"/>
      </w:pPr>
      <w:r>
        <w:rPr>
          <w:b/>
          <w:bCs/>
        </w:rPr>
        <w:t xml:space="preserve">Lactato em ASCENSÃO </w:t>
      </w:r>
      <w:r>
        <w:t xml:space="preserve">apesar de PAM adequada e perfusão clínica preservada ("acidose inexplicada").</w:t>
      </w:r>
    </w:p>
    <w:p>
      <w:pPr>
        <w:pStyle w:val="ListParagraph"/>
        <w:numPr>
          <w:ilvl w:val="0"/>
          <w:numId w:val="2"/>
        </w:numPr>
        <w:spacing w:after="80" w:line="280"/>
      </w:pPr>
      <w:r>
        <w:rPr>
          <w:b/>
          <w:bCs/>
        </w:rPr>
        <w:t xml:space="preserve">TAQUIFILAXIA: </w:t>
      </w:r>
      <w:r>
        <w:t xml:space="preserve">necessidade crescente de doses para mesmo efeito.</w:t>
      </w:r>
    </w:p>
    <w:p>
      <w:pPr>
        <w:pStyle w:val="ListParagraph"/>
        <w:numPr>
          <w:ilvl w:val="0"/>
          <w:numId w:val="2"/>
        </w:numPr>
        <w:spacing w:after="80" w:line="280"/>
      </w:pPr>
      <w:r>
        <w:rPr>
          <w:b/>
          <w:bCs/>
        </w:rPr>
        <w:t xml:space="preserve">SvO₂ ELEVADA paradoxalmente </w:t>
      </w:r>
      <w:r>
        <w:t xml:space="preserve">(tecidos não conseguem extrair O₂ — "cianose central" sem dessaturação).</w:t>
      </w:r>
    </w:p>
    <w:p>
      <w:pPr>
        <w:pStyle w:val="ListParagraph"/>
        <w:numPr>
          <w:ilvl w:val="0"/>
          <w:numId w:val="2"/>
        </w:numPr>
        <w:spacing w:after="80" w:line="280"/>
      </w:pPr>
      <w:r>
        <w:rPr>
          <w:b/>
          <w:bCs/>
        </w:rPr>
        <w:t xml:space="preserve">Confusão, agitação, convulsões, coma. </w:t>
      </w:r>
    </w:p>
    <w:p>
      <w:pPr>
        <w:pStyle w:val="ListParagraph"/>
        <w:numPr>
          <w:ilvl w:val="0"/>
          <w:numId w:val="2"/>
        </w:numPr>
        <w:spacing w:after="80" w:line="280"/>
      </w:pPr>
      <w:r>
        <w:rPr>
          <w:b/>
          <w:bCs/>
        </w:rPr>
        <w:t xml:space="preserve">Bradicardia, hipotensão refratária, parada cardíaca. </w:t>
      </w:r>
    </w:p>
    <w:p>
      <w:pPr>
        <w:pStyle w:val="ListParagraph"/>
        <w:numPr>
          <w:ilvl w:val="0"/>
          <w:numId w:val="2"/>
        </w:numPr>
        <w:spacing w:after="80" w:line="280"/>
      </w:pPr>
      <w:r>
        <w:rPr>
          <w:b/>
          <w:bCs/>
        </w:rPr>
        <w:t xml:space="preserve">Pele cor-de-rosa </w:t>
      </w:r>
      <w:r>
        <w:t xml:space="preserve">(sangue venoso oxigenado).</w:t>
      </w:r>
    </w:p>
    <w:p>
      <w:pPr>
        <w:pStyle w:val="ListParagraph"/>
        <w:numPr>
          <w:ilvl w:val="0"/>
          <w:numId w:val="2"/>
        </w:numPr>
        <w:spacing w:after="80" w:line="280"/>
      </w:pPr>
      <w:r>
        <w:rPr>
          <w:b/>
          <w:bCs/>
        </w:rPr>
        <w:t xml:space="preserve">Hálito de "amêndoas amargas" </w:t>
      </w:r>
      <w:r>
        <w:t xml:space="preserve">(40% das pessoas não conseguem detectar).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CE4D6" w:val="clear"/>
            <w:tcMar>
              <w:top w:type="dxa" w:w="160"/>
              <w:left w:type="dxa" w:w="200"/>
              <w:bottom w:type="dxa" w:w="160"/>
              <w:right w:type="dxa" w:w="200"/>
            </w:tcMar>
          </w:tcPr>
          <w:p>
            <w:pPr>
              <w:spacing w:after="80"/>
            </w:pPr>
            <w:r>
              <w:rPr>
                <w:b/>
                <w:bCs/>
                <w:color w:val="1F4E79"/>
                <w:sz w:val="22"/>
                <w:szCs w:val="22"/>
              </w:rPr>
              <w:t xml:space="preserve">🚨 ALERTA — "Acidose metabólica inexplicada" em paciente em uso de NIPRIDE = TOXICIDADE POR CIANETO até prova em contrário!</w:t>
            </w:r>
          </w:p>
          <w:p>
            <w:pPr>
              <w:spacing w:after="60"/>
            </w:pPr>
            <w:r>
              <w:rPr>
                <w:b/>
                <w:bCs/>
                <w:sz w:val="22"/>
                <w:szCs w:val="22"/>
              </w:rPr>
              <w:t xml:space="preserve">Conduta IMEDIATA:</w:t>
            </w:r>
          </w:p>
          <w:p>
            <w:pPr>
              <w:pStyle w:val="ListParagraph"/>
              <w:numPr>
                <w:ilvl w:val="0"/>
                <w:numId w:val="3"/>
              </w:numPr>
              <w:spacing w:after="60"/>
            </w:pPr>
            <w:r>
              <w:rPr>
                <w:b/>
                <w:bCs/>
                <w:sz w:val="22"/>
                <w:szCs w:val="22"/>
              </w:rPr>
              <w:t xml:space="preserve">SUSPENDER nipride imediatamente.</w:t>
            </w:r>
          </w:p>
          <w:p>
            <w:pPr>
              <w:pStyle w:val="ListParagraph"/>
              <w:numPr>
                <w:ilvl w:val="0"/>
                <w:numId w:val="3"/>
              </w:numPr>
              <w:spacing w:after="60"/>
            </w:pPr>
            <w:r>
              <w:rPr>
                <w:sz w:val="22"/>
                <w:szCs w:val="22"/>
              </w:rPr>
              <w:t xml:space="preserve">Coletar gasometria, lactato, ScvO₂.</w:t>
            </w:r>
          </w:p>
          <w:p>
            <w:pPr>
              <w:pStyle w:val="ListParagraph"/>
              <w:numPr>
                <w:ilvl w:val="0"/>
                <w:numId w:val="3"/>
              </w:numPr>
              <w:spacing w:after="60"/>
            </w:pPr>
            <w:r>
              <w:rPr>
                <w:b/>
                <w:bCs/>
                <w:sz w:val="22"/>
                <w:szCs w:val="22"/>
              </w:rPr>
              <w:t xml:space="preserve">Iniciar HIDROXOCOBALAMINA 5 g IV em 15 min (antídoto de escolha — quela cianeto formando cianocobalamina, eliminada renal).</w:t>
            </w:r>
          </w:p>
          <w:p>
            <w:pPr>
              <w:pStyle w:val="ListParagraph"/>
              <w:numPr>
                <w:ilvl w:val="0"/>
                <w:numId w:val="3"/>
              </w:numPr>
              <w:spacing w:after="60"/>
            </w:pPr>
            <w:r>
              <w:rPr>
                <w:sz w:val="22"/>
                <w:szCs w:val="22"/>
              </w:rPr>
              <w:t xml:space="preserve">Alternativa: TIOSSULFATO DE SÓDIO 12,5 g IV (50 mL a 25%) — fornece grupo SH para metabolismo do cianeto.</w:t>
            </w:r>
          </w:p>
          <w:p>
            <w:pPr>
              <w:pStyle w:val="ListParagraph"/>
              <w:numPr>
                <w:ilvl w:val="0"/>
                <w:numId w:val="3"/>
              </w:numPr>
              <w:spacing w:after="60"/>
            </w:pPr>
            <w:r>
              <w:rPr>
                <w:sz w:val="22"/>
                <w:szCs w:val="22"/>
              </w:rPr>
              <w:t xml:space="preserve">Suporte: O₂ 100%, ressuscitação, correção da acidose.</w:t>
            </w:r>
          </w:p>
          <w:p>
            <w:pPr>
              <w:pStyle w:val="ListParagraph"/>
              <w:numPr>
                <w:ilvl w:val="0"/>
                <w:numId w:val="3"/>
              </w:numPr>
              <w:spacing w:after="0"/>
            </w:pPr>
            <w:r>
              <w:rPr>
                <w:sz w:val="22"/>
                <w:szCs w:val="22"/>
              </w:rPr>
              <w:t xml:space="preserve">EVITAR nitrito de amilo / nitrito de sódio em hipotensão.</w:t>
            </w:r>
          </w:p>
        </w:tc>
      </w:tr>
    </w:tbl>
    <w:p>
      <w:pPr>
        <w:spacing w:after="120"/>
      </w:pPr>
      <w:r>
        <w:t xml:space="preserve"/>
      </w:r>
    </w:p>
    <w:p>
      <w:pPr>
        <w:pStyle w:val="Heading2"/>
        <w:spacing w:after="160" w:before="280"/>
      </w:pPr>
      <w:r>
        <w:rPr>
          <w:b/>
          <w:bCs/>
          <w:color w:val="1F4E79"/>
          <w:sz w:val="28"/>
          <w:szCs w:val="28"/>
        </w:rPr>
        <w:t xml:space="preserve">7.3 Toxicidade por TIOCIANATO (SCN⁻) — Subaguda/Crônica</w:t>
      </w:r>
    </w:p>
    <w:p>
      <w:pPr>
        <w:spacing w:after="120" w:line="300"/>
        <w:jc w:val="both"/>
      </w:pPr>
      <w:r>
        <w:t xml:space="preserve">Menos grave que cianeto, mas ocorre em INFUSÕES PROLONGADAS (&gt; 48h) ou em IRC. Tiocianato compete com iodeto na tireoide e tem ação neurotóxica.</w:t>
      </w:r>
    </w:p>
    <w:p>
      <w:pPr>
        <w:pStyle w:val="Heading3"/>
        <w:spacing w:after="120" w:before="200"/>
      </w:pPr>
      <w:r>
        <w:rPr>
          <w:b/>
          <w:bCs/>
          <w:color w:val="BF8F00"/>
          <w:sz w:val="24"/>
          <w:szCs w:val="24"/>
        </w:rPr>
        <w:t xml:space="preserve">Sinais e Sintomas</w:t>
      </w:r>
    </w:p>
    <w:p>
      <w:pPr>
        <w:pStyle w:val="ListParagraph"/>
        <w:numPr>
          <w:ilvl w:val="0"/>
          <w:numId w:val="2"/>
        </w:numPr>
        <w:spacing w:after="80" w:line="280"/>
      </w:pPr>
      <w:r>
        <w:t xml:space="preserve">Fadiga, cefaleia, anorexia.</w:t>
      </w:r>
    </w:p>
    <w:p>
      <w:pPr>
        <w:pStyle w:val="ListParagraph"/>
        <w:numPr>
          <w:ilvl w:val="0"/>
          <w:numId w:val="2"/>
        </w:numPr>
        <w:spacing w:after="80" w:line="280"/>
      </w:pPr>
      <w:r>
        <w:t xml:space="preserve">Náuseas, vômitos.</w:t>
      </w:r>
    </w:p>
    <w:p>
      <w:pPr>
        <w:pStyle w:val="ListParagraph"/>
        <w:numPr>
          <w:ilvl w:val="0"/>
          <w:numId w:val="2"/>
        </w:numPr>
        <w:spacing w:after="80" w:line="280"/>
      </w:pPr>
      <w:r>
        <w:t xml:space="preserve">Confusão, alterações comportamentais, alucinações, psicose.</w:t>
      </w:r>
    </w:p>
    <w:p>
      <w:pPr>
        <w:pStyle w:val="ListParagraph"/>
        <w:numPr>
          <w:ilvl w:val="0"/>
          <w:numId w:val="2"/>
        </w:numPr>
        <w:spacing w:after="80" w:line="280"/>
      </w:pPr>
      <w:r>
        <w:t xml:space="preserve">Hipotireoidismo (em uso &gt; 1 semana).</w:t>
      </w:r>
    </w:p>
    <w:p>
      <w:pPr>
        <w:pStyle w:val="ListParagraph"/>
        <w:numPr>
          <w:ilvl w:val="0"/>
          <w:numId w:val="2"/>
        </w:numPr>
        <w:spacing w:after="80" w:line="280"/>
      </w:pPr>
      <w:r>
        <w:t xml:space="preserve">Hiperreflexia, mioclonias, convulsões.</w:t>
      </w:r>
    </w:p>
    <w:p>
      <w:pPr>
        <w:pStyle w:val="ListParagraph"/>
        <w:numPr>
          <w:ilvl w:val="0"/>
          <w:numId w:val="2"/>
        </w:numPr>
        <w:spacing w:after="80" w:line="280"/>
      </w:pPr>
      <w:r>
        <w:t xml:space="preserve">Rash, miose.</w:t>
      </w:r>
    </w:p>
    <w:p>
      <w:pPr>
        <w:pStyle w:val="Heading3"/>
        <w:spacing w:after="120" w:before="200"/>
      </w:pPr>
      <w:r>
        <w:rPr>
          <w:b/>
          <w:bCs/>
          <w:color w:val="BF8F00"/>
          <w:sz w:val="24"/>
          <w:szCs w:val="24"/>
        </w:rPr>
        <w:t xml:space="preserve">Manejo</w:t>
      </w:r>
    </w:p>
    <w:p>
      <w:pPr>
        <w:pStyle w:val="ListParagraph"/>
        <w:numPr>
          <w:ilvl w:val="0"/>
          <w:numId w:val="2"/>
        </w:numPr>
        <w:spacing w:after="80" w:line="280"/>
      </w:pPr>
      <w:r>
        <w:rPr>
          <w:b/>
          <w:bCs/>
        </w:rPr>
        <w:t xml:space="preserve">Nível sérico de tiocianato: </w:t>
      </w:r>
      <w:r>
        <w:t xml:space="preserve">&gt; 60 mg/L (= 1,03 mmol/L) → reduzir/suspender; &gt; 100 mg/L = HEMODIÁLISE.</w:t>
      </w:r>
    </w:p>
    <w:p>
      <w:pPr>
        <w:pStyle w:val="ListParagraph"/>
        <w:numPr>
          <w:ilvl w:val="0"/>
          <w:numId w:val="2"/>
        </w:numPr>
        <w:spacing w:after="80" w:line="280"/>
      </w:pPr>
      <w:r>
        <w:rPr>
          <w:b/>
          <w:bCs/>
        </w:rPr>
        <w:t xml:space="preserve">Hemodiálise: </w:t>
      </w:r>
      <w:r>
        <w:t xml:space="preserve">eficaz para remover tiocianato em IRC.</w:t>
      </w:r>
    </w:p>
    <w:p>
      <w:pPr>
        <w:pStyle w:val="ListParagraph"/>
        <w:numPr>
          <w:ilvl w:val="0"/>
          <w:numId w:val="2"/>
        </w:numPr>
        <w:spacing w:after="80" w:line="280"/>
      </w:pPr>
      <w:r>
        <w:rPr>
          <w:b/>
          <w:bCs/>
        </w:rPr>
        <w:t xml:space="preserve">Profilaxia: </w:t>
      </w:r>
      <w:r>
        <w:t xml:space="preserve">monitorar tiocianato sérico se infusão &gt; 48h ou doses &gt; 2 µg/kg/min.</w:t>
      </w:r>
    </w:p>
    <w:p>
      <w:pPr>
        <w:spacing w:after="120"/>
      </w:pPr>
      <w:r>
        <w:t xml:space="preserve"/>
      </w:r>
    </w:p>
    <w:p>
      <w:pPr>
        <w:pStyle w:val="Heading2"/>
        <w:spacing w:after="160" w:before="280"/>
      </w:pPr>
      <w:r>
        <w:rPr>
          <w:b/>
          <w:bCs/>
          <w:color w:val="1F4E79"/>
          <w:sz w:val="28"/>
          <w:szCs w:val="28"/>
        </w:rPr>
        <w:t xml:space="preserve">7.4 Outros Efeitos Adversos</w:t>
      </w:r>
    </w:p>
    <w:p>
      <w:pPr>
        <w:pStyle w:val="ListParagraph"/>
        <w:numPr>
          <w:ilvl w:val="0"/>
          <w:numId w:val="2"/>
        </w:numPr>
        <w:spacing w:after="80" w:line="280"/>
      </w:pPr>
      <w:r>
        <w:rPr>
          <w:b/>
          <w:bCs/>
        </w:rPr>
        <w:t xml:space="preserve">Hipotensão grave: </w:t>
      </w:r>
      <w:r>
        <w:t xml:space="preserve">o mais comum. Reverter colocando paciente em Trendelenburg + suspender infusão (efeito desaparece em 1-10 min).</w:t>
      </w:r>
    </w:p>
    <w:p>
      <w:pPr>
        <w:pStyle w:val="ListParagraph"/>
        <w:numPr>
          <w:ilvl w:val="0"/>
          <w:numId w:val="2"/>
        </w:numPr>
        <w:spacing w:after="80" w:line="280"/>
      </w:pPr>
      <w:r>
        <w:rPr>
          <w:b/>
          <w:bCs/>
        </w:rPr>
        <w:t xml:space="preserve">↑ PIC: </w:t>
      </w:r>
      <w:r>
        <w:t xml:space="preserve">vasodilatação cerebral; cuidado em TCE/AVC hemorrágico.</w:t>
      </w:r>
    </w:p>
    <w:p>
      <w:pPr>
        <w:pStyle w:val="ListParagraph"/>
        <w:numPr>
          <w:ilvl w:val="0"/>
          <w:numId w:val="2"/>
        </w:numPr>
        <w:spacing w:after="80" w:line="280"/>
      </w:pPr>
      <w:r>
        <w:rPr>
          <w:b/>
          <w:bCs/>
        </w:rPr>
        <w:t xml:space="preserve">Steal coronariano: </w:t>
      </w:r>
      <w:r>
        <w:t xml:space="preserve">rouba fluxo de áreas isquêmicas → contraindicado em isquemia ativa.</w:t>
      </w:r>
    </w:p>
    <w:p>
      <w:pPr>
        <w:pStyle w:val="ListParagraph"/>
        <w:numPr>
          <w:ilvl w:val="0"/>
          <w:numId w:val="2"/>
        </w:numPr>
        <w:spacing w:after="80" w:line="280"/>
      </w:pPr>
      <w:r>
        <w:rPr>
          <w:b/>
          <w:bCs/>
        </w:rPr>
        <w:t xml:space="preserve">Hipoxemia: </w:t>
      </w:r>
      <w:r>
        <w:t xml:space="preserve">reverte vasoconstrição pulmonar hipóxica → piora shunt em SDRA.</w:t>
      </w:r>
    </w:p>
    <w:p>
      <w:pPr>
        <w:pStyle w:val="ListParagraph"/>
        <w:numPr>
          <w:ilvl w:val="0"/>
          <w:numId w:val="2"/>
        </w:numPr>
        <w:spacing w:after="80" w:line="280"/>
      </w:pPr>
      <w:r>
        <w:rPr>
          <w:b/>
          <w:bCs/>
        </w:rPr>
        <w:t xml:space="preserve">Methemoglobinemia: </w:t>
      </w:r>
      <w:r>
        <w:t xml:space="preserve">rara, em doses muito altas ou em deficiência de NADH-redutase.</w:t>
      </w:r>
    </w:p>
    <w:p>
      <w:pPr>
        <w:spacing w:after="120"/>
      </w:pPr>
      <w:r>
        <w:t xml:space="preserve"/>
      </w:r>
    </w:p>
    <w:p>
      <w:r>
        <w:br w:type="page"/>
      </w:r>
    </w:p>
    <w:p>
      <w:pPr>
        <w:pStyle w:val="Heading1"/>
        <w:spacing w:after="200" w:before="360"/>
      </w:pPr>
      <w:r>
        <w:rPr>
          <w:b/>
          <w:bCs/>
          <w:color w:val="1F4E79"/>
          <w:sz w:val="32"/>
          <w:szCs w:val="32"/>
        </w:rPr>
        <w:t xml:space="preserve">8. ⚖️ Comparativo TRIDIL × NIPRIDE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Parâmetro</w:t>
            </w:r>
          </w:p>
        </w:tc>
        <w:tc>
          <w:tcPr>
            <w:tcW w:type="dxa" w:w="3510"/>
            <w:tcBorders>
              <w:top w:val="single" w:color="8C8C8C" w:sz="6"/>
              <w:left w:val="single" w:color="8C8C8C" w:sz="6"/>
              <w:bottom w:val="single" w:color="8C8C8C" w:sz="6"/>
              <w:right w:val="single" w:color="8C8C8C" w:sz="6"/>
            </w:tcBorders>
            <w:shd w:fill="2E7D32" w:val="clear"/>
            <w:tcMar>
              <w:top w:type="dxa" w:w="100"/>
              <w:left w:type="dxa" w:w="140"/>
              <w:bottom w:type="dxa" w:w="100"/>
              <w:right w:type="dxa" w:w="140"/>
            </w:tcMar>
            <w:vAlign w:val="center"/>
          </w:tcPr>
          <w:p>
            <w:pPr>
              <w:spacing w:after="0"/>
              <w:jc w:val="left"/>
            </w:pPr>
            <w:r>
              <w:rPr>
                <w:b/>
                <w:bCs/>
                <w:color w:val="FFFFFF"/>
                <w:sz w:val="20"/>
                <w:szCs w:val="20"/>
              </w:rPr>
              <w:t xml:space="preserve">🟢 TRIDIL® (Nitroglicerina)</w:t>
            </w:r>
          </w:p>
        </w:tc>
        <w:tc>
          <w:tcPr>
            <w:tcW w:type="dxa" w:w="3510"/>
            <w:tcBorders>
              <w:top w:val="single" w:color="8C8C8C" w:sz="6"/>
              <w:left w:val="single" w:color="8C8C8C" w:sz="6"/>
              <w:bottom w:val="single" w:color="8C8C8C" w:sz="6"/>
              <w:right w:val="single" w:color="8C8C8C" w:sz="6"/>
            </w:tcBorders>
            <w:shd w:fill="6A1B9A" w:val="clear"/>
            <w:tcMar>
              <w:top w:type="dxa" w:w="100"/>
              <w:left w:type="dxa" w:w="140"/>
              <w:bottom w:type="dxa" w:w="100"/>
              <w:right w:type="dxa" w:w="140"/>
            </w:tcMar>
            <w:vAlign w:val="center"/>
          </w:tcPr>
          <w:p>
            <w:pPr>
              <w:spacing w:after="0"/>
              <w:jc w:val="left"/>
            </w:pPr>
            <w:r>
              <w:rPr>
                <w:b/>
                <w:bCs/>
                <w:color w:val="FFFFFF"/>
                <w:sz w:val="20"/>
                <w:szCs w:val="20"/>
              </w:rPr>
              <w:t xml:space="preserve">🟣 NIPRIDE® (Nitroprussiato)</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Mecanismo</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Pró-fármaco → bioativação intracelular → NO</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Liberação direta de NO + cianeto</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Vasodilatação predominante</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VENOSA (em doses baixas-médias)</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BALANCEADA (arterial = venosa)</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Efeito coronariano</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DILATA coronárias epicárdicas (anti-isquêmico)</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Risco de STEAL coronariano</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Início de ação</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1-2 min</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&lt; 30 segundos</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Meia-vida</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1-3 min</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1-2 min</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Dose</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5-200+ µg/MIN (não por kg)</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0,3-10 µg/KG/min</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Diluição padrão</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25 mg/250 mL = 100 µg/mL</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50 mg/250 mL SG 5% = 200 µg/mL</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Fotossensibilidade</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Pouco sensível</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MUITO sensível — proteger luz!</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PA invasiva obrigatória?</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Recomendada se &gt; 100 µg/min</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OBRIGATÓRIA sempre</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Toxicidade principal</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Cefaleia, taquifilaxia</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CIANETO + TIOCIANATO (graves!)</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Duração máxima segura</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Sem limite definido (cuidar tolerância)</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24-48h ideal; máximo 72h</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Uso em IRC/IH</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Sem ajuste</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EVITAR (acúmulo de tiocianato/cianeto)</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Uso em SCA</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ESCOLHA preferencial</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EVITAR (steal)</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Uso em dissecção aórtica</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2ª linha (após β-bloq)</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ESCOLHA preferencial (após β-bloq!)</w:t>
            </w:r>
          </w:p>
        </w:tc>
      </w:tr>
      <w:tr>
        <w:tc>
          <w:tcPr>
            <w:tcW w:type="dxa" w:w="2340"/>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Uso em EAP hipertensivo</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ESCOLHA preferencial</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Alternativa se Tridil insuficiente</w:t>
            </w:r>
          </w:p>
        </w:tc>
      </w:tr>
      <w:tr>
        <w:tc>
          <w:tcPr>
            <w:tcW w:type="dxa" w:w="2340"/>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Custo (Brasil)</w:t>
            </w:r>
          </w:p>
        </w:tc>
        <w:tc>
          <w:tcPr>
            <w:tcW w:type="dxa" w:w="3510"/>
            <w:tcBorders>
              <w:top w:val="single" w:color="8C8C8C" w:sz="6"/>
              <w:left w:val="single" w:color="8C8C8C" w:sz="6"/>
              <w:bottom w:val="single" w:color="8C8C8C" w:sz="6"/>
              <w:right w:val="single" w:color="8C8C8C" w:sz="6"/>
            </w:tcBorders>
            <w:shd w:fill="C8E6C9"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Mais barato</w:t>
            </w:r>
          </w:p>
        </w:tc>
        <w:tc>
          <w:tcPr>
            <w:tcW w:type="dxa" w:w="3510"/>
            <w:tcBorders>
              <w:top w:val="single" w:color="8C8C8C" w:sz="6"/>
              <w:left w:val="single" w:color="8C8C8C" w:sz="6"/>
              <w:bottom w:val="single" w:color="8C8C8C" w:sz="6"/>
              <w:right w:val="single" w:color="8C8C8C" w:sz="6"/>
            </w:tcBorders>
            <w:shd w:fill="E1BEE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Mais caro</w:t>
            </w:r>
          </w:p>
        </w:tc>
      </w:tr>
    </w:tbl>
    <w:p>
      <w:pPr>
        <w:spacing w:after="120"/>
      </w:pPr>
      <w:r>
        <w:t xml:space="preserve"/>
      </w:r>
    </w:p>
    <w:p>
      <w:r>
        <w:br w:type="page"/>
      </w:r>
    </w:p>
    <w:p>
      <w:pPr>
        <w:pStyle w:val="Heading1"/>
        <w:spacing w:after="200" w:before="360"/>
      </w:pPr>
      <w:r>
        <w:rPr>
          <w:b/>
          <w:bCs/>
          <w:color w:val="1F4E79"/>
          <w:sz w:val="32"/>
          <w:szCs w:val="32"/>
        </w:rPr>
        <w:t xml:space="preserve">9. 🩺 Cenários Clínicos Comentados</w:t>
      </w:r>
    </w:p>
    <w:p>
      <w:pPr>
        <w:pStyle w:val="Heading3"/>
        <w:spacing w:after="120" w:before="200"/>
      </w:pPr>
      <w:r>
        <w:rPr>
          <w:b/>
          <w:bCs/>
          <w:color w:val="BF8F00"/>
          <w:sz w:val="24"/>
          <w:szCs w:val="24"/>
        </w:rPr>
        <w:t xml:space="preserve">CENÁRIO 1 — Edema agudo de pulmão hipertensivo</w:t>
      </w:r>
    </w:p>
    <w:p>
      <w:pPr>
        <w:spacing w:after="120" w:line="300"/>
        <w:jc w:val="both"/>
      </w:pPr>
      <w:r>
        <w:rPr>
          <w:b/>
          <w:bCs/>
        </w:rPr>
        <w:t xml:space="preserve">Paciente: </w:t>
      </w:r>
      <w:r>
        <w:t xml:space="preserve">65a, 80 kg, dispneia súbita, ortopneia, estertores bilaterais difusos, PA 220/120, FC 130, SpO₂ 78% AA, RX: edema bilateral.</w:t>
      </w:r>
    </w:p>
    <w:p>
      <w:pPr>
        <w:spacing w:after="120" w:line="300"/>
        <w:jc w:val="both"/>
      </w:pPr>
      <w:r>
        <w:rPr>
          <w:b/>
          <w:bCs/>
          <w:color w:val="548235"/>
        </w:rPr>
        <w:t xml:space="preserve">Conduta: </w:t>
      </w:r>
      <w:r>
        <w:t xml:space="preserve">VNI imediata + Tridil 50-100 µg/min (titular para ↓ 25% PAS em 30 min) + furosemida 40-80 mg EV. Se sem resposta → aumentar Tridil agressivamente até 200-400 µg/min OU bolus 1-2 mg cada 3 min. Considerar IOT se piora.</w:t>
      </w:r>
    </w:p>
    <w:p>
      <w:pPr>
        <w:spacing w:after="120"/>
      </w:pPr>
      <w:r>
        <w:t xml:space="preserve"/>
      </w:r>
    </w:p>
    <w:p>
      <w:pPr>
        <w:pStyle w:val="Heading3"/>
        <w:spacing w:after="120" w:before="200"/>
      </w:pPr>
      <w:r>
        <w:rPr>
          <w:b/>
          <w:bCs/>
          <w:color w:val="BF8F00"/>
          <w:sz w:val="24"/>
          <w:szCs w:val="24"/>
        </w:rPr>
        <w:t xml:space="preserve">CENÁRIO 2 — IAM com supra de ST + dor torácica + HAS</w:t>
      </w:r>
    </w:p>
    <w:p>
      <w:pPr>
        <w:spacing w:after="120" w:line="300"/>
        <w:jc w:val="both"/>
      </w:pPr>
      <w:r>
        <w:rPr>
          <w:b/>
          <w:bCs/>
        </w:rPr>
        <w:t xml:space="preserve">Paciente: </w:t>
      </w:r>
      <w:r>
        <w:t xml:space="preserve">58a, dor torácica há 2h, supra ST V1-V4, PA 180/100, FC 95, sem sinais de IVD.</w:t>
      </w:r>
    </w:p>
    <w:p>
      <w:pPr>
        <w:spacing w:after="120" w:line="300"/>
        <w:jc w:val="both"/>
      </w:pPr>
      <w:r>
        <w:rPr>
          <w:b/>
          <w:bCs/>
          <w:color w:val="548235"/>
        </w:rPr>
        <w:t xml:space="preserve">Conduta: </w:t>
      </w:r>
      <w:r>
        <w:t xml:space="preserve">Tridil 10-20 µg/min, titular para alívio da dor + redução de 10-20% PA, mantendo PAS &gt; 100. SE INFRA OU SUSPEITA DE IAM DE VD → SUSPENDER (risco de hipotensão grave). Encaminhar para reperfusão.</w:t>
      </w:r>
    </w:p>
    <w:p>
      <w:pPr>
        <w:spacing w:after="120"/>
      </w:pPr>
      <w:r>
        <w:t xml:space="preserve"/>
      </w:r>
    </w:p>
    <w:p>
      <w:pPr>
        <w:pStyle w:val="Heading3"/>
        <w:spacing w:after="120" w:before="200"/>
      </w:pPr>
      <w:r>
        <w:rPr>
          <w:b/>
          <w:bCs/>
          <w:color w:val="BF8F00"/>
          <w:sz w:val="24"/>
          <w:szCs w:val="24"/>
        </w:rPr>
        <w:t xml:space="preserve">CENÁRIO 3 — Dissecção aórtica tipo A</w:t>
      </w:r>
    </w:p>
    <w:p>
      <w:pPr>
        <w:spacing w:after="120" w:line="300"/>
        <w:jc w:val="both"/>
      </w:pPr>
      <w:r>
        <w:rPr>
          <w:b/>
          <w:bCs/>
        </w:rPr>
        <w:t xml:space="preserve">Paciente: </w:t>
      </w:r>
      <w:r>
        <w:t xml:space="preserve">70a, dor torácica em facada irradiada para dorso, PA 200/110, AngioTC: dissecção tipo A.</w:t>
      </w:r>
    </w:p>
    <w:p>
      <w:pPr>
        <w:spacing w:after="120" w:line="300"/>
        <w:jc w:val="both"/>
      </w:pPr>
      <w:r>
        <w:rPr>
          <w:b/>
          <w:bCs/>
          <w:color w:val="548235"/>
        </w:rPr>
        <w:t xml:space="preserve">Conduta: </w:t>
      </w:r>
      <w:r>
        <w:t xml:space="preserve">PRIMEIRO esmolol BIC para alvo FC &lt; 60 (reduz dP/dt). DEPOIS Nipride 0,3-0,5 µg/kg/min titulado para PAS &lt; 120 mmHg. NUNCA Nipride sozinho — taquicardia reflexa pioraria a dissecção. Cirurgia de emergência.</w:t>
      </w:r>
    </w:p>
    <w:p>
      <w:pPr>
        <w:spacing w:after="120"/>
      </w:pPr>
      <w:r>
        <w:t xml:space="preserve"/>
      </w:r>
    </w:p>
    <w:p>
      <w:pPr>
        <w:pStyle w:val="Heading3"/>
        <w:spacing w:after="120" w:before="200"/>
      </w:pPr>
      <w:r>
        <w:rPr>
          <w:b/>
          <w:bCs/>
          <w:color w:val="BF8F00"/>
          <w:sz w:val="24"/>
          <w:szCs w:val="24"/>
        </w:rPr>
        <w:t xml:space="preserve">CENÁRIO 4 — Encefalopatia hipertensiva</w:t>
      </w:r>
    </w:p>
    <w:p>
      <w:pPr>
        <w:spacing w:after="120" w:line="300"/>
        <w:jc w:val="both"/>
      </w:pPr>
      <w:r>
        <w:rPr>
          <w:b/>
          <w:bCs/>
        </w:rPr>
        <w:t xml:space="preserve">Paciente: </w:t>
      </w:r>
      <w:r>
        <w:t xml:space="preserve">55a, PA 240/140, cefaleia, confusão, papiledema, RM: edema vasogênico posterior.</w:t>
      </w:r>
    </w:p>
    <w:p>
      <w:pPr>
        <w:spacing w:after="120" w:line="300"/>
        <w:jc w:val="both"/>
      </w:pPr>
      <w:r>
        <w:rPr>
          <w:b/>
          <w:bCs/>
          <w:color w:val="548235"/>
        </w:rPr>
        <w:t xml:space="preserve">Conduta: </w:t>
      </w:r>
      <w:r>
        <w:t xml:space="preserve">Nipride 0,3-0,5 µg/kg/min OU Clevidipina 1-2 mg/h. ALVO: ↓ 20-25% PAM nas primeiras 1-2h, depois meta gradual. EVITAR queda rápida (risco de hipoperfusão cerebral em pacientes com autorregulação alterada).</w:t>
      </w:r>
    </w:p>
    <w:p>
      <w:pPr>
        <w:spacing w:after="120"/>
      </w:pPr>
      <w:r>
        <w:t xml:space="preserve"/>
      </w:r>
    </w:p>
    <w:p>
      <w:pPr>
        <w:pStyle w:val="Heading3"/>
        <w:spacing w:after="120" w:before="200"/>
      </w:pPr>
      <w:r>
        <w:rPr>
          <w:b/>
          <w:bCs/>
          <w:color w:val="BF8F00"/>
          <w:sz w:val="24"/>
          <w:szCs w:val="24"/>
        </w:rPr>
        <w:t xml:space="preserve">CENÁRIO 5 — IC descompensada com PA limítrofe</w:t>
      </w:r>
    </w:p>
    <w:p>
      <w:pPr>
        <w:spacing w:after="120" w:line="300"/>
        <w:jc w:val="both"/>
      </w:pPr>
      <w:r>
        <w:rPr>
          <w:b/>
          <w:bCs/>
        </w:rPr>
        <w:t xml:space="preserve">Paciente: </w:t>
      </w:r>
      <w:r>
        <w:t xml:space="preserve">72a, IC FE reduzida, congestão pulmonar e sistêmica, PA 110/70, RVS calculada 1.800.</w:t>
      </w:r>
    </w:p>
    <w:p>
      <w:pPr>
        <w:spacing w:after="120" w:line="300"/>
        <w:jc w:val="both"/>
      </w:pPr>
      <w:r>
        <w:rPr>
          <w:b/>
          <w:bCs/>
          <w:color w:val="548235"/>
        </w:rPr>
        <w:t xml:space="preserve">Conduta: </w:t>
      </w:r>
      <w:r>
        <w:t xml:space="preserve">Cuidado — PA limítrofe. Iniciar Tridil 10 µg/min (vasodilatador venoso reduz congestão); se RVS persistir muito alta e DC baixo, considerar Nipride 0,3 µg/kg/min + dobutamina 5 µg/kg/min (combinação clássica IC avançada com PA preservada).</w:t>
      </w:r>
    </w:p>
    <w:p>
      <w:pPr>
        <w:spacing w:after="120"/>
      </w:pPr>
      <w:r>
        <w:t xml:space="preserve"/>
      </w:r>
    </w:p>
    <w:p>
      <w:r>
        <w:br w:type="page"/>
      </w:r>
    </w:p>
    <w:p>
      <w:pPr>
        <w:pStyle w:val="Heading1"/>
        <w:spacing w:after="200" w:before="360"/>
      </w:pPr>
      <w:r>
        <w:rPr>
          <w:b/>
          <w:bCs/>
          <w:color w:val="1F4E79"/>
          <w:sz w:val="32"/>
          <w:szCs w:val="32"/>
        </w:rPr>
        <w:t xml:space="preserve">10. 📉 Desmame</w:t>
      </w:r>
    </w:p>
    <w:p>
      <w:pPr>
        <w:pStyle w:val="Heading2"/>
        <w:spacing w:after="160" w:before="280"/>
      </w:pPr>
      <w:r>
        <w:rPr>
          <w:b/>
          <w:bCs/>
          <w:color w:val="1F4E79"/>
          <w:sz w:val="28"/>
          <w:szCs w:val="28"/>
        </w:rPr>
        <w:t xml:space="preserve">10.1 Desmame do TRIDIL</w:t>
      </w:r>
    </w:p>
    <w:p>
      <w:pPr>
        <w:pStyle w:val="ListParagraph"/>
        <w:numPr>
          <w:ilvl w:val="0"/>
          <w:numId w:val="2"/>
        </w:numPr>
        <w:spacing w:after="80" w:line="280"/>
      </w:pPr>
      <w:r>
        <w:t xml:space="preserve">Quando: PA controlada, sem isquemia ativa, congestão resolvida.</w:t>
      </w:r>
    </w:p>
    <w:p>
      <w:pPr>
        <w:pStyle w:val="ListParagraph"/>
        <w:numPr>
          <w:ilvl w:val="0"/>
          <w:numId w:val="2"/>
        </w:numPr>
        <w:spacing w:after="80" w:line="280"/>
      </w:pPr>
      <w:r>
        <w:t xml:space="preserve">Estratégia: reduzir 10-20 µg/min a cada 1-2h.</w:t>
      </w:r>
    </w:p>
    <w:p>
      <w:pPr>
        <w:pStyle w:val="ListParagraph"/>
        <w:numPr>
          <w:ilvl w:val="0"/>
          <w:numId w:val="2"/>
        </w:numPr>
        <w:spacing w:after="80" w:line="280"/>
      </w:pPr>
      <w:r>
        <w:t xml:space="preserve">Monitorizar: PA, sintomas anginosos, congestão.</w:t>
      </w:r>
    </w:p>
    <w:p>
      <w:pPr>
        <w:pStyle w:val="ListParagraph"/>
        <w:numPr>
          <w:ilvl w:val="0"/>
          <w:numId w:val="2"/>
        </w:numPr>
        <w:spacing w:after="80" w:line="280"/>
      </w:pPr>
      <w:r>
        <w:t xml:space="preserve">Transição: iniciar VO (mononitrato/dinitrato) ou outro anti-hipertensivo (IECA, β-bloq) ANTES de suspender.</w:t>
      </w:r>
    </w:p>
    <w:p>
      <w:pPr>
        <w:pStyle w:val="ListParagraph"/>
        <w:numPr>
          <w:ilvl w:val="0"/>
          <w:numId w:val="2"/>
        </w:numPr>
        <w:spacing w:after="80" w:line="280"/>
      </w:pPr>
      <w:r>
        <w:t xml:space="preserve">Cuidado com REBOTE: descontinuação abrupta após uso &gt; 24h pode causar HAS rebote — desmame gradual.</w:t>
      </w:r>
    </w:p>
    <w:p>
      <w:pPr>
        <w:pStyle w:val="Heading2"/>
        <w:spacing w:after="160" w:before="280"/>
      </w:pPr>
      <w:r>
        <w:rPr>
          <w:b/>
          <w:bCs/>
          <w:color w:val="1F4E79"/>
          <w:sz w:val="28"/>
          <w:szCs w:val="28"/>
        </w:rPr>
        <w:t xml:space="preserve">10.2 Desmame do NIPRIDE</w:t>
      </w:r>
    </w:p>
    <w:p>
      <w:pPr>
        <w:pStyle w:val="ListParagraph"/>
        <w:numPr>
          <w:ilvl w:val="0"/>
          <w:numId w:val="2"/>
        </w:numPr>
        <w:spacing w:after="80" w:line="280"/>
      </w:pPr>
      <w:r>
        <w:t xml:space="preserve">Quando: PA controlada, paciente estável, transição para VO viável.</w:t>
      </w:r>
    </w:p>
    <w:p>
      <w:pPr>
        <w:pStyle w:val="ListParagraph"/>
        <w:numPr>
          <w:ilvl w:val="0"/>
          <w:numId w:val="2"/>
        </w:numPr>
        <w:spacing w:after="80" w:line="280"/>
      </w:pPr>
      <w:r>
        <w:t xml:space="preserve">Estratégia: reduzir 0,2-0,5 µg/kg/min a cada 1-2h.</w:t>
      </w:r>
    </w:p>
    <w:p>
      <w:pPr>
        <w:pStyle w:val="ListParagraph"/>
        <w:numPr>
          <w:ilvl w:val="0"/>
          <w:numId w:val="2"/>
        </w:numPr>
        <w:spacing w:after="80" w:line="280"/>
      </w:pPr>
      <w:r>
        <w:t xml:space="preserve">ATENÇÃO: rebote hipertensivo é COMUM (efeito muito breve).</w:t>
      </w:r>
    </w:p>
    <w:p>
      <w:pPr>
        <w:pStyle w:val="ListParagraph"/>
        <w:numPr>
          <w:ilvl w:val="0"/>
          <w:numId w:val="2"/>
        </w:numPr>
        <w:spacing w:after="80" w:line="280"/>
      </w:pPr>
      <w:r>
        <w:t xml:space="preserve">Iniciar anti-hipertensivo VO (IECA, BCC, β-bloq) ANTES da suspensão.</w:t>
      </w:r>
    </w:p>
    <w:p>
      <w:pPr>
        <w:pStyle w:val="ListParagraph"/>
        <w:numPr>
          <w:ilvl w:val="0"/>
          <w:numId w:val="2"/>
        </w:numPr>
        <w:spacing w:after="80" w:line="280"/>
      </w:pPr>
      <w:r>
        <w:t xml:space="preserve">Suspender quando PAS estável &lt; 160 com VO em ação.</w:t>
      </w:r>
    </w:p>
    <w:p>
      <w:pPr>
        <w:pStyle w:val="ListParagraph"/>
        <w:numPr>
          <w:ilvl w:val="0"/>
          <w:numId w:val="2"/>
        </w:numPr>
        <w:spacing w:after="80" w:line="280"/>
      </w:pPr>
      <w:r>
        <w:t xml:space="preserve">Monitorizar 4-6h após suspensão para detectar rebote.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24"/>
              <w:bottom w:val="single" w:color="1F4E79" w:sz="12"/>
              <w:right w:val="single" w:color="1F4E79" w:sz="6"/>
            </w:tcBorders>
            <w:shd w:fill="FCE4D6" w:val="clear"/>
            <w:tcMar>
              <w:top w:type="dxa" w:w="160"/>
              <w:left w:type="dxa" w:w="200"/>
              <w:bottom w:type="dxa" w:w="160"/>
              <w:right w:type="dxa" w:w="200"/>
            </w:tcMar>
          </w:tcPr>
          <w:p>
            <w:pPr>
              <w:spacing w:after="80"/>
            </w:pPr>
            <w:r>
              <w:rPr>
                <w:b/>
                <w:bCs/>
                <w:color w:val="1F4E79"/>
                <w:sz w:val="22"/>
                <w:szCs w:val="22"/>
              </w:rPr>
              <w:t xml:space="preserve">⚠️ REBOTE — "Janela perigosa":</w:t>
            </w:r>
          </w:p>
          <w:p>
            <w:pPr>
              <w:spacing w:after="0"/>
            </w:pPr>
            <w:r>
              <w:rPr>
                <w:sz w:val="22"/>
                <w:szCs w:val="22"/>
              </w:rPr>
              <w:t xml:space="preserve">Pela meia-vida MUITO CURTA do Nipride (1-2 min), seu efeito termina em poucos minutos após suspensão. Se anti-hipertensivo VO ainda não atingiu efeito, pode haver pico hipertensivo acentuado. SEMPRE administrar VO com 30-60 min de antecedência ANTES de iniciar desmame. O Tridil tem o mesmo problema, mas em menor intensidade.</w:t>
            </w:r>
          </w:p>
        </w:tc>
      </w:tr>
    </w:tbl>
    <w:p>
      <w:pPr>
        <w:spacing w:after="120"/>
      </w:pPr>
      <w:r>
        <w:t xml:space="preserve"/>
      </w:r>
    </w:p>
    <w:p>
      <w:r>
        <w:br w:type="page"/>
      </w:r>
    </w:p>
    <w:p>
      <w:pPr>
        <w:pStyle w:val="Heading1"/>
        <w:spacing w:after="200" w:before="360"/>
      </w:pPr>
      <w:r>
        <w:rPr>
          <w:b/>
          <w:bCs/>
          <w:color w:val="1F4E79"/>
          <w:sz w:val="32"/>
          <w:szCs w:val="32"/>
        </w:rPr>
        <w:t xml:space="preserve">11. 👥 Populações Especiais</w:t>
      </w:r>
    </w:p>
    <w:p>
      <w:pPr>
        <w:pStyle w:val="Heading2"/>
        <w:spacing w:after="160" w:before="280"/>
      </w:pPr>
      <w:r>
        <w:rPr>
          <w:b/>
          <w:bCs/>
          <w:color w:val="1F4E79"/>
          <w:sz w:val="28"/>
          <w:szCs w:val="28"/>
        </w:rPr>
        <w:t xml:space="preserve">11.1 Idoso</w:t>
      </w:r>
    </w:p>
    <w:p>
      <w:pPr>
        <w:pStyle w:val="ListParagraph"/>
        <w:numPr>
          <w:ilvl w:val="0"/>
          <w:numId w:val="2"/>
        </w:numPr>
        <w:spacing w:after="80" w:line="280"/>
      </w:pPr>
      <w:r>
        <w:t xml:space="preserve">Maior sensibilidade a vasodilatação → iniciar com doses MENORES (Tridil 5-10 µg/min, Nipride 0,3 µg/kg/min).</w:t>
      </w:r>
    </w:p>
    <w:p>
      <w:pPr>
        <w:pStyle w:val="ListParagraph"/>
        <w:numPr>
          <w:ilvl w:val="0"/>
          <w:numId w:val="2"/>
        </w:numPr>
        <w:spacing w:after="80" w:line="280"/>
      </w:pPr>
      <w:r>
        <w:t xml:space="preserve">Risco aumentado de hipotensão ortostática e queda.</w:t>
      </w:r>
    </w:p>
    <w:p>
      <w:pPr>
        <w:pStyle w:val="ListParagraph"/>
        <w:numPr>
          <w:ilvl w:val="0"/>
          <w:numId w:val="2"/>
        </w:numPr>
        <w:spacing w:after="80" w:line="280"/>
      </w:pPr>
      <w:r>
        <w:t xml:space="preserve">Função renal/hepática frequentemente reduzida → cuidado redobrado com Nipride.</w:t>
      </w:r>
    </w:p>
    <w:p>
      <w:pPr>
        <w:pStyle w:val="Heading2"/>
        <w:spacing w:after="160" w:before="280"/>
      </w:pPr>
      <w:r>
        <w:rPr>
          <w:b/>
          <w:bCs/>
          <w:color w:val="1F4E79"/>
          <w:sz w:val="28"/>
          <w:szCs w:val="28"/>
        </w:rPr>
        <w:t xml:space="preserve">11.2 Gestante</w:t>
      </w:r>
    </w:p>
    <w:p>
      <w:pPr>
        <w:pStyle w:val="ListParagraph"/>
        <w:numPr>
          <w:ilvl w:val="0"/>
          <w:numId w:val="2"/>
        </w:numPr>
        <w:spacing w:after="80" w:line="280"/>
      </w:pPr>
      <w:r>
        <w:t xml:space="preserve">TRIDIL: categoria B/C — usar se necessário (eclâmpsia/HELLP). Pode reduzir contratilidade uterina.</w:t>
      </w:r>
    </w:p>
    <w:p>
      <w:pPr>
        <w:pStyle w:val="ListParagraph"/>
        <w:numPr>
          <w:ilvl w:val="0"/>
          <w:numId w:val="2"/>
        </w:numPr>
        <w:spacing w:after="80" w:line="280"/>
      </w:pPr>
      <w:r>
        <w:t xml:space="preserve">NIPRIDE: categoria C — atravessa placenta, RISCO DE CIANETO FETAL — EVITAR; reservar para casos refratários e por curto período.</w:t>
      </w:r>
    </w:p>
    <w:p>
      <w:pPr>
        <w:pStyle w:val="ListParagraph"/>
        <w:numPr>
          <w:ilvl w:val="0"/>
          <w:numId w:val="2"/>
        </w:numPr>
        <w:spacing w:after="80" w:line="280"/>
      </w:pPr>
      <w:r>
        <w:t xml:space="preserve">Alternativas em pré-eclâmpsia/eclâmpsia: hidralazina, labetalol, nicardipina.</w:t>
      </w:r>
    </w:p>
    <w:p>
      <w:pPr>
        <w:pStyle w:val="Heading2"/>
        <w:spacing w:after="160" w:before="280"/>
      </w:pPr>
      <w:r>
        <w:rPr>
          <w:b/>
          <w:bCs/>
          <w:color w:val="1F4E79"/>
          <w:sz w:val="28"/>
          <w:szCs w:val="28"/>
        </w:rPr>
        <w:t xml:space="preserve">11.3 Insuficiência renal/hepática</w:t>
      </w:r>
    </w:p>
    <w:p>
      <w:pPr>
        <w:pStyle w:val="ListParagraph"/>
        <w:numPr>
          <w:ilvl w:val="0"/>
          <w:numId w:val="2"/>
        </w:numPr>
        <w:spacing w:after="80" w:line="280"/>
      </w:pPr>
      <w:r>
        <w:t xml:space="preserve">Tridil: sem ajuste.</w:t>
      </w:r>
    </w:p>
    <w:p>
      <w:pPr>
        <w:pStyle w:val="ListParagraph"/>
        <w:numPr>
          <w:ilvl w:val="0"/>
          <w:numId w:val="2"/>
        </w:numPr>
        <w:spacing w:after="80" w:line="280"/>
      </w:pPr>
      <w:r>
        <w:t xml:space="preserve">Nipride: EVITAR; se inevitável, dose &lt; 1 µg/kg/min, duração &lt; 24h, monitorar tiocianato.</w:t>
      </w:r>
    </w:p>
    <w:p>
      <w:pPr>
        <w:pStyle w:val="Heading2"/>
        <w:spacing w:after="160" w:before="280"/>
      </w:pPr>
      <w:r>
        <w:rPr>
          <w:b/>
          <w:bCs/>
          <w:color w:val="1F4E79"/>
          <w:sz w:val="28"/>
          <w:szCs w:val="28"/>
        </w:rPr>
        <w:t xml:space="preserve">11.4 TCE / AVC hemorrágico</w:t>
      </w:r>
    </w:p>
    <w:p>
      <w:pPr>
        <w:pStyle w:val="ListParagraph"/>
        <w:numPr>
          <w:ilvl w:val="0"/>
          <w:numId w:val="2"/>
        </w:numPr>
        <w:spacing w:after="80" w:line="280"/>
      </w:pPr>
      <w:r>
        <w:t xml:space="preserve">AMBOS podem ↑ PIC por vasodilatação cerebral.</w:t>
      </w:r>
    </w:p>
    <w:p>
      <w:pPr>
        <w:pStyle w:val="ListParagraph"/>
        <w:numPr>
          <w:ilvl w:val="0"/>
          <w:numId w:val="2"/>
        </w:numPr>
        <w:spacing w:after="80" w:line="280"/>
      </w:pPr>
      <w:r>
        <w:t xml:space="preserve">Preferir labetalol, nicardipina ou clevidipina (menor efeito sobre PIC).</w:t>
      </w:r>
    </w:p>
    <w:p>
      <w:pPr>
        <w:pStyle w:val="ListParagraph"/>
        <w:numPr>
          <w:ilvl w:val="0"/>
          <w:numId w:val="2"/>
        </w:numPr>
        <w:spacing w:after="80" w:line="280"/>
      </w:pPr>
      <w:r>
        <w:t xml:space="preserve">Se Tridil/Nipride necessário, monitorizar PIC se possível, manter PAM-PIC ≥ 60-70.</w:t>
      </w:r>
    </w:p>
    <w:p>
      <w:pPr>
        <w:pStyle w:val="Heading2"/>
        <w:spacing w:after="160" w:before="280"/>
      </w:pPr>
      <w:r>
        <w:rPr>
          <w:b/>
          <w:bCs/>
          <w:color w:val="1F4E79"/>
          <w:sz w:val="28"/>
          <w:szCs w:val="28"/>
        </w:rPr>
        <w:t xml:space="preserve">11.5 Pediatria</w:t>
      </w:r>
    </w:p>
    <w:p>
      <w:pPr>
        <w:pStyle w:val="ListParagraph"/>
        <w:numPr>
          <w:ilvl w:val="0"/>
          <w:numId w:val="2"/>
        </w:numPr>
        <w:spacing w:after="80" w:line="280"/>
      </w:pPr>
      <w:r>
        <w:t xml:space="preserve">Nipride: 0,3-8 µg/kg/min (mesma faixa adulta).</w:t>
      </w:r>
    </w:p>
    <w:p>
      <w:pPr>
        <w:pStyle w:val="ListParagraph"/>
        <w:numPr>
          <w:ilvl w:val="0"/>
          <w:numId w:val="2"/>
        </w:numPr>
        <w:spacing w:after="80" w:line="280"/>
      </w:pPr>
      <w:r>
        <w:t xml:space="preserve">Tridil: 0,5-5 µg/kg/min (em pediatria USA-SE por kg, diferente do adulto).</w:t>
      </w:r>
    </w:p>
    <w:p>
      <w:pPr>
        <w:pStyle w:val="ListParagraph"/>
        <w:numPr>
          <w:ilvl w:val="0"/>
          <w:numId w:val="2"/>
        </w:numPr>
        <w:spacing w:after="80" w:line="280"/>
      </w:pPr>
      <w:r>
        <w:t xml:space="preserve">Cuidado redobrado com toxicidade — neonatos têm rodanese imatura.</w:t>
      </w:r>
    </w:p>
    <w:p>
      <w:pPr>
        <w:spacing w:after="120"/>
      </w:pPr>
      <w:r>
        <w:t xml:space="preserve"/>
      </w:r>
    </w:p>
    <w:p>
      <w:r>
        <w:br w:type="page"/>
      </w:r>
    </w:p>
    <w:p>
      <w:pPr>
        <w:pStyle w:val="Heading1"/>
        <w:spacing w:after="200" w:before="360"/>
      </w:pPr>
      <w:r>
        <w:rPr>
          <w:b/>
          <w:bCs/>
          <w:color w:val="1F4E79"/>
          <w:sz w:val="32"/>
          <w:szCs w:val="32"/>
        </w:rPr>
        <w:t xml:space="preserve">12. 🎯 Armadilhas e Pegadinhas 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Pegadinha</w:t>
            </w:r>
          </w:p>
        </w:tc>
        <w:tc>
          <w:tcPr>
            <w:tcW w:type="dxa" w:w="5616"/>
            <w:tcBorders>
              <w:top w:val="single" w:color="8C8C8C" w:sz="6"/>
              <w:left w:val="single" w:color="8C8C8C" w:sz="6"/>
              <w:bottom w:val="single" w:color="8C8C8C" w:sz="6"/>
              <w:right w:val="single" w:color="8C8C8C" w:sz="6"/>
            </w:tcBorders>
            <w:shd w:fill="1F4E79" w:val="clear"/>
            <w:tcMar>
              <w:top w:type="dxa" w:w="100"/>
              <w:left w:type="dxa" w:w="140"/>
              <w:bottom w:type="dxa" w:w="100"/>
              <w:right w:type="dxa" w:w="140"/>
            </w:tcMar>
            <w:vAlign w:val="center"/>
          </w:tcPr>
          <w:p>
            <w:pPr>
              <w:spacing w:after="0"/>
              <w:jc w:val="left"/>
            </w:pPr>
            <w:r>
              <w:rPr>
                <w:b/>
                <w:bCs/>
                <w:color w:val="FFFFFF"/>
                <w:sz w:val="20"/>
                <w:szCs w:val="20"/>
              </w:rPr>
              <w:t xml:space="preserve">Resposta Correta</w:t>
            </w:r>
          </w:p>
        </w:tc>
      </w:tr>
      <w:tr>
        <w:tc>
          <w:tcPr>
            <w:tcW w:type="dxa" w:w="3744"/>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Tridil é prescrito em µg/kg/min?</w:t>
            </w:r>
          </w:p>
        </w:tc>
        <w:tc>
          <w:tcPr>
            <w:tcW w:type="dxa" w:w="5616"/>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NÃO. Em adulto é em µg/MIN total (não por kg). Pediátrico SIM.</w:t>
            </w:r>
          </w:p>
        </w:tc>
      </w:tr>
      <w:tr>
        <w:tc>
          <w:tcPr>
            <w:tcW w:type="dxa" w:w="3744"/>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Nipride é a 1ª escolha em EAP?</w:t>
            </w:r>
          </w:p>
        </w:tc>
        <w:tc>
          <w:tcPr>
            <w:tcW w:type="dxa" w:w="5616"/>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NÃO. Tridil é preferencial (efeito venoso). Nipride se Tridil falhar.</w:t>
            </w:r>
          </w:p>
        </w:tc>
      </w:tr>
      <w:tr>
        <w:tc>
          <w:tcPr>
            <w:tcW w:type="dxa" w:w="3744"/>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Nipride sozinho em dissecção aórtica?</w:t>
            </w:r>
          </w:p>
        </w:tc>
        <w:tc>
          <w:tcPr>
            <w:tcW w:type="dxa" w:w="5616"/>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PROIBIDO! Causa taquicardia reflexa → ↑ dP/dt → progressão da dissecção. β-BLOQ ANTES sempre.</w:t>
            </w:r>
          </w:p>
        </w:tc>
      </w:tr>
      <w:tr>
        <w:tc>
          <w:tcPr>
            <w:tcW w:type="dxa" w:w="3744"/>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Tridil pode ser usado em IAM de VD?</w:t>
            </w:r>
          </w:p>
        </w:tc>
        <w:tc>
          <w:tcPr>
            <w:tcW w:type="dxa" w:w="5616"/>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CONTRAINDICADO. Reduz pré-carga já dependente — risco de hipotensão grave/choque.</w:t>
            </w:r>
          </w:p>
        </w:tc>
      </w:tr>
      <w:tr>
        <w:tc>
          <w:tcPr>
            <w:tcW w:type="dxa" w:w="3744"/>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Nipride causa cianeto em qualquer dose?</w:t>
            </w:r>
          </w:p>
        </w:tc>
        <w:tc>
          <w:tcPr>
            <w:tcW w:type="dxa" w:w="5616"/>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Risco AUMENTA com dose &gt; 2 µg/kg/min e infusão &gt; 24-48h. Sintomas: acidose inexplicada + lactato + SvO₂ alta.</w:t>
            </w:r>
          </w:p>
        </w:tc>
      </w:tr>
      <w:tr>
        <w:tc>
          <w:tcPr>
            <w:tcW w:type="dxa" w:w="3744"/>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Antídoto do cianeto por Nipride?</w:t>
            </w:r>
          </w:p>
        </w:tc>
        <w:tc>
          <w:tcPr>
            <w:tcW w:type="dxa" w:w="5616"/>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HIDROXOCOBALAMINA 5g IV (1ª escolha) OU Tiossulfato de Sódio 12,5g IV.</w:t>
            </w:r>
          </w:p>
        </w:tc>
      </w:tr>
      <w:tr>
        <w:tc>
          <w:tcPr>
            <w:tcW w:type="dxa" w:w="3744"/>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Pode usar Tridil + sildenafil?</w:t>
            </w:r>
          </w:p>
        </w:tc>
        <w:tc>
          <w:tcPr>
            <w:tcW w:type="dxa" w:w="5616"/>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PROIBIDO! Hipotensão potencialmente fatal. Aguardar 24h (sildenafil) ou 48h (tadalafil).</w:t>
            </w:r>
          </w:p>
        </w:tc>
      </w:tr>
      <w:tr>
        <w:tc>
          <w:tcPr>
            <w:tcW w:type="dxa" w:w="3744"/>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Nipride precisa proteção da luz?</w:t>
            </w:r>
          </w:p>
        </w:tc>
        <w:tc>
          <w:tcPr>
            <w:tcW w:type="dxa" w:w="5616"/>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SIM. Cobertura âmbar ou papel alumínio. Trocar a cada 24h. Descartar se mudança de cor.</w:t>
            </w:r>
          </w:p>
        </w:tc>
      </w:tr>
      <w:tr>
        <w:tc>
          <w:tcPr>
            <w:tcW w:type="dxa" w:w="3744"/>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PA invasiva é necessária para usar Nipride?</w:t>
            </w:r>
          </w:p>
        </w:tc>
        <w:tc>
          <w:tcPr>
            <w:tcW w:type="dxa" w:w="5616"/>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SIM, OBRIGATÓRIA. PA não invasiva intermitente é insuficiente para titulação minuto-a-minuto.</w:t>
            </w:r>
          </w:p>
        </w:tc>
      </w:tr>
      <w:tr>
        <w:tc>
          <w:tcPr>
            <w:tcW w:type="dxa" w:w="3744"/>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SvO₂ alta em uso de Nipride é boa?</w:t>
            </w:r>
          </w:p>
        </w:tc>
        <w:tc>
          <w:tcPr>
            <w:tcW w:type="dxa" w:w="5616"/>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CUIDADO! Pode indicar TOXICIDADE POR CIANETO (tecidos não conseguem extrair O₂).</w:t>
            </w:r>
          </w:p>
        </w:tc>
      </w:tr>
      <w:tr>
        <w:tc>
          <w:tcPr>
            <w:tcW w:type="dxa" w:w="3744"/>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bCs/>
                <w:color w:val="000000"/>
                <w:sz w:val="20"/>
                <w:szCs w:val="20"/>
              </w:rPr>
              <w:t xml:space="preserve">Tridil em equipo comum funciona?</w:t>
            </w:r>
          </w:p>
        </w:tc>
        <w:tc>
          <w:tcPr>
            <w:tcW w:type="dxa" w:w="5616"/>
            <w:tcBorders>
              <w:top w:val="single" w:color="8C8C8C" w:sz="6"/>
              <w:left w:val="single" w:color="8C8C8C" w:sz="6"/>
              <w:bottom w:val="single" w:color="8C8C8C" w:sz="6"/>
              <w:right w:val="single" w:color="8C8C8C" w:sz="6"/>
            </w:tcBorders>
            <w:shd w:fill="DEEBF7" w:val="clear"/>
            <w:tcMar>
              <w:top w:type="dxa" w:w="100"/>
              <w:left w:type="dxa" w:w="140"/>
              <w:bottom w:type="dxa" w:w="100"/>
              <w:right w:type="dxa" w:w="140"/>
            </w:tcMar>
            <w:vAlign w:val="center"/>
          </w:tcPr>
          <w:p>
            <w:pPr>
              <w:spacing w:after="0"/>
              <w:jc w:val="left"/>
            </w:pPr>
            <w:r>
              <w:rPr>
                <w:b w:val="false"/>
                <w:bCs w:val="false"/>
                <w:color w:val="000000"/>
                <w:sz w:val="20"/>
                <w:szCs w:val="20"/>
              </w:rPr>
              <w:t xml:space="preserve">PVC convencional ABSORVE até 80% — preferir POLIETILENO/VIDRO. Erro comum: paciente parece resistente, mas droga está sendo absorvida pelo equipo.</w:t>
            </w:r>
          </w:p>
        </w:tc>
      </w:tr>
      <w:tr>
        <w:tc>
          <w:tcPr>
            <w:tcW w:type="dxa" w:w="3744"/>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bCs/>
                <w:color w:val="000000"/>
                <w:sz w:val="20"/>
                <w:szCs w:val="20"/>
              </w:rPr>
              <w:t xml:space="preserve">Posso suspender Nipride abruptamente?</w:t>
            </w:r>
          </w:p>
        </w:tc>
        <w:tc>
          <w:tcPr>
            <w:tcW w:type="dxa" w:w="5616"/>
            <w:tcBorders>
              <w:top w:val="single" w:color="8C8C8C" w:sz="6"/>
              <w:left w:val="single" w:color="8C8C8C" w:sz="6"/>
              <w:bottom w:val="single" w:color="8C8C8C" w:sz="6"/>
              <w:right w:val="single" w:color="8C8C8C" w:sz="6"/>
            </w:tcBorders>
            <w:tcMar>
              <w:top w:type="dxa" w:w="100"/>
              <w:left w:type="dxa" w:w="140"/>
              <w:bottom w:type="dxa" w:w="100"/>
              <w:right w:type="dxa" w:w="140"/>
            </w:tcMar>
            <w:vAlign w:val="center"/>
          </w:tcPr>
          <w:p>
            <w:pPr>
              <w:spacing w:after="0"/>
              <w:jc w:val="left"/>
            </w:pPr>
            <w:r>
              <w:rPr>
                <w:b w:val="false"/>
                <w:bCs w:val="false"/>
                <w:color w:val="000000"/>
                <w:sz w:val="20"/>
                <w:szCs w:val="20"/>
              </w:rPr>
              <w:t xml:space="preserve">Pode (T½ 1-2 min), MAS risco de REBOTE hipertensivo. Iniciar VO antes do desmame.</w:t>
            </w:r>
          </w:p>
        </w:tc>
      </w:tr>
    </w:tbl>
    <w:p>
      <w:pPr>
        <w:spacing w:after="120"/>
      </w:pPr>
      <w:r>
        <w:t xml:space="preserve"/>
      </w:r>
    </w:p>
    <w:p>
      <w:r>
        <w:br w:type="page"/>
      </w:r>
    </w:p>
    <w:p>
      <w:pPr>
        <w:pStyle w:val="Heading1"/>
        <w:spacing w:after="200" w:before="360"/>
      </w:pPr>
      <w:r>
        <w:rPr>
          <w:b/>
          <w:bCs/>
          <w:color w:val="1F4E79"/>
          <w:sz w:val="32"/>
          <w:szCs w:val="32"/>
        </w:rPr>
        <w:t xml:space="preserve">13. ✅ Checklist Beira-Leito</w:t>
      </w:r>
    </w:p>
    <w:p>
      <w:pPr>
        <w:pStyle w:val="Heading2"/>
        <w:spacing w:after="160" w:before="280"/>
      </w:pPr>
      <w:r>
        <w:rPr>
          <w:b/>
          <w:bCs/>
          <w:color w:val="1F4E79"/>
          <w:sz w:val="28"/>
          <w:szCs w:val="28"/>
        </w:rPr>
        <w:t xml:space="preserve">ANTES DE INICIAR (TRIDIL ou NIPRIDE)</w:t>
      </w:r>
    </w:p>
    <w:p>
      <w:pPr>
        <w:pStyle w:val="ListParagraph"/>
        <w:numPr>
          <w:ilvl w:val="0"/>
          <w:numId w:val="2"/>
        </w:numPr>
        <w:spacing w:after="80" w:line="280"/>
      </w:pPr>
      <w:r>
        <w:t xml:space="preserve">[ ] Indicação clara identificada e justificada</w:t>
      </w:r>
    </w:p>
    <w:p>
      <w:pPr>
        <w:pStyle w:val="ListParagraph"/>
        <w:numPr>
          <w:ilvl w:val="0"/>
          <w:numId w:val="2"/>
        </w:numPr>
        <w:spacing w:after="80" w:line="280"/>
      </w:pPr>
      <w:r>
        <w:t xml:space="preserve">[ ] Contraindicações verificadas (PDE-5, IAM VD, dissecção sem β-bloq, etc.)</w:t>
      </w:r>
    </w:p>
    <w:p>
      <w:pPr>
        <w:pStyle w:val="ListParagraph"/>
        <w:numPr>
          <w:ilvl w:val="0"/>
          <w:numId w:val="2"/>
        </w:numPr>
        <w:spacing w:after="80" w:line="280"/>
      </w:pPr>
      <w:r>
        <w:t xml:space="preserve">[ ] PA atual aferida; alvo terapêutico definido</w:t>
      </w:r>
    </w:p>
    <w:p>
      <w:pPr>
        <w:pStyle w:val="ListParagraph"/>
        <w:numPr>
          <w:ilvl w:val="0"/>
          <w:numId w:val="2"/>
        </w:numPr>
        <w:spacing w:after="80" w:line="280"/>
      </w:pPr>
      <w:r>
        <w:t xml:space="preserve">[ ] Acesso venoso adequado (CVC se prolongado/altas doses)</w:t>
      </w:r>
    </w:p>
    <w:p>
      <w:pPr>
        <w:pStyle w:val="ListParagraph"/>
        <w:numPr>
          <w:ilvl w:val="0"/>
          <w:numId w:val="2"/>
        </w:numPr>
        <w:spacing w:after="80" w:line="280"/>
      </w:pPr>
      <w:r>
        <w:t xml:space="preserve">[ ] Monitorização contínua: ECG, SpO₂, PAM</w:t>
      </w:r>
    </w:p>
    <w:p>
      <w:pPr>
        <w:pStyle w:val="ListParagraph"/>
        <w:numPr>
          <w:ilvl w:val="0"/>
          <w:numId w:val="2"/>
        </w:numPr>
        <w:spacing w:after="80" w:line="280"/>
      </w:pPr>
      <w:r>
        <w:t xml:space="preserve">[ ] PA invasiva instalada (OBRIGATÓRIA para Nipride)</w:t>
      </w:r>
    </w:p>
    <w:p>
      <w:pPr>
        <w:pStyle w:val="ListParagraph"/>
        <w:numPr>
          <w:ilvl w:val="0"/>
          <w:numId w:val="2"/>
        </w:numPr>
        <w:spacing w:after="80" w:line="280"/>
      </w:pPr>
      <w:r>
        <w:t xml:space="preserve">[ ] Sonda vesical para controle de diurese</w:t>
      </w:r>
    </w:p>
    <w:p>
      <w:pPr>
        <w:pStyle w:val="ListParagraph"/>
        <w:numPr>
          <w:ilvl w:val="0"/>
          <w:numId w:val="2"/>
        </w:numPr>
        <w:spacing w:after="80" w:line="280"/>
      </w:pPr>
      <w:r>
        <w:t xml:space="preserve">[ ] Equipo correto (POLIETILENO para Tridil)</w:t>
      </w:r>
    </w:p>
    <w:p>
      <w:pPr>
        <w:pStyle w:val="ListParagraph"/>
        <w:numPr>
          <w:ilvl w:val="0"/>
          <w:numId w:val="2"/>
        </w:numPr>
        <w:spacing w:after="80" w:line="280"/>
      </w:pPr>
      <w:r>
        <w:t xml:space="preserve">[ ] Bolsa do Nipride PROTEGIDA da luz</w:t>
      </w:r>
    </w:p>
    <w:p>
      <w:pPr>
        <w:pStyle w:val="Heading2"/>
        <w:spacing w:after="160" w:before="280"/>
      </w:pPr>
      <w:r>
        <w:rPr>
          <w:b/>
          <w:bCs/>
          <w:color w:val="1F4E79"/>
          <w:sz w:val="28"/>
          <w:szCs w:val="28"/>
        </w:rPr>
        <w:t xml:space="preserve">AO INICIAR INFUSÃO</w:t>
      </w:r>
    </w:p>
    <w:p>
      <w:pPr>
        <w:pStyle w:val="ListParagraph"/>
        <w:numPr>
          <w:ilvl w:val="0"/>
          <w:numId w:val="2"/>
        </w:numPr>
        <w:spacing w:after="80" w:line="280"/>
      </w:pPr>
      <w:r>
        <w:t xml:space="preserve">[ ] Dose calculada conforme peso (Nipride) ou dose absoluta (Tridil)</w:t>
      </w:r>
    </w:p>
    <w:p>
      <w:pPr>
        <w:pStyle w:val="ListParagraph"/>
        <w:numPr>
          <w:ilvl w:val="0"/>
          <w:numId w:val="2"/>
        </w:numPr>
        <w:spacing w:after="80" w:line="280"/>
      </w:pPr>
      <w:r>
        <w:t xml:space="preserve">[ ] Velocidade da bomba conferida 2x</w:t>
      </w:r>
    </w:p>
    <w:p>
      <w:pPr>
        <w:pStyle w:val="ListParagraph"/>
        <w:numPr>
          <w:ilvl w:val="0"/>
          <w:numId w:val="2"/>
        </w:numPr>
        <w:spacing w:after="80" w:line="280"/>
      </w:pPr>
      <w:r>
        <w:t xml:space="preserve">[ ] Alarmes de PA configurados (mínimo e máximo)</w:t>
      </w:r>
    </w:p>
    <w:p>
      <w:pPr>
        <w:pStyle w:val="ListParagraph"/>
        <w:numPr>
          <w:ilvl w:val="0"/>
          <w:numId w:val="2"/>
        </w:numPr>
        <w:spacing w:after="80" w:line="280"/>
      </w:pPr>
      <w:r>
        <w:t xml:space="preserve">[ ] Equipamento e medicação para suporte (Trendelenburg, fluidos, vasopressor) PRONTOS</w:t>
      </w:r>
    </w:p>
    <w:p>
      <w:pPr>
        <w:pStyle w:val="Heading2"/>
        <w:spacing w:after="160" w:before="280"/>
      </w:pPr>
      <w:r>
        <w:rPr>
          <w:b/>
          <w:bCs/>
          <w:color w:val="1F4E79"/>
          <w:sz w:val="28"/>
          <w:szCs w:val="28"/>
        </w:rPr>
        <w:t xml:space="preserve">DURANTE A INFUSÃO</w:t>
      </w:r>
    </w:p>
    <w:p>
      <w:pPr>
        <w:pStyle w:val="ListParagraph"/>
        <w:numPr>
          <w:ilvl w:val="0"/>
          <w:numId w:val="2"/>
        </w:numPr>
        <w:spacing w:after="80" w:line="280"/>
      </w:pPr>
      <w:r>
        <w:t xml:space="preserve">[ ] Reavaliação a cada 5-15 min nas primeiras horas</w:t>
      </w:r>
    </w:p>
    <w:p>
      <w:pPr>
        <w:pStyle w:val="ListParagraph"/>
        <w:numPr>
          <w:ilvl w:val="0"/>
          <w:numId w:val="2"/>
        </w:numPr>
        <w:spacing w:after="80" w:line="280"/>
      </w:pPr>
      <w:r>
        <w:t xml:space="preserve">[ ] PA dentro do alvo? Sem hipotensão excessiva?</w:t>
      </w:r>
    </w:p>
    <w:p>
      <w:pPr>
        <w:pStyle w:val="ListParagraph"/>
        <w:numPr>
          <w:ilvl w:val="0"/>
          <w:numId w:val="2"/>
        </w:numPr>
        <w:spacing w:after="80" w:line="280"/>
      </w:pPr>
      <w:r>
        <w:t xml:space="preserve">[ ] Sintomas: cefaleia, dor torácica nova, dispneia?</w:t>
      </w:r>
    </w:p>
    <w:p>
      <w:pPr>
        <w:pStyle w:val="ListParagraph"/>
        <w:numPr>
          <w:ilvl w:val="0"/>
          <w:numId w:val="2"/>
        </w:numPr>
        <w:spacing w:after="80" w:line="280"/>
      </w:pPr>
      <w:r>
        <w:t xml:space="preserve">[ ] Diurese mantida?</w:t>
      </w:r>
    </w:p>
    <w:p>
      <w:pPr>
        <w:pStyle w:val="ListParagraph"/>
        <w:numPr>
          <w:ilvl w:val="0"/>
          <w:numId w:val="2"/>
        </w:numPr>
        <w:spacing w:after="80" w:line="280"/>
      </w:pPr>
      <w:r>
        <w:t xml:space="preserve">[ ] (Nipride) Gasometria + lactato a cada 6-12h</w:t>
      </w:r>
    </w:p>
    <w:p>
      <w:pPr>
        <w:pStyle w:val="ListParagraph"/>
        <w:numPr>
          <w:ilvl w:val="0"/>
          <w:numId w:val="2"/>
        </w:numPr>
        <w:spacing w:after="80" w:line="280"/>
      </w:pPr>
      <w:r>
        <w:t xml:space="preserve">[ ] (Nipride) Sinais de toxicidade por cianeto (acidose, SvO₂ alta, lactato em ascensão)?</w:t>
      </w:r>
    </w:p>
    <w:p>
      <w:pPr>
        <w:pStyle w:val="ListParagraph"/>
        <w:numPr>
          <w:ilvl w:val="0"/>
          <w:numId w:val="2"/>
        </w:numPr>
        <w:spacing w:after="80" w:line="280"/>
      </w:pPr>
      <w:r>
        <w:t xml:space="preserve">[ ] (Nipride &gt; 48h ou IRC) Tiocianato sérico</w:t>
      </w:r>
    </w:p>
    <w:p>
      <w:pPr>
        <w:pStyle w:val="ListParagraph"/>
        <w:numPr>
          <w:ilvl w:val="0"/>
          <w:numId w:val="2"/>
        </w:numPr>
        <w:spacing w:after="80" w:line="280"/>
      </w:pPr>
      <w:r>
        <w:t xml:space="preserve">[ ] Trocar bolsa Nipride a cada 24h</w:t>
      </w:r>
    </w:p>
    <w:p>
      <w:pPr>
        <w:pStyle w:val="Heading2"/>
        <w:spacing w:after="160" w:before="280"/>
      </w:pPr>
      <w:r>
        <w:rPr>
          <w:b/>
          <w:bCs/>
          <w:color w:val="1F4E79"/>
          <w:sz w:val="28"/>
          <w:szCs w:val="28"/>
        </w:rPr>
        <w:t xml:space="preserve">DESMAME</w:t>
      </w:r>
    </w:p>
    <w:p>
      <w:pPr>
        <w:pStyle w:val="ListParagraph"/>
        <w:numPr>
          <w:ilvl w:val="0"/>
          <w:numId w:val="2"/>
        </w:numPr>
        <w:spacing w:after="80" w:line="280"/>
      </w:pPr>
      <w:r>
        <w:t xml:space="preserve">[ ] Causa de base controlada?</w:t>
      </w:r>
    </w:p>
    <w:p>
      <w:pPr>
        <w:pStyle w:val="ListParagraph"/>
        <w:numPr>
          <w:ilvl w:val="0"/>
          <w:numId w:val="2"/>
        </w:numPr>
        <w:spacing w:after="80" w:line="280"/>
      </w:pPr>
      <w:r>
        <w:t xml:space="preserve">[ ] Anti-hipertensivo VO iniciado e em ação?</w:t>
      </w:r>
    </w:p>
    <w:p>
      <w:pPr>
        <w:pStyle w:val="ListParagraph"/>
        <w:numPr>
          <w:ilvl w:val="0"/>
          <w:numId w:val="2"/>
        </w:numPr>
        <w:spacing w:after="80" w:line="280"/>
      </w:pPr>
      <w:r>
        <w:t xml:space="preserve">[ ] Reduzir dose gradualmente</w:t>
      </w:r>
    </w:p>
    <w:p>
      <w:pPr>
        <w:pStyle w:val="ListParagraph"/>
        <w:numPr>
          <w:ilvl w:val="0"/>
          <w:numId w:val="2"/>
        </w:numPr>
        <w:spacing w:after="80" w:line="280"/>
      </w:pPr>
      <w:r>
        <w:t xml:space="preserve">[ ] Monitorizar 4-6h após suspensão para detectar rebote</w:t>
      </w:r>
    </w:p>
    <w:p>
      <w:pPr>
        <w:spacing w:after="120"/>
      </w:pPr>
      <w:r>
        <w:t xml:space="preserve"/>
      </w:r>
    </w:p>
    <w:p>
      <w:r>
        <w:br w:type="page"/>
      </w:r>
    </w:p>
    <w:p>
      <w:pPr>
        <w:pStyle w:val="Heading1"/>
        <w:spacing w:after="200" w:before="360"/>
      </w:pPr>
      <w:r>
        <w:rPr>
          <w:b/>
          <w:bCs/>
          <w:color w:val="1F4E79"/>
          <w:sz w:val="32"/>
          <w:szCs w:val="32"/>
        </w:rPr>
        <w:t xml:space="preserve">14. 📚 Referências e Aprofundamento</w:t>
      </w:r>
    </w:p>
    <w:p>
      <w:pPr>
        <w:pStyle w:val="Heading2"/>
        <w:spacing w:after="160" w:before="280"/>
      </w:pPr>
      <w:r>
        <w:rPr>
          <w:b/>
          <w:bCs/>
          <w:color w:val="1F4E79"/>
          <w:sz w:val="28"/>
          <w:szCs w:val="28"/>
        </w:rPr>
        <w:t xml:space="preserve">Diretrizes e Revisões Recentes</w:t>
      </w:r>
    </w:p>
    <w:p>
      <w:pPr>
        <w:pStyle w:val="ListParagraph"/>
        <w:numPr>
          <w:ilvl w:val="0"/>
          <w:numId w:val="3"/>
        </w:numPr>
        <w:spacing w:after="80" w:line="280"/>
      </w:pPr>
      <w:r>
        <w:t xml:space="preserve">Whelton PK et al. 2017 ACC/AHA Guideline for High Blood Pressure in Adults. J Am Coll Cardiol. 2018 (com atualizações posteriores).</w:t>
      </w:r>
    </w:p>
    <w:p>
      <w:pPr>
        <w:pStyle w:val="ListParagraph"/>
        <w:numPr>
          <w:ilvl w:val="0"/>
          <w:numId w:val="3"/>
        </w:numPr>
        <w:spacing w:after="80" w:line="280"/>
      </w:pPr>
      <w:r>
        <w:t xml:space="preserve">Heidenreich PA et al. 2022 AHA/ACC/HFSA Guideline for the Management of Heart Failure. J Am Coll Cardiol. 2022;79(17):e263-e421.</w:t>
      </w:r>
    </w:p>
    <w:p>
      <w:pPr>
        <w:pStyle w:val="ListParagraph"/>
        <w:numPr>
          <w:ilvl w:val="0"/>
          <w:numId w:val="3"/>
        </w:numPr>
        <w:spacing w:after="80" w:line="280"/>
      </w:pPr>
      <w:r>
        <w:t xml:space="preserve">McDonagh TA et al. 2023 ESC Focused Update of the 2021 Guidelines for the diagnosis and treatment of acute and chronic heart failure. Eur Heart J. 2023.</w:t>
      </w:r>
    </w:p>
    <w:p>
      <w:pPr>
        <w:pStyle w:val="ListParagraph"/>
        <w:numPr>
          <w:ilvl w:val="0"/>
          <w:numId w:val="3"/>
        </w:numPr>
        <w:spacing w:after="80" w:line="280"/>
      </w:pPr>
      <w:r>
        <w:t xml:space="preserve">Brunetti R et al. Sodium Nitroprusside: The Forgotten Vasodilator? A Brief Guide for Informed and Safe Use. Future Pharmacology. 2024.</w:t>
      </w:r>
    </w:p>
    <w:p>
      <w:pPr>
        <w:pStyle w:val="ListParagraph"/>
        <w:numPr>
          <w:ilvl w:val="0"/>
          <w:numId w:val="3"/>
        </w:numPr>
        <w:spacing w:after="80" w:line="280"/>
      </w:pPr>
      <w:r>
        <w:t xml:space="preserve">Henry K, Pelsue B, Hartman H. Low versus high dosing strategies of intravenous nitroglycerin for sympathetic crashing acute pulmonary edema. Am J Emerg Med. 2025.</w:t>
      </w:r>
    </w:p>
    <w:p>
      <w:pPr>
        <w:pStyle w:val="ListParagraph"/>
        <w:numPr>
          <w:ilvl w:val="0"/>
          <w:numId w:val="3"/>
        </w:numPr>
        <w:spacing w:after="80" w:line="280"/>
      </w:pPr>
      <w:r>
        <w:t xml:space="preserve">Houston BA, Stevens GR. Hypertensive emergencies: pathophysiology and management. Adv Chronic Kidney Dis. 2017;24(3):137-146.</w:t>
      </w:r>
    </w:p>
    <w:p>
      <w:pPr>
        <w:pStyle w:val="Heading2"/>
        <w:spacing w:after="160" w:before="280"/>
      </w:pPr>
      <w:r>
        <w:rPr>
          <w:b/>
          <w:bCs/>
          <w:color w:val="1F4E79"/>
          <w:sz w:val="28"/>
          <w:szCs w:val="28"/>
        </w:rPr>
        <w:t xml:space="preserve">Toxicidade e Segurança</w:t>
      </w:r>
    </w:p>
    <w:p>
      <w:pPr>
        <w:pStyle w:val="ListParagraph"/>
        <w:numPr>
          <w:ilvl w:val="0"/>
          <w:numId w:val="3"/>
        </w:numPr>
        <w:spacing w:after="80" w:line="280"/>
      </w:pPr>
      <w:r>
        <w:t xml:space="preserve">Hottinger DG, Beebe DS, Kozhimannil T et al. Sodium nitroprusside in 2014: a clinical concepts review. J Anaesthesiol Clin Pharmacol. 2014;30(4):462-471.</w:t>
      </w:r>
    </w:p>
    <w:p>
      <w:pPr>
        <w:pStyle w:val="ListParagraph"/>
        <w:numPr>
          <w:ilvl w:val="0"/>
          <w:numId w:val="3"/>
        </w:numPr>
        <w:spacing w:after="80" w:line="280"/>
      </w:pPr>
      <w:r>
        <w:t xml:space="preserve">Schulz V. Clinical pharmacokinetics of nitroprusside, cyanide, thiosulphate and thiocyanate. Clin Pharmacokinet. 1984;9(3):239-251. (CLÁSSICO)</w:t>
      </w:r>
    </w:p>
    <w:p>
      <w:pPr>
        <w:pStyle w:val="ListParagraph"/>
        <w:numPr>
          <w:ilvl w:val="0"/>
          <w:numId w:val="3"/>
        </w:numPr>
        <w:spacing w:after="80" w:line="280"/>
      </w:pPr>
      <w:r>
        <w:t xml:space="preserve">Lockwood A, Patka J, Rabinovich M et al. Sodium thiosulfate-based regimens for treatment of hyperammonemic encephalopathy. Crit Care. 2010.</w:t>
      </w:r>
    </w:p>
    <w:p>
      <w:pPr>
        <w:pStyle w:val="ListParagraph"/>
        <w:numPr>
          <w:ilvl w:val="0"/>
          <w:numId w:val="3"/>
        </w:numPr>
        <w:spacing w:after="80" w:line="280"/>
      </w:pPr>
      <w:r>
        <w:t xml:space="preserve">Sasso JR et al. Delayed presentation of nitroprusside-induced cyanide toxicity. Ann Thorac Surg. 2015;99(2):717-719.</w:t>
      </w:r>
    </w:p>
    <w:p>
      <w:pPr>
        <w:pStyle w:val="Heading2"/>
        <w:spacing w:after="160" w:before="280"/>
      </w:pPr>
      <w:r>
        <w:rPr>
          <w:b/>
          <w:bCs/>
          <w:color w:val="1F4E79"/>
          <w:sz w:val="28"/>
          <w:szCs w:val="28"/>
        </w:rPr>
        <w:t xml:space="preserve">Brasileiras</w:t>
      </w:r>
    </w:p>
    <w:p>
      <w:pPr>
        <w:pStyle w:val="ListParagraph"/>
        <w:numPr>
          <w:ilvl w:val="0"/>
          <w:numId w:val="3"/>
        </w:numPr>
        <w:spacing w:after="80" w:line="280"/>
      </w:pPr>
      <w:r>
        <w:t xml:space="preserve">AMIB. Diretrizes Brasileiras de Choque e Vasoativos 2023.</w:t>
      </w:r>
    </w:p>
    <w:p>
      <w:pPr>
        <w:pStyle w:val="ListParagraph"/>
        <w:numPr>
          <w:ilvl w:val="0"/>
          <w:numId w:val="3"/>
        </w:numPr>
        <w:spacing w:after="80" w:line="280"/>
      </w:pPr>
      <w:r>
        <w:t xml:space="preserve">SBC. Diretriz Brasileira de Insuficiência Cardíaca Aguda 2024.</w:t>
      </w:r>
    </w:p>
    <w:p>
      <w:pPr>
        <w:pStyle w:val="ListParagraph"/>
        <w:numPr>
          <w:ilvl w:val="0"/>
          <w:numId w:val="3"/>
        </w:numPr>
        <w:spacing w:after="80" w:line="280"/>
      </w:pPr>
      <w:r>
        <w:t xml:space="preserve">SBC. 8ª Diretriz Brasileira de Hipertensão Arterial 2024.</w:t>
      </w:r>
    </w:p>
    <w:p>
      <w:pPr>
        <w:pStyle w:val="Heading2"/>
        <w:spacing w:after="160" w:before="280"/>
      </w:pPr>
      <w:r>
        <w:rPr>
          <w:b/>
          <w:bCs/>
          <w:color w:val="1F4E79"/>
          <w:sz w:val="28"/>
          <w:szCs w:val="28"/>
        </w:rPr>
        <w:t xml:space="preserve">Sugestões de Aprofundamento</w:t>
      </w:r>
    </w:p>
    <w:p>
      <w:pPr>
        <w:pStyle w:val="ListParagraph"/>
        <w:numPr>
          <w:ilvl w:val="0"/>
          <w:numId w:val="2"/>
        </w:numPr>
        <w:spacing w:after="80" w:line="280"/>
      </w:pPr>
      <w:r>
        <w:t xml:space="preserve">Estudar farmacologia dos vasodilatadores comparada (clevidipina, nicardipina, fenoldopam, esmolol).</w:t>
      </w:r>
    </w:p>
    <w:p>
      <w:pPr>
        <w:pStyle w:val="ListParagraph"/>
        <w:numPr>
          <w:ilvl w:val="0"/>
          <w:numId w:val="2"/>
        </w:numPr>
        <w:spacing w:after="80" w:line="280"/>
      </w:pPr>
      <w:r>
        <w:t xml:space="preserve">Hipertensão na gestação: pré-eclâmpsia/eclâmpsia (hidralazina, labetalol, sulfato de Mg).</w:t>
      </w:r>
    </w:p>
    <w:p>
      <w:pPr>
        <w:pStyle w:val="ListParagraph"/>
        <w:numPr>
          <w:ilvl w:val="0"/>
          <w:numId w:val="2"/>
        </w:numPr>
        <w:spacing w:after="80" w:line="280"/>
      </w:pPr>
      <w:r>
        <w:t xml:space="preserve">Choque cardiogênico: papel dos inodilatadores (milrinona, levosimendana) — comparativo com vasodilatadores.</w:t>
      </w:r>
    </w:p>
    <w:p>
      <w:pPr>
        <w:pStyle w:val="ListParagraph"/>
        <w:numPr>
          <w:ilvl w:val="0"/>
          <w:numId w:val="2"/>
        </w:numPr>
        <w:spacing w:after="80" w:line="280"/>
      </w:pPr>
      <w:r>
        <w:t xml:space="preserve">EAP - estratégia LMNOP atualizada e papel da VNI precoce.</w:t>
      </w:r>
    </w:p>
    <w:p>
      <w:pPr>
        <w:pStyle w:val="ListParagraph"/>
        <w:numPr>
          <w:ilvl w:val="0"/>
          <w:numId w:val="2"/>
        </w:numPr>
        <w:spacing w:after="80" w:line="280"/>
      </w:pPr>
      <w:r>
        <w:t xml:space="preserve">ECMO V-A em choque cardiogênico: papel dos vasodilatadores associados.</w:t>
      </w:r>
    </w:p>
    <w:p>
      <w:pPr>
        <w:spacing w:after="120"/>
      </w:pPr>
      <w:r>
        <w:t xml:space="preserve"/>
      </w:r>
    </w:p>
    <w:p>
      <w:pPr>
        <w:spacing w:after="120"/>
      </w:pPr>
      <w:r>
        <w:t xml:space="preserve"/>
      </w:r>
    </w:p>
    <w:p>
      <w:pPr>
        <w:spacing w:before="400"/>
        <w:jc w:val="center"/>
      </w:pPr>
      <w:r>
        <w:rPr>
          <w:b/>
          <w:bCs/>
          <w:color w:val="1F4E79"/>
          <w:sz w:val="24"/>
          <w:szCs w:val="24"/>
        </w:rPr>
        <w:t xml:space="preserve">— FIM DO DOCUMENTO —</w:t>
      </w:r>
    </w:p>
    <w:p>
      <w:pPr>
        <w:spacing w:before="200"/>
        <w:jc w:val="center"/>
      </w:pPr>
      <w:r>
        <w:rPr>
          <w:i/>
          <w:iCs/>
          <w:color w:val="666666"/>
          <w:sz w:val="18"/>
          <w:szCs w:val="18"/>
        </w:rPr>
        <w:t xml:space="preserve">Material elaborado para uso clínico-educacional do Dr. Aldenir Rocha (CRM-CE 16.587).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Dr. Aldenir Rocha – CRM-CE 16.587 | Página </w:t>
    </w:r>
    <w:r>
      <w:rPr>
        <w:color w:val="777777"/>
        <w:sz w:val="18"/>
        <w:szCs w:val="18"/>
      </w:rPr>
      <w:fldChar w:fldCharType="begin"/>
      <w:instrText xml:space="preserve">PAGE</w:instrText>
      <w:fldChar w:fldCharType="separate"/>
      <w:fldChar w:fldCharType="end"/>
    </w:r>
    <w:r>
      <w:rPr>
        <w:color w:val="777777"/>
        <w:sz w:val="18"/>
        <w:szCs w:val="18"/>
      </w:rPr>
      <w:t xml:space="preserve"> de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TRIDIL &amp; NIPRIDE na UTI — Abordagem Completa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BF8F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TRIDIL e NIPRIDE na UTI — Abordagem Completa</dc:title>
  <dc:creator>Dr. Aldenir Rocha</dc:creator>
  <dc:description>Vasodilatadores intravenosos: indicações, diluições, titulação, toxicidade</dc:description>
  <cp:lastModifiedBy>Un-named</cp:lastModifiedBy>
  <cp:revision>1</cp:revision>
  <dcterms:created xsi:type="dcterms:W3CDTF">2026-05-06T23:17:24.240Z</dcterms:created>
  <dcterms:modified xsi:type="dcterms:W3CDTF">2026-05-06T23:17:24.254Z</dcterms:modified>
</cp:coreProperties>
</file>

<file path=docProps/custom.xml><?xml version="1.0" encoding="utf-8"?>
<Properties xmlns="http://schemas.openxmlformats.org/officeDocument/2006/custom-properties" xmlns:vt="http://schemas.openxmlformats.org/officeDocument/2006/docPropsVTypes"/>
</file>