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Investigação</w:t>
      </w:r>
      <w:r>
        <w:t xml:space="preserve"> </w:t>
      </w:r>
      <w:r>
        <w:t xml:space="preserve">Diagnóstica</w:t>
      </w:r>
    </w:p>
    <w:p>
      <w:pPr>
        <w:pStyle w:val="Subtitle"/>
      </w:pPr>
      <w:r>
        <w:t xml:space="preserve">Dor</w:t>
      </w:r>
      <w:r>
        <w:t xml:space="preserve"> </w:t>
      </w:r>
      <w:r>
        <w:t xml:space="preserve">abdominal</w:t>
      </w:r>
      <w:r>
        <w:t xml:space="preserve"> </w:t>
      </w:r>
      <w:r>
        <w:t xml:space="preserve">crônica</w:t>
      </w:r>
      <w:r>
        <w:t xml:space="preserve"> </w:t>
      </w:r>
      <w:r>
        <w:t xml:space="preserve">em</w:t>
      </w:r>
      <w:r>
        <w:t xml:space="preserve"> </w:t>
      </w:r>
      <w:r>
        <w:t xml:space="preserve">paciente</w:t>
      </w:r>
      <w:r>
        <w:t xml:space="preserve"> </w:t>
      </w:r>
      <w:r>
        <w:t xml:space="preserve">adulta</w:t>
      </w:r>
      <w:r>
        <w:t xml:space="preserve"> </w:t>
      </w:r>
      <w:r>
        <w:t xml:space="preserve">jovem</w:t>
      </w:r>
    </w:p>
    <w:p>
      <w:pPr>
        <w:pStyle w:val="Author"/>
      </w:pP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orientação</w:t>
      </w:r>
      <w:r>
        <w:t xml:space="preserve"> </w:t>
      </w:r>
      <w:r>
        <w:t xml:space="preserve">para</w:t>
      </w:r>
      <w:r>
        <w:t xml:space="preserve"> </w:t>
      </w:r>
      <w:r>
        <w:t xml:space="preserve">paciente</w:t>
      </w:r>
      <w:r>
        <w:t xml:space="preserve"> </w:t>
      </w:r>
      <w:r>
        <w:t xml:space="preserve">e</w:t>
      </w:r>
      <w:r>
        <w:t xml:space="preserve"> </w:t>
      </w:r>
      <w:r>
        <w:t xml:space="preserve">organização</w:t>
      </w:r>
      <w:r>
        <w:t xml:space="preserve"> </w:t>
      </w:r>
      <w:r>
        <w:t xml:space="preserve">do</w:t>
      </w:r>
      <w:r>
        <w:t xml:space="preserve"> </w:t>
      </w:r>
      <w:r>
        <w:t xml:space="preserve">raciocínio</w:t>
      </w:r>
      <w:r>
        <w:t xml:space="preserve"> </w:t>
      </w:r>
      <w:r>
        <w:t xml:space="preserve">médico</w:t>
      </w:r>
    </w:p>
    <w:bookmarkStart w:id="21" w:name="plano-de-investigação-diagnóstica"/>
    <w:p>
      <w:pPr>
        <w:pStyle w:val="Heading1"/>
      </w:pPr>
      <w:r>
        <w:t xml:space="preserve">Plano de investigação diagnóstica</w:t>
      </w:r>
    </w:p>
    <w:p>
      <w:pPr>
        <w:pStyle w:val="FirstParagraph"/>
      </w:pPr>
      <w:r>
        <w:rPr>
          <w:b/>
          <w:bCs/>
        </w:rPr>
        <w:t xml:space="preserve">Dor abdominal crônica em paciente adulta jovem</w:t>
      </w:r>
    </w:p>
    <w:p>
      <w:pPr>
        <w:pStyle w:val="BodyText"/>
      </w:pPr>
      <w:r>
        <w:rPr>
          <w:b/>
          <w:bCs/>
        </w:rPr>
        <w:t xml:space="preserve">Objetivo do documento:</w:t>
      </w:r>
      <w:r>
        <w:t xml:space="preserve"> </w:t>
      </w:r>
      <w:r>
        <w:t xml:space="preserve">organizar, de forma clara e progressiva, uma investigação de dor abdominal crônica em paciente jovem, evitando repetição desnecessária de exames e ajudando a paciente a reconhecer padrões de sintomas que podem direcionar o exame correto.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este documento</w:t>
      </w:r>
      <w:r>
        <w:t xml:space="preserve"> </w:t>
      </w:r>
      <w:r>
        <w:rPr>
          <w:b/>
          <w:bCs/>
        </w:rPr>
        <w:t xml:space="preserve">não fecha diagnóstico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substitui consulta médica</w:t>
      </w:r>
      <w:r>
        <w:t xml:space="preserve">. Ele serve como guia de planejamento para ser discutido com o médico assistente.</w:t>
      </w:r>
    </w:p>
    <w:bookmarkStart w:id="20" w:name="resumo-do-cenário-informado"/>
    <w:p>
      <w:pPr>
        <w:pStyle w:val="Heading2"/>
      </w:pPr>
      <w:r>
        <w:t xml:space="preserve">1. Resumo do cenário informado</w:t>
      </w:r>
    </w:p>
    <w:p>
      <w:pPr>
        <w:pStyle w:val="FirstParagraph"/>
      </w:pPr>
      <w:r>
        <w:t xml:space="preserve">Paciente de</w:t>
      </w:r>
      <w:r>
        <w:t xml:space="preserve"> </w:t>
      </w:r>
      <w:r>
        <w:rPr>
          <w:b/>
          <w:bCs/>
        </w:rPr>
        <w:t xml:space="preserve">30 anos</w:t>
      </w:r>
      <w:r>
        <w:t xml:space="preserve">, sem comorbidades conhecidas, com</w:t>
      </w:r>
      <w:r>
        <w:t xml:space="preserve"> </w:t>
      </w:r>
      <w:r>
        <w:rPr>
          <w:b/>
          <w:bCs/>
        </w:rPr>
        <w:t xml:space="preserve">dor abdominal crônica</w:t>
      </w:r>
      <w:r>
        <w:t xml:space="preserve">. Já realizou investigação inicial ampla, incluindo:</w:t>
      </w:r>
    </w:p>
    <w:p>
      <w:pPr>
        <w:pStyle w:val="Compact"/>
        <w:numPr>
          <w:ilvl w:val="0"/>
          <w:numId w:val="1001"/>
        </w:numPr>
      </w:pPr>
      <w:r>
        <w:t xml:space="preserve">Endoscopia digestiva alta:</w:t>
      </w:r>
      <w:r>
        <w:t xml:space="preserve"> </w:t>
      </w:r>
      <w:r>
        <w:rPr>
          <w:b/>
          <w:bCs/>
        </w:rPr>
        <w:t xml:space="preserve">normal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Tomografia de abdômen:</w:t>
      </w:r>
      <w:r>
        <w:t xml:space="preserve"> </w:t>
      </w:r>
      <w:r>
        <w:rPr>
          <w:b/>
          <w:bCs/>
        </w:rPr>
        <w:t xml:space="preserve">normal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Ultrassonografia de abdômen:</w:t>
      </w:r>
      <w:r>
        <w:t xml:space="preserve"> </w:t>
      </w:r>
      <w:r>
        <w:rPr>
          <w:b/>
          <w:bCs/>
        </w:rPr>
        <w:t xml:space="preserve">normal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Investigação ginecológica:</w:t>
      </w:r>
      <w:r>
        <w:t xml:space="preserve"> </w:t>
      </w:r>
      <w:r>
        <w:rPr>
          <w:b/>
          <w:bCs/>
        </w:rPr>
        <w:t xml:space="preserve">sem alterações relevantes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Exames para doença celíaca:</w:t>
      </w:r>
      <w:r>
        <w:t xml:space="preserve"> </w:t>
      </w:r>
      <w:r>
        <w:rPr>
          <w:b/>
          <w:bCs/>
        </w:rPr>
        <w:t xml:space="preserve">normais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Sem relato de perda de peso.</w:t>
      </w:r>
    </w:p>
    <w:p>
      <w:pPr>
        <w:pStyle w:val="Compact"/>
        <w:numPr>
          <w:ilvl w:val="0"/>
          <w:numId w:val="1001"/>
        </w:numPr>
      </w:pPr>
      <w:r>
        <w:t xml:space="preserve">Tratamentos prévios para</w:t>
      </w:r>
      <w:r>
        <w:t xml:space="preserve"> </w:t>
      </w:r>
      <w:r>
        <w:rPr>
          <w:b/>
          <w:bCs/>
        </w:rPr>
        <w:t xml:space="preserve">DRGE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síndrome do intestino irritável</w:t>
      </w:r>
      <w:r>
        <w:t xml:space="preserve">:</w:t>
      </w:r>
      <w:r>
        <w:t xml:space="preserve"> </w:t>
      </w:r>
      <w:r>
        <w:rPr>
          <w:b/>
          <w:bCs/>
        </w:rPr>
        <w:t xml:space="preserve">sem melhora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Pista clínica principal atual:</w:t>
      </w:r>
      <w:r>
        <w:t xml:space="preserve"> </w:t>
      </w:r>
      <w:r>
        <w:rPr>
          <w:b/>
          <w:bCs/>
        </w:rPr>
        <w:t xml:space="preserve">piora da dor quando come</w:t>
      </w:r>
      <w:r>
        <w:t xml:space="preserve">.</w:t>
      </w:r>
    </w:p>
    <w:p>
      <w:pPr>
        <w:pStyle w:val="FirstParagraph"/>
      </w:pPr>
      <w:r>
        <w:t xml:space="preserve">A piora pós-prandial, ou seja, após alimentação, direciona a investigação para estômago, vesícula/vias biliares, intestino delgado, intolerâncias alimentares, SIBO, distúrbios funcionais, dor de parede abdominal desencadeada por distensão e, raramente, causas vasculares.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80c7c29f677cf50c2dd54020652d8a491f2b8b8"/>
    <w:p>
      <w:pPr>
        <w:pStyle w:val="Heading1"/>
      </w:pPr>
      <w:r>
        <w:t xml:space="preserve">2. Sinais de alerta: quando acelerar a investigação</w:t>
      </w:r>
    </w:p>
    <w:p>
      <w:pPr>
        <w:pStyle w:val="FirstParagraph"/>
      </w:pPr>
      <w:r>
        <w:t xml:space="preserve">Caso algum dos sinais abaixo apareça, a investigação deve ser acelerada e o médico deve ser avisado com prioridade.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Sinal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importa?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de peso involuntária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preocupação com doença inflamatória, neoplásica, infecciosa ou disabsortiva.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Febre persistente ou suor noturno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 processo inflamatório, infeccioso, autoimune ou neoplásico.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Vômitos persistentes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indicar obstrução, gastroparesia importante, doença metabólica ou complicação digestiva.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Sangue nas fezes, fezes pretas ou vômito com sangue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indicar sangramento gastrointestinal.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Anemia ou deficiência de ferro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indicar perda oculta de sangue, inflamação ou má absorção.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 que acorda do sono com 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Torna causa orgânica mais provável, embora não seja específica.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Diarreia noturna, sangue ou muco nas fezes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 inflamação intestinal, infecção ou doença colônica.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Icterícia, urina escura ou fezes claras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 problema hepático/biliar/pancreático.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Distensão progressiva, massa abdominal ou ascite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reavaliação clínica e de imagem.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História familiar forte de câncer gastrointestinal, doença inflamatória intestinal ou doenças hereditárias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mudar a prioridade dos exames.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23e17a01d410e00feb824f91b4c5297112a38f"/>
    <w:p>
      <w:pPr>
        <w:pStyle w:val="Heading1"/>
      </w:pPr>
      <w:r>
        <w:t xml:space="preserve">3. Diário de sintomas: ferramenta simples e muito útil</w:t>
      </w:r>
    </w:p>
    <w:p>
      <w:pPr>
        <w:pStyle w:val="FirstParagraph"/>
      </w:pPr>
      <w:r>
        <w:t xml:space="preserve">Antes de avançar para exames raros, recomenda-se preencher um</w:t>
      </w:r>
      <w:r>
        <w:t xml:space="preserve"> </w:t>
      </w:r>
      <w:r>
        <w:rPr>
          <w:b/>
          <w:bCs/>
        </w:rPr>
        <w:t xml:space="preserve">diário por 14 a 21 dias</w:t>
      </w:r>
      <w:r>
        <w:t xml:space="preserve">. Muitas vezes o padrão temporal orienta melhor do que um exame isolado.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 que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da 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Epigástrio, hipocôndrio direito, periumbilical, flancos, baixo ventre, dor pontual ou difusa.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entre alimento e 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a refeição, 30-60 minutos após, 2-4 horas após, apenas com refeições grandes.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alimento que piora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Gordura, leite, trigo, doces, frutas, café, álcool, cebola, alho, feijão, adoçantes.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Sintomas associados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Náuseas, vômitos, saciedade precoce, empachamento, gases, distensão, azia, diarreia, constipação.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com evacuação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 ou piora após evacuar, urgência, sensação de evacuação incompleta, muco ou sangue.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com ciclo menstrual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cíclica, piora no período menstrual, dor na relação, dor ao evacuar menstruada.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Fatores mecânicos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Piora ao levantar peso, tossir, contrair abdome, caminhar, ficar sentada ou usar roupa apertada.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a remédios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IBP, antiácido, antiespasmódico, laxante, procinético, analgésico, antidepressivo neuromodulador.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revisão-crítica-dos-exames-já-realizados"/>
    <w:p>
      <w:pPr>
        <w:pStyle w:val="Heading1"/>
      </w:pPr>
      <w:r>
        <w:t xml:space="preserve">4. Revisão crítica dos exames já realizados</w:t>
      </w:r>
    </w:p>
    <w:p>
      <w:pPr>
        <w:pStyle w:val="FirstParagraph"/>
      </w:pPr>
      <w:r>
        <w:t xml:space="preserve">Exames normais são tranquilizadores, mas alguns diagnósticos exigem</w:t>
      </w:r>
      <w:r>
        <w:t xml:space="preserve"> </w:t>
      </w:r>
      <w:r>
        <w:rPr>
          <w:b/>
          <w:bCs/>
        </w:rPr>
        <w:t xml:space="preserve">biópsias</w:t>
      </w:r>
      <w:r>
        <w:t xml:space="preserve">, exames funcionais ou métodos específicos.</w:t>
      </w:r>
    </w:p>
    <w:bookmarkStart w:id="24" w:name="endoscopia-digestiva-alta"/>
    <w:p>
      <w:pPr>
        <w:pStyle w:val="Heading2"/>
      </w:pPr>
      <w:r>
        <w:t xml:space="preserve">4.1 Endoscopia digestiva alta</w:t>
      </w:r>
    </w:p>
    <w:p>
      <w:pPr>
        <w:pStyle w:val="FirstParagraph"/>
      </w:pPr>
      <w:r>
        <w:t xml:space="preserve">Verificar no laudo se houve:</w:t>
      </w:r>
    </w:p>
    <w:p>
      <w:pPr>
        <w:pStyle w:val="Compact"/>
        <w:numPr>
          <w:ilvl w:val="0"/>
          <w:numId w:val="1002"/>
        </w:numPr>
      </w:pPr>
      <w:r>
        <w:t xml:space="preserve">Pesquisa de</w:t>
      </w:r>
      <w:r>
        <w:t xml:space="preserve"> </w:t>
      </w:r>
      <w:r>
        <w:rPr>
          <w:b/>
          <w:bCs/>
        </w:rPr>
        <w:t xml:space="preserve">H. pylori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Biópsia de estômago e duodeno.</w:t>
      </w:r>
    </w:p>
    <w:p>
      <w:pPr>
        <w:pStyle w:val="Compact"/>
        <w:numPr>
          <w:ilvl w:val="0"/>
          <w:numId w:val="1002"/>
        </w:numPr>
      </w:pPr>
      <w:r>
        <w:t xml:space="preserve">Pesquisa de alterações discretas, eosinofilia, gastrite específica ou duodenite.</w:t>
      </w:r>
    </w:p>
    <w:p>
      <w:pPr>
        <w:pStyle w:val="Compact"/>
        <w:numPr>
          <w:ilvl w:val="0"/>
          <w:numId w:val="1002"/>
        </w:numPr>
      </w:pPr>
      <w:r>
        <w:t xml:space="preserve">Confirmação de que a doença celíaca foi investigada enquanto a paciente consumia glúten.</w:t>
      </w:r>
    </w:p>
    <w:bookmarkEnd w:id="24"/>
    <w:bookmarkStart w:id="25" w:name="tomografia"/>
    <w:p>
      <w:pPr>
        <w:pStyle w:val="Heading2"/>
      </w:pPr>
      <w:r>
        <w:t xml:space="preserve">4.2 Tomografia</w:t>
      </w:r>
    </w:p>
    <w:p>
      <w:pPr>
        <w:pStyle w:val="FirstParagraph"/>
      </w:pPr>
      <w:r>
        <w:t xml:space="preserve">Verificar se a TC foi:</w:t>
      </w:r>
    </w:p>
    <w:p>
      <w:pPr>
        <w:pStyle w:val="Compact"/>
        <w:numPr>
          <w:ilvl w:val="0"/>
          <w:numId w:val="1003"/>
        </w:numPr>
      </w:pPr>
      <w:r>
        <w:t xml:space="preserve">Com contraste ou sem contraste.</w:t>
      </w:r>
    </w:p>
    <w:p>
      <w:pPr>
        <w:pStyle w:val="Compact"/>
        <w:numPr>
          <w:ilvl w:val="0"/>
          <w:numId w:val="1003"/>
        </w:numPr>
      </w:pPr>
      <w:r>
        <w:t xml:space="preserve">Capaz de avaliar adequadamente pâncreas, vias biliares, intestino delgado e vasos.</w:t>
      </w:r>
    </w:p>
    <w:p>
      <w:pPr>
        <w:pStyle w:val="Compact"/>
        <w:numPr>
          <w:ilvl w:val="0"/>
          <w:numId w:val="1003"/>
        </w:numPr>
      </w:pPr>
      <w:r>
        <w:t xml:space="preserve">Descrita com atenção a espessamento intestinal, linfonodos, hérnias, alterações pancreáticas, fecalização, líquido livre ou sinais inflamatórios sutis.</w:t>
      </w:r>
    </w:p>
    <w:bookmarkEnd w:id="25"/>
    <w:bookmarkStart w:id="26" w:name="ultrassom-abdominal"/>
    <w:p>
      <w:pPr>
        <w:pStyle w:val="Heading2"/>
      </w:pPr>
      <w:r>
        <w:t xml:space="preserve">4.3 Ultrassom abdominal</w:t>
      </w:r>
    </w:p>
    <w:p>
      <w:pPr>
        <w:pStyle w:val="FirstParagraph"/>
      </w:pPr>
      <w:r>
        <w:t xml:space="preserve">Checar se foi realizado:</w:t>
      </w:r>
    </w:p>
    <w:p>
      <w:pPr>
        <w:pStyle w:val="Compact"/>
        <w:numPr>
          <w:ilvl w:val="0"/>
          <w:numId w:val="1004"/>
        </w:numPr>
      </w:pPr>
      <w:r>
        <w:t xml:space="preserve">Em jejum adequado.</w:t>
      </w:r>
    </w:p>
    <w:p>
      <w:pPr>
        <w:pStyle w:val="Compact"/>
        <w:numPr>
          <w:ilvl w:val="0"/>
          <w:numId w:val="1004"/>
        </w:numPr>
      </w:pPr>
      <w:r>
        <w:t xml:space="preserve">Com avaliação cuidadosa de vesícula, lama biliar, microlitíase, pólipos, vias biliares, rins e bexiga.</w:t>
      </w:r>
    </w:p>
    <w:p>
      <w:pPr>
        <w:pStyle w:val="Compact"/>
        <w:numPr>
          <w:ilvl w:val="0"/>
          <w:numId w:val="1004"/>
        </w:numPr>
      </w:pPr>
      <w:r>
        <w:t xml:space="preserve">Em contexto compatível com dor após gordura ou dor em hipocôndrio direito.</w:t>
      </w:r>
    </w:p>
    <w:bookmarkEnd w:id="26"/>
    <w:bookmarkStart w:id="27" w:name="investigação-ginecológica"/>
    <w:p>
      <w:pPr>
        <w:pStyle w:val="Heading2"/>
      </w:pPr>
      <w:r>
        <w:t xml:space="preserve">4.4 Investigação ginecológica</w:t>
      </w:r>
    </w:p>
    <w:p>
      <w:pPr>
        <w:pStyle w:val="FirstParagraph"/>
      </w:pPr>
      <w:r>
        <w:t xml:space="preserve">Mesmo com avaliação ginecológica normal, lembrar que</w:t>
      </w:r>
      <w:r>
        <w:t xml:space="preserve"> </w:t>
      </w:r>
      <w:r>
        <w:rPr>
          <w:b/>
          <w:bCs/>
        </w:rPr>
        <w:t xml:space="preserve">endometriose profunda</w:t>
      </w:r>
      <w:r>
        <w:t xml:space="preserve"> </w:t>
      </w:r>
      <w:r>
        <w:t xml:space="preserve">pode não aparecer em ultrassom simples. A suspeita aumenta se houver dor cíclica, dor na relação, dor ao evacuar menstruada ou sintomas intestinais que pioram no período menstrual.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7acbcb36821c0d321a0880c238c825606201db"/>
    <w:p>
      <w:pPr>
        <w:pStyle w:val="Heading1"/>
      </w:pPr>
      <w:r>
        <w:t xml:space="preserve">5. Diagnósticos diferenciais: dos mais comuns aos mais raros</w:t>
      </w:r>
    </w:p>
    <w:p>
      <w:pPr>
        <w:pStyle w:val="FirstParagraph"/>
      </w:pPr>
      <w:r>
        <w:t xml:space="preserve">A tabela abaixo serve para ajudar a paciente e o médico a reconhecerem padrões. Ter sintomas parecidos</w:t>
      </w:r>
      <w:r>
        <w:t xml:space="preserve"> </w:t>
      </w:r>
      <w:r>
        <w:rPr>
          <w:b/>
          <w:bCs/>
        </w:rPr>
        <w:t xml:space="preserve">não confirma</w:t>
      </w:r>
      <w:r>
        <w:t xml:space="preserve"> </w:t>
      </w:r>
      <w:r>
        <w:t xml:space="preserve">o diagnóstico; apenas orienta a investigação.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Pistas clínicas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Exames/condutas que podem ajudar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Dispepsia funcional / dor epigástrica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ou queimação epigástrica, empachamento, saciedade precoce, endoscopia normal, piora pós-prandial.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 H. pylori e biópsias; considerar abordagem para dispepsia funcional, procinéticos ou neuromoduladores conforme avaliação.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Gastroparesia ou distúrbio de acomodação gástrica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Saciedade precoce, náuseas, plenitude pós-prandial, vômitos tardios, piora com gordura/refeições grandes.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Cintilografia de esvaziamento gástrico de 4 horas ou teste respiratório validado.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Doença biliar funcional / discinesia biliar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epigástrica ou em hipocôndrio direito, crises após alimentos gordurosos, USG sem cálculos.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Enzimas hepáticas e pancreáticas durante crise; considerar cintilografia biliar com fração de ejeção.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Microlitíase ou lama biliar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Cólica biliar típica, náuseas, dor pós-gordura, USG comum normal.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USG em jejum por examinador experiente; considerar ecoendoscopia ou colangio-RM.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Pancreatite crônica inicial ou doença pancreatobiliar 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epigástrica irradiada para dorso, piora pós-prandial, náuseas, fezes oleosas, história familiar, álcool ou hipertrigliceridemia.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Lipase, amilase, enzimas hepáticas, triglicerídeos, elastase fecal; RM/MRCP ou ecoendoscopia se indicado.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Doença de Crohn de intestino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crônica, anemia, aftas, diarreia ou constipação, PCR/calprotectina elevadas; TC comum pode ser normal.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Calprotectina fecal, PCR/VHS, colonoscopia com ileoscopia e biópsias, entero-RM/enterotomografia, cápsula após excluir estenose.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SIBO - supercrescimento bacteriano do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Distensão, gases, dor pós-prandial, diarreia ou constipação, piora com carboidratos.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respiratório com lactulose ou glicose; tratamento orientado pelo médico.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Intolerância à lactose, frutose ou FODMAPs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e gases após leite, frutas, doces, adoçantes, trigo, cebola, alho, leguminosas.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respiratório; teste alimentar supervisionado; avaliação nutricional.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Constipação oculta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variável, distensão, sensação de evacuação incompleta, fezes endurecidas, melhora após evacuação.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Diário intestinal, escala de Bristol, tratamento estruturado da constipação.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 de parede abdominal / ACNES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muito localizada, paciente aponta com um dedo, piora ao contrair abdome ou movimentar-se.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Carnett, USG de parede, infiltração anestésica diagnóstica quando indicada.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Hérnia pequena ou oculta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ao esforço, tosse, Valsalva, ficar em pé; pode não aparecer em imagem estática.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 em pé/Valsalva; USG dinâmico de parede abdominal ou região inguinal.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Endometriose 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cíclica, dispareunia, dor ao evacuar ou urinar no período menstrual, sintomas intestinais cíclicos.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de pelve com protocolo para endometriose; avaliação com ginecologista experiente.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Aderências pós-cirúrgicas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História de cirurgia abdominal/pélvica, dor em cólica, distensão, sintomas suboclusivos.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clínico; imagem durante crise; avaliação cirúrgica se obstrução/suboclusão.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MALS - síndrome do ligamento arqueado mediano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Rara; dor epigástrica pós-prandial, náuseas, às vezes perda de peso; descrita em mulheres jovens.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Doppler de artéria celíaca com inspiração/expiração; angio-TC ou angio-RM; avaliação vascular.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Isquemia mesentérica crônica rara em jovem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pós-prandial intensa, medo de comer, perda de peso; em jovem pensar em vasculites/trombofilias/anomalias vasculares.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Doppler/angio-TC/angio-RM mesentérica; investigação reumatológica/vascular se sinais sistêmicos.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Vasculites ou doenças autoimunes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com febre, rash, artralgia, úlceras, alteração urinária, neuropatia, fenômeno de Raynaud.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Hemograma, PCR/VHS, urina, função renal, FAN, ANCA, complemento, sorologias conforme suspeita.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Porfiria aguda intermitente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Crises intensas sem achado de imagem, náuseas, constipação, urina escura, hiponatremia, sintomas neurológicos/psiquiátricos.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Porfobilinogênio urinário durante crise; eletrólitos; revisão de medicamentos gatilho.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Angioedema hereditário 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Crises de dor abdominal intensa, vômitos/diarreia, edema sem urticária, história familiar possível.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C1-inibidor quantitativo e funcional; avaliação imunologia/alergia.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Mastocitose/ativação mastocitária ou alergia alimentar atípica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com flushing, urticária, prurido, queda de pressão, diarreia episódica, relação com alimentos.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Triptase basal e durante crise; avaliação alergológica; diário alimentar.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Eosinofilia gastrointestinal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Dor, náuseas, diarreia, alergias, eosinofilia periférica; endoscopia pode parecer normal sem biópsias.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Hemograma com eosinófilos, IgE conforme contexto, biópsias endoscópicas/colonoscópicas.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Cistite intersticial / síndrome dolorosa vesical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baixo ventre, urgência/frequência urinária, piora com bexiga cheia, urina sem infecção.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EAS, urocultura, diário miccional, avaliação urológica.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 urinário pequeno/intermitente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em flanco ou baixo ventre, náuseas, hematúria microscópica, crises.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EAS, urocultura, TC sem contraste em crise se suspeita.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Distúrbios metabólicos/endócrinos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Hipercalcemia, tireoide, insuficiência adrenal, diabetes e eletrólitos podem causar dor/náuseas/constipação.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Cálcio, magnésio, fósforo, TSH/T4L, glicemia/HbA1c, cortisol matinal se suspeita, eletrólitos.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Medicamentos, suplementos e substâncias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AINEs, ferro, metformina, opioides, GLP-1, antibióticos, fitoterápicos, álcool, cannabis.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completa de medicamentos e suplementos; retirada/teste apenas com orientação médica.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Transtornos de interação intestino-cérebro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real, modulada pelo eixo intestino-cérebro; pode coexistir com ansiedade, sono ruim, enxaqueca ou hipervigilância visceral.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positivo após exclusões adequadas; tratamento multimodal, neuromoduladores, terapia, sono, atividade física.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7" w:name="investigação-em-etapas"/>
    <w:p>
      <w:pPr>
        <w:pStyle w:val="Heading1"/>
      </w:pPr>
      <w:r>
        <w:t xml:space="preserve">6. Investigação em etapas</w:t>
      </w:r>
    </w:p>
    <w:bookmarkStart w:id="30" w:name="X0fbbee71a91e1127a67c355cec6b283bd926998"/>
    <w:p>
      <w:pPr>
        <w:pStyle w:val="Heading2"/>
      </w:pPr>
      <w:r>
        <w:t xml:space="preserve">Etapa 1 - Reconsulta direcionada e exame físico</w:t>
      </w:r>
    </w:p>
    <w:p>
      <w:pPr>
        <w:pStyle w:val="Compact"/>
        <w:numPr>
          <w:ilvl w:val="0"/>
          <w:numId w:val="1005"/>
        </w:numPr>
      </w:pPr>
      <w:r>
        <w:t xml:space="preserve">Confirmar local exato da dor e padrão temporal pós-prandial.</w:t>
      </w:r>
    </w:p>
    <w:p>
      <w:pPr>
        <w:pStyle w:val="Compact"/>
        <w:numPr>
          <w:ilvl w:val="0"/>
          <w:numId w:val="1005"/>
        </w:numPr>
      </w:pPr>
      <w:r>
        <w:t xml:space="preserve">Exame abdominal completo, incluindo</w:t>
      </w:r>
      <w:r>
        <w:t xml:space="preserve"> </w:t>
      </w:r>
      <w:r>
        <w:rPr>
          <w:b/>
          <w:bCs/>
        </w:rPr>
        <w:t xml:space="preserve">sinal de Carnett</w:t>
      </w:r>
      <w:r>
        <w:t xml:space="preserve"> </w:t>
      </w:r>
      <w:r>
        <w:t xml:space="preserve">para dor de parede abdominal.</w:t>
      </w:r>
    </w:p>
    <w:p>
      <w:pPr>
        <w:pStyle w:val="Compact"/>
        <w:numPr>
          <w:ilvl w:val="0"/>
          <w:numId w:val="1005"/>
        </w:numPr>
      </w:pPr>
      <w:r>
        <w:t xml:space="preserve">Revisar pele, articulações, mucosas, tireoide, linfonodos e estado nutricional.</w:t>
      </w:r>
    </w:p>
    <w:p>
      <w:pPr>
        <w:pStyle w:val="Compact"/>
        <w:numPr>
          <w:ilvl w:val="0"/>
          <w:numId w:val="1005"/>
        </w:numPr>
      </w:pPr>
      <w:r>
        <w:t xml:space="preserve">Revisar laudos e, se possível, imagens originais.</w:t>
      </w:r>
    </w:p>
    <w:p>
      <w:pPr>
        <w:pStyle w:val="Compact"/>
        <w:numPr>
          <w:ilvl w:val="0"/>
          <w:numId w:val="1005"/>
        </w:numPr>
      </w:pPr>
      <w:r>
        <w:t xml:space="preserve">Revisar medicamentos, suplementos, anti-inflamatórios, opioides, GLP-1, cannabis, álcool e padrão alimentar.</w:t>
      </w:r>
    </w:p>
    <w:bookmarkEnd w:id="30"/>
    <w:bookmarkStart w:id="31" w:name="etapa-2---painel-laboratorial-básico"/>
    <w:p>
      <w:pPr>
        <w:pStyle w:val="Heading2"/>
      </w:pPr>
      <w:r>
        <w:t xml:space="preserve">Etapa 2 - Painel laboratorial básico</w:t>
      </w:r>
    </w:p>
    <w:p>
      <w:pPr>
        <w:pStyle w:val="Compact"/>
        <w:numPr>
          <w:ilvl w:val="0"/>
          <w:numId w:val="1006"/>
        </w:numPr>
      </w:pPr>
      <w:r>
        <w:t xml:space="preserve">Hemograma completo.</w:t>
      </w:r>
    </w:p>
    <w:p>
      <w:pPr>
        <w:pStyle w:val="Compact"/>
        <w:numPr>
          <w:ilvl w:val="0"/>
          <w:numId w:val="1006"/>
        </w:numPr>
      </w:pPr>
      <w:r>
        <w:t xml:space="preserve">Ferritina, ferro e saturação de transferrina se suspeita de anemia/deficiência.</w:t>
      </w:r>
    </w:p>
    <w:p>
      <w:pPr>
        <w:pStyle w:val="Compact"/>
        <w:numPr>
          <w:ilvl w:val="0"/>
          <w:numId w:val="1006"/>
        </w:numPr>
      </w:pPr>
      <w:r>
        <w:t xml:space="preserve">PCR e/ou VHS.</w:t>
      </w:r>
    </w:p>
    <w:p>
      <w:pPr>
        <w:pStyle w:val="Compact"/>
        <w:numPr>
          <w:ilvl w:val="0"/>
          <w:numId w:val="1006"/>
        </w:numPr>
      </w:pPr>
      <w:r>
        <w:t xml:space="preserve">Albumina.</w:t>
      </w:r>
    </w:p>
    <w:p>
      <w:pPr>
        <w:pStyle w:val="Compact"/>
        <w:numPr>
          <w:ilvl w:val="0"/>
          <w:numId w:val="1006"/>
        </w:numPr>
      </w:pPr>
      <w:r>
        <w:t xml:space="preserve">Função renal e eletrólitos.</w:t>
      </w:r>
    </w:p>
    <w:p>
      <w:pPr>
        <w:pStyle w:val="Compact"/>
        <w:numPr>
          <w:ilvl w:val="0"/>
          <w:numId w:val="1006"/>
        </w:numPr>
      </w:pPr>
      <w:r>
        <w:t xml:space="preserve">Cálcio, magnésio e fósforo.</w:t>
      </w:r>
    </w:p>
    <w:p>
      <w:pPr>
        <w:pStyle w:val="Compact"/>
        <w:numPr>
          <w:ilvl w:val="0"/>
          <w:numId w:val="1006"/>
        </w:numPr>
      </w:pPr>
      <w:r>
        <w:t xml:space="preserve">AST, ALT, FA, GGT e bilirrubinas.</w:t>
      </w:r>
    </w:p>
    <w:p>
      <w:pPr>
        <w:pStyle w:val="Compact"/>
        <w:numPr>
          <w:ilvl w:val="0"/>
          <w:numId w:val="1006"/>
        </w:numPr>
      </w:pPr>
      <w:r>
        <w:t xml:space="preserve">Amilase e lipase.</w:t>
      </w:r>
    </w:p>
    <w:p>
      <w:pPr>
        <w:pStyle w:val="Compact"/>
        <w:numPr>
          <w:ilvl w:val="0"/>
          <w:numId w:val="1006"/>
        </w:numPr>
      </w:pPr>
      <w:r>
        <w:t xml:space="preserve">Glicemia e HbA1c.</w:t>
      </w:r>
    </w:p>
    <w:p>
      <w:pPr>
        <w:pStyle w:val="Compact"/>
        <w:numPr>
          <w:ilvl w:val="0"/>
          <w:numId w:val="1006"/>
        </w:numPr>
      </w:pPr>
      <w:r>
        <w:t xml:space="preserve">TSH e T4 livre.</w:t>
      </w:r>
    </w:p>
    <w:p>
      <w:pPr>
        <w:pStyle w:val="Compact"/>
        <w:numPr>
          <w:ilvl w:val="0"/>
          <w:numId w:val="1006"/>
        </w:numPr>
      </w:pPr>
      <w:r>
        <w:t xml:space="preserve">EAS e urocultura se sintomas urinários ou dor em flanco/baixo ventre.</w:t>
      </w:r>
    </w:p>
    <w:p>
      <w:pPr>
        <w:pStyle w:val="Compact"/>
        <w:numPr>
          <w:ilvl w:val="0"/>
          <w:numId w:val="1006"/>
        </w:numPr>
      </w:pPr>
      <w:r>
        <w:t xml:space="preserve">Beta-hCG se houver possibilidade de gestação.</w:t>
      </w:r>
    </w:p>
    <w:bookmarkEnd w:id="31"/>
    <w:bookmarkStart w:id="32" w:name="etapa-3---fezes-e-inflamação-intestinal"/>
    <w:p>
      <w:pPr>
        <w:pStyle w:val="Heading2"/>
      </w:pPr>
      <w:r>
        <w:t xml:space="preserve">Etapa 3 - Fezes e inflamação intestinal</w:t>
      </w:r>
    </w:p>
    <w:p>
      <w:pPr>
        <w:pStyle w:val="Compact"/>
        <w:numPr>
          <w:ilvl w:val="0"/>
          <w:numId w:val="1007"/>
        </w:numPr>
      </w:pPr>
      <w:r>
        <w:t xml:space="preserve">Calprotectina fecal, especialmente se houver diarreia, anemia, PCR elevada ou suspeita de doença inflamatória intestinal.</w:t>
      </w:r>
    </w:p>
    <w:p>
      <w:pPr>
        <w:pStyle w:val="Compact"/>
        <w:numPr>
          <w:ilvl w:val="0"/>
          <w:numId w:val="1007"/>
        </w:numPr>
      </w:pPr>
      <w:r>
        <w:t xml:space="preserve">Sangue oculto nas fezes se anemia, alteração de hábito intestinal ou suspeita de sangramento.</w:t>
      </w:r>
    </w:p>
    <w:p>
      <w:pPr>
        <w:pStyle w:val="Compact"/>
        <w:numPr>
          <w:ilvl w:val="0"/>
          <w:numId w:val="1007"/>
        </w:numPr>
      </w:pPr>
      <w:r>
        <w:t xml:space="preserve">Coprocultura, pesquisa de parasitas ou C. difficile conforme diarreia, exposição, viagem ou antibiótico recente.</w:t>
      </w:r>
    </w:p>
    <w:p>
      <w:pPr>
        <w:pStyle w:val="Compact"/>
        <w:numPr>
          <w:ilvl w:val="0"/>
          <w:numId w:val="1007"/>
        </w:numPr>
      </w:pPr>
      <w:r>
        <w:t xml:space="preserve">Elastase fecal se houver fezes oleosas, perda ponderal ou suspeita pancreática.</w:t>
      </w:r>
    </w:p>
    <w:bookmarkEnd w:id="32"/>
    <w:bookmarkStart w:id="33" w:name="Xfc09d11cfc61c21f09126024f2af871e94105a6"/>
    <w:p>
      <w:pPr>
        <w:pStyle w:val="Heading2"/>
      </w:pPr>
      <w:r>
        <w:t xml:space="preserve">Etapa 4 - Endoscopia e colonoscopia seletivas</w:t>
      </w:r>
    </w:p>
    <w:p>
      <w:pPr>
        <w:pStyle w:val="Compact"/>
        <w:numPr>
          <w:ilvl w:val="0"/>
          <w:numId w:val="1008"/>
        </w:numPr>
      </w:pPr>
      <w:r>
        <w:t xml:space="preserve">Se a endoscopia não teve biópsias, considerar revisão do exame ou repetição dirigida.</w:t>
      </w:r>
    </w:p>
    <w:p>
      <w:pPr>
        <w:pStyle w:val="Compact"/>
        <w:numPr>
          <w:ilvl w:val="0"/>
          <w:numId w:val="1008"/>
        </w:numPr>
      </w:pPr>
      <w:r>
        <w:t xml:space="preserve">Colonoscopia com ileoscopia e biópsias se houver alteração intestinal, anemia, calprotectina elevada, história familiar, sangue/muco ou dor persistente sem diagnóstico.</w:t>
      </w:r>
    </w:p>
    <w:p>
      <w:pPr>
        <w:pStyle w:val="Compact"/>
        <w:numPr>
          <w:ilvl w:val="0"/>
          <w:numId w:val="1008"/>
        </w:numPr>
      </w:pPr>
      <w:r>
        <w:t xml:space="preserve">Biópsias podem ser necessárias mesmo com mucosa aparentemente normal, dependendo da hipótese.</w:t>
      </w:r>
    </w:p>
    <w:bookmarkEnd w:id="33"/>
    <w:bookmarkStart w:id="34" w:name="X42ee0f2e1351111b57dff9750aa56c439aa27b3"/>
    <w:p>
      <w:pPr>
        <w:pStyle w:val="Heading2"/>
      </w:pPr>
      <w:r>
        <w:t xml:space="preserve">Etapa 5 - Exames específicos para dor que piora ao comer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Cintilografia de esvaziamento gástrico</w:t>
      </w:r>
      <w:r>
        <w:t xml:space="preserve">: se saciedade precoce, náuseas, vômitos tardios ou plenitude pós-prandial intensa.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 respiratório para SIBO</w:t>
      </w:r>
      <w:r>
        <w:t xml:space="preserve">: se gases, distensão e dor pós-carboidratos.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 respiratório para lactose/frutose</w:t>
      </w:r>
      <w:r>
        <w:t xml:space="preserve">: se padrão alimentar sugerir intolerância.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Avaliação biliar funcional/microlitíase</w:t>
      </w:r>
      <w:r>
        <w:t xml:space="preserve">: enzimas durante crise, USG em jejum, ecoendoscopia, colangio-RM ou cintilografia biliar conforme padrão clínico.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Entero-RM/enterotomografia</w:t>
      </w:r>
      <w:r>
        <w:t xml:space="preserve">: se suspeita de Crohn de delgado ou alteração não vista na TC comum.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Cápsula endoscópica</w:t>
      </w:r>
      <w:r>
        <w:t xml:space="preserve">: se suspeita de lesão de delgado, após excluir estenose.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Doppler de artéria celíaca/mesentérico e angio-TC/angio-RM</w:t>
      </w:r>
      <w:r>
        <w:t xml:space="preserve">: se dor pós-prandial típica e suspeita vascular/MALS.</w:t>
      </w:r>
    </w:p>
    <w:bookmarkEnd w:id="34"/>
    <w:bookmarkStart w:id="35" w:name="X5d9335f6b45a4877ad48d184c3e911277040418"/>
    <w:p>
      <w:pPr>
        <w:pStyle w:val="Heading2"/>
      </w:pPr>
      <w:r>
        <w:t xml:space="preserve">Etapa 6 - Causas ginecológicas e de parede abdominal não óbvias</w:t>
      </w:r>
    </w:p>
    <w:p>
      <w:pPr>
        <w:pStyle w:val="Compact"/>
        <w:numPr>
          <w:ilvl w:val="0"/>
          <w:numId w:val="1010"/>
        </w:numPr>
      </w:pPr>
      <w:r>
        <w:t xml:space="preserve">RM de pelve com protocolo para endometriose se sintomas forem cíclicos ou sugestivos.</w:t>
      </w:r>
    </w:p>
    <w:p>
      <w:pPr>
        <w:pStyle w:val="Compact"/>
        <w:numPr>
          <w:ilvl w:val="0"/>
          <w:numId w:val="1010"/>
        </w:numPr>
      </w:pPr>
      <w:r>
        <w:t xml:space="preserve">USG dinâmico de parede abdominal/inguinal se dor focal, esforço físico, Valsalva ou suspeita de hérnia oculta.</w:t>
      </w:r>
    </w:p>
    <w:p>
      <w:pPr>
        <w:pStyle w:val="Compact"/>
        <w:numPr>
          <w:ilvl w:val="0"/>
          <w:numId w:val="1010"/>
        </w:numPr>
      </w:pPr>
      <w:r>
        <w:t xml:space="preserve">Bloqueio/infiltração diagnóstica se forte suspeita de dor de parede/ACNES.</w:t>
      </w:r>
    </w:p>
    <w:bookmarkEnd w:id="35"/>
    <w:bookmarkStart w:id="36" w:name="X83420b0ed1bf1d4e18488f486cd6000d403ad4f"/>
    <w:p>
      <w:pPr>
        <w:pStyle w:val="Heading2"/>
      </w:pPr>
      <w:r>
        <w:t xml:space="preserve">Etapa 7 - Causas raras quando o padrão sugerir</w:t>
      </w:r>
    </w:p>
    <w:p>
      <w:pPr>
        <w:pStyle w:val="Compact"/>
        <w:numPr>
          <w:ilvl w:val="0"/>
          <w:numId w:val="1011"/>
        </w:numPr>
      </w:pPr>
      <w:r>
        <w:t xml:space="preserve">Porfobilinogênio urinário durante crise se dor intensa recorrente sem achados, constipação, urina escura, sintomas neurológicos ou hiponatremia.</w:t>
      </w:r>
    </w:p>
    <w:p>
      <w:pPr>
        <w:pStyle w:val="Compact"/>
        <w:numPr>
          <w:ilvl w:val="0"/>
          <w:numId w:val="1011"/>
        </w:numPr>
      </w:pPr>
      <w:r>
        <w:t xml:space="preserve">C4 e C1-inibidor se crises episódicas com edema ou dor abdominal intensa sem causa.</w:t>
      </w:r>
    </w:p>
    <w:p>
      <w:pPr>
        <w:pStyle w:val="Compact"/>
        <w:numPr>
          <w:ilvl w:val="0"/>
          <w:numId w:val="1011"/>
        </w:numPr>
      </w:pPr>
      <w:r>
        <w:t xml:space="preserve">FAN, ANCA, complemento, sorologias e avaliação reumatológica se rash, artralgias, febre, neuropatia ou alterações urinárias.</w:t>
      </w:r>
    </w:p>
    <w:p>
      <w:pPr>
        <w:pStyle w:val="Compact"/>
        <w:numPr>
          <w:ilvl w:val="0"/>
          <w:numId w:val="1011"/>
        </w:numPr>
      </w:pPr>
      <w:r>
        <w:t xml:space="preserve">Triptase e avaliação alergológica se flushing, urticária, hipotensão, diarreia episódica ou relação alimentar forte.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21a4a2e9d12f35ed269f15217b4a10f40b94b80"/>
    <w:p>
      <w:pPr>
        <w:pStyle w:val="Heading1"/>
      </w:pPr>
      <w:r>
        <w:t xml:space="preserve">7. Priorização sugerida para este caso específico</w:t>
      </w:r>
    </w:p>
    <w:p>
      <w:pPr>
        <w:pStyle w:val="FirstParagraph"/>
      </w:pPr>
      <w:r>
        <w:t xml:space="preserve">Considerando o cenário de paciente jovem, exames anatômicos iniciais normais e piora pós-prandial, uma sequência prática para discutir com o médico assistente seria: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considerar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 endoscopia com biópsias/H. pylori; diário alimentar; exame físico com sinal de Carnett; hemograma, PCR/VHS, enzimas hepáticas/pancreáticas, cálcio, TSH, urina; calprotectina fecal; avaliar intolerâncias/SIBO se houver distensão/gases.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 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Cintilografia de esvaziamento gástrico se saciedade precoce/náusea; colonoscopia com ileoscopia e biópsias se sintomas intestinais ou marcadores alterados; entero-RM se suspeita de delgado; avaliação biliar funcional/microlitíase se dor tipo biliar.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 dirigida por pistas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de pelve para endometriose se sintomas cíclicos; Doppler/angio-TC para MALS/vascular se dor pós-prandial epigástrica típica; porfiria/angioedema/vasculites se crises ou sinais sistêmicos.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erguntas-para-levar-à-consulta"/>
    <w:p>
      <w:pPr>
        <w:pStyle w:val="Heading1"/>
      </w:pPr>
      <w:r>
        <w:t xml:space="preserve">8. Perguntas para levar à consulta</w:t>
      </w:r>
    </w:p>
    <w:p>
      <w:pPr>
        <w:pStyle w:val="Compact"/>
        <w:numPr>
          <w:ilvl w:val="0"/>
          <w:numId w:val="1012"/>
        </w:numPr>
      </w:pPr>
      <w:r>
        <w:t xml:space="preserve">Minha dor parece mais epigástrica, biliar, intestinal, pélvica, urinária ou de parede abdominal?</w:t>
      </w:r>
    </w:p>
    <w:p>
      <w:pPr>
        <w:pStyle w:val="Compact"/>
        <w:numPr>
          <w:ilvl w:val="0"/>
          <w:numId w:val="1012"/>
        </w:numPr>
      </w:pPr>
      <w:r>
        <w:t xml:space="preserve">A endoscopia teve biópsia para H. pylori, duodeno e outras causas microscópicas?</w:t>
      </w:r>
    </w:p>
    <w:p>
      <w:pPr>
        <w:pStyle w:val="Compact"/>
        <w:numPr>
          <w:ilvl w:val="0"/>
          <w:numId w:val="1012"/>
        </w:numPr>
      </w:pPr>
      <w:r>
        <w:t xml:space="preserve">Faz sentido dosar calprotectina fecal e marcadores inflamatórios?</w:t>
      </w:r>
    </w:p>
    <w:p>
      <w:pPr>
        <w:pStyle w:val="Compact"/>
        <w:numPr>
          <w:ilvl w:val="0"/>
          <w:numId w:val="1012"/>
        </w:numPr>
      </w:pPr>
      <w:r>
        <w:t xml:space="preserve">Pelo meu padrão, devo investigar gastroparesia, SIBO, intolerâncias alimentares ou vesícula funcional?</w:t>
      </w:r>
    </w:p>
    <w:p>
      <w:pPr>
        <w:pStyle w:val="Compact"/>
        <w:numPr>
          <w:ilvl w:val="0"/>
          <w:numId w:val="1012"/>
        </w:numPr>
      </w:pPr>
      <w:r>
        <w:t xml:space="preserve">Há indicação de colonoscopia com ileoscopia, mesmo com tomografia normal?</w:t>
      </w:r>
    </w:p>
    <w:p>
      <w:pPr>
        <w:pStyle w:val="Compact"/>
        <w:numPr>
          <w:ilvl w:val="0"/>
          <w:numId w:val="1012"/>
        </w:numPr>
      </w:pPr>
      <w:r>
        <w:t xml:space="preserve">Há indicação de entero-RM, enterotomografia ou cápsula endoscópica?</w:t>
      </w:r>
    </w:p>
    <w:p>
      <w:pPr>
        <w:pStyle w:val="Compact"/>
        <w:numPr>
          <w:ilvl w:val="0"/>
          <w:numId w:val="1012"/>
        </w:numPr>
      </w:pPr>
      <w:r>
        <w:t xml:space="preserve">Existe sinal clínico de dor de parede abdominal? O sinal de Carnett foi testado?</w:t>
      </w:r>
    </w:p>
    <w:p>
      <w:pPr>
        <w:pStyle w:val="Compact"/>
        <w:numPr>
          <w:ilvl w:val="0"/>
          <w:numId w:val="1012"/>
        </w:numPr>
      </w:pPr>
      <w:r>
        <w:t xml:space="preserve">Minha dor tem relação menstrual suficiente para investigar endometriose profunda?</w:t>
      </w:r>
    </w:p>
    <w:p>
      <w:pPr>
        <w:pStyle w:val="Compact"/>
        <w:numPr>
          <w:ilvl w:val="0"/>
          <w:numId w:val="1012"/>
        </w:numPr>
      </w:pPr>
      <w:r>
        <w:t xml:space="preserve">Pelo padrão pós-prandial, há indicação de avaliar artéria celíaca/MALS ou outra causa vascular rara?</w:t>
      </w:r>
    </w:p>
    <w:p>
      <w:pPr>
        <w:pStyle w:val="Compact"/>
        <w:numPr>
          <w:ilvl w:val="0"/>
          <w:numId w:val="1012"/>
        </w:numPr>
      </w:pPr>
      <w:r>
        <w:t xml:space="preserve">Quais exames devem ser feitos durante uma crise, e quais podem ser feitos fora da crise?</w:t>
      </w:r>
    </w:p>
    <w:p>
      <w:r>
        <w:pict>
          <v:rect style="width:0;height:1.5pt" o:hralign="center" o:hrstd="t" o:hr="t"/>
        </w:pict>
      </w:r>
    </w:p>
    <w:bookmarkEnd w:id="39"/>
    <w:bookmarkStart w:id="40" w:name="resumo-de-bolso-para-a-paciente"/>
    <w:p>
      <w:pPr>
        <w:pStyle w:val="Heading1"/>
      </w:pPr>
      <w:r>
        <w:t xml:space="preserve">9. Resumo de bolso para a paciente</w:t>
      </w:r>
    </w:p>
    <w:p>
      <w:pPr>
        <w:pStyle w:val="FirstParagraph"/>
      </w:pPr>
      <w:r>
        <w:rPr>
          <w:b/>
          <w:bCs/>
        </w:rPr>
        <w:t xml:space="preserve">Mensagem principal:</w:t>
      </w:r>
      <w:r>
        <w:t xml:space="preserve"> </w:t>
      </w:r>
      <w:r>
        <w:t xml:space="preserve">dor abdominal crônica com exames iniciais normais ainda pode ter causa tratável. A piora após comer ajuda a escolher melhor os próximos passos.</w:t>
      </w:r>
    </w:p>
    <w:p>
      <w:pPr>
        <w:pStyle w:val="BodyText"/>
      </w:pPr>
      <w:r>
        <w:rPr>
          <w:b/>
          <w:bCs/>
        </w:rPr>
        <w:t xml:space="preserve">Próximas linhas de investigação mais prováveis neste cenário:</w:t>
      </w:r>
    </w:p>
    <w:p>
      <w:pPr>
        <w:pStyle w:val="Compact"/>
        <w:numPr>
          <w:ilvl w:val="0"/>
          <w:numId w:val="1013"/>
        </w:numPr>
      </w:pPr>
      <w:r>
        <w:t xml:space="preserve">Revisar endoscopia e biópsias.</w:t>
      </w:r>
    </w:p>
    <w:p>
      <w:pPr>
        <w:pStyle w:val="Compact"/>
        <w:numPr>
          <w:ilvl w:val="0"/>
          <w:numId w:val="1013"/>
        </w:numPr>
      </w:pPr>
      <w:r>
        <w:t xml:space="preserve">Fazer diário alimentar/sintomas.</w:t>
      </w:r>
    </w:p>
    <w:p>
      <w:pPr>
        <w:pStyle w:val="Compact"/>
        <w:numPr>
          <w:ilvl w:val="0"/>
          <w:numId w:val="1013"/>
        </w:numPr>
      </w:pPr>
      <w:r>
        <w:t xml:space="preserve">Procurar sinais de inflamação intestinal com sangue e fezes.</w:t>
      </w:r>
    </w:p>
    <w:p>
      <w:pPr>
        <w:pStyle w:val="Compact"/>
        <w:numPr>
          <w:ilvl w:val="0"/>
          <w:numId w:val="1013"/>
        </w:numPr>
      </w:pPr>
      <w:r>
        <w:t xml:space="preserve">Avaliar intolerâncias alimentares/SIBO se gases e distensão forem importantes.</w:t>
      </w:r>
    </w:p>
    <w:p>
      <w:pPr>
        <w:pStyle w:val="Compact"/>
        <w:numPr>
          <w:ilvl w:val="0"/>
          <w:numId w:val="1013"/>
        </w:numPr>
      </w:pPr>
      <w:r>
        <w:t xml:space="preserve">Avaliar gastroparesia se houver saciedade precoce, náuseas e plenitude pós-prandial.</w:t>
      </w:r>
    </w:p>
    <w:p>
      <w:pPr>
        <w:pStyle w:val="Compact"/>
        <w:numPr>
          <w:ilvl w:val="0"/>
          <w:numId w:val="1013"/>
        </w:numPr>
      </w:pPr>
      <w:r>
        <w:t xml:space="preserve">Avaliar vesícula/vias biliares se dor vier após gordura ou em hipocôndrio direito.</w:t>
      </w:r>
    </w:p>
    <w:p>
      <w:pPr>
        <w:pStyle w:val="Compact"/>
        <w:numPr>
          <w:ilvl w:val="0"/>
          <w:numId w:val="1013"/>
        </w:numPr>
      </w:pPr>
      <w:r>
        <w:t xml:space="preserve">Avaliar dor de parede abdominal se dor for muito localizada e piorar com movimento/contração.</w:t>
      </w:r>
    </w:p>
    <w:p>
      <w:pPr>
        <w:pStyle w:val="Compact"/>
        <w:numPr>
          <w:ilvl w:val="0"/>
          <w:numId w:val="1013"/>
        </w:numPr>
      </w:pPr>
      <w:r>
        <w:t xml:space="preserve">Considerar endometriose profunda se houver padrão menstrual.</w:t>
      </w:r>
    </w:p>
    <w:p>
      <w:pPr>
        <w:pStyle w:val="Compact"/>
        <w:numPr>
          <w:ilvl w:val="0"/>
          <w:numId w:val="1013"/>
        </w:numPr>
      </w:pPr>
      <w:r>
        <w:t xml:space="preserve">Considerar causas vasculares raras se dor pós-prandial for muito típica e incapacitante.</w:t>
      </w:r>
    </w:p>
    <w:p>
      <w:r>
        <w:pict>
          <v:rect style="width:0;height:1.5pt" o:hralign="center" o:hrstd="t" o:hr="t"/>
        </w:pict>
      </w:r>
    </w:p>
    <w:bookmarkEnd w:id="40"/>
    <w:bookmarkStart w:id="41" w:name="modelo-de-diário-de-sintomas-por-14-dias"/>
    <w:p>
      <w:pPr>
        <w:pStyle w:val="Heading1"/>
      </w:pPr>
      <w:r>
        <w:t xml:space="preserve">10. Modelo de diário de sintomas por 14 dias</w:t>
      </w:r>
    </w:p>
    <w:p>
      <w:pPr>
        <w:pStyle w:val="FirstParagraph"/>
      </w:pPr>
      <w:r>
        <w:t xml:space="preserve">Preencher diariamente e levar para a consulta. Marcar intensidade da dor de 0 a 10.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Alimento/refeição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0-10 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Evacuação/gases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Menstruação/urina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Medicamentos/resposta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ac8c7e41103835a399c1c30aa699953192f36ec"/>
    <w:p>
      <w:pPr>
        <w:pStyle w:val="Heading1"/>
      </w:pPr>
      <w:r>
        <w:t xml:space="preserve">11. Referências de apoio para o médico assistente</w:t>
      </w:r>
    </w:p>
    <w:p>
      <w:pPr>
        <w:pStyle w:val="Compact"/>
        <w:numPr>
          <w:ilvl w:val="0"/>
          <w:numId w:val="1014"/>
        </w:numPr>
      </w:pPr>
      <w:r>
        <w:t xml:space="preserve">MSD/Merck Manual Professional Edition.</w:t>
      </w:r>
      <w:r>
        <w:t xml:space="preserve"> </w:t>
      </w:r>
      <w:r>
        <w:rPr>
          <w:i/>
          <w:iCs/>
        </w:rPr>
        <w:t xml:space="preserve">Chronic Abdominal Pain and Recurrent Abdominal Pain</w:t>
      </w:r>
      <w:r>
        <w:t xml:space="preserve">. Atualizado em 2026.</w:t>
      </w:r>
    </w:p>
    <w:p>
      <w:pPr>
        <w:pStyle w:val="Compact"/>
        <w:numPr>
          <w:ilvl w:val="0"/>
          <w:numId w:val="1014"/>
        </w:numPr>
      </w:pPr>
      <w:r>
        <w:t xml:space="preserve">MSD/Merck Manual Consumer Version.</w:t>
      </w:r>
      <w:r>
        <w:t xml:space="preserve"> </w:t>
      </w:r>
      <w:r>
        <w:rPr>
          <w:i/>
          <w:iCs/>
        </w:rPr>
        <w:t xml:space="preserve">Chronic Abdominal Pain and Recurring Abdominal Pain - warning signs</w:t>
      </w:r>
      <w:r>
        <w:t xml:space="preserve">. Atualizado em 2026.</w:t>
      </w:r>
    </w:p>
    <w:p>
      <w:pPr>
        <w:pStyle w:val="Compact"/>
        <w:numPr>
          <w:ilvl w:val="0"/>
          <w:numId w:val="1014"/>
        </w:numPr>
      </w:pPr>
      <w:r>
        <w:t xml:space="preserve">American Academy of Family Physicians.</w:t>
      </w:r>
      <w:r>
        <w:t xml:space="preserve"> </w:t>
      </w:r>
      <w:r>
        <w:rPr>
          <w:i/>
          <w:iCs/>
        </w:rPr>
        <w:t xml:space="preserve">Abdominal Wall Pain: Clinical Evaluation, Differential Diagnosis, and Treatment</w:t>
      </w:r>
      <w:r>
        <w:t xml:space="preserve">. 2018.</w:t>
      </w:r>
    </w:p>
    <w:p>
      <w:pPr>
        <w:pStyle w:val="Compact"/>
        <w:numPr>
          <w:ilvl w:val="0"/>
          <w:numId w:val="1014"/>
        </w:numPr>
      </w:pPr>
      <w:r>
        <w:t xml:space="preserve">American College of Gastroenterology.</w:t>
      </w:r>
      <w:r>
        <w:t xml:space="preserve"> </w:t>
      </w:r>
      <w:r>
        <w:rPr>
          <w:i/>
          <w:iCs/>
        </w:rPr>
        <w:t xml:space="preserve">Clinical Guideline: Gastroparesis</w:t>
      </w:r>
      <w:r>
        <w:t xml:space="preserve">. American Journal of Gastroenterology, 2022.</w:t>
      </w:r>
    </w:p>
    <w:p>
      <w:pPr>
        <w:pStyle w:val="Compact"/>
        <w:numPr>
          <w:ilvl w:val="0"/>
          <w:numId w:val="1014"/>
        </w:numPr>
      </w:pPr>
      <w:r>
        <w:t xml:space="preserve">British Society of Gastroenterology.</w:t>
      </w:r>
      <w:r>
        <w:t xml:space="preserve"> </w:t>
      </w:r>
      <w:r>
        <w:rPr>
          <w:i/>
          <w:iCs/>
        </w:rPr>
        <w:t xml:space="preserve">Guidelines on the management of functional dyspepsia</w:t>
      </w:r>
      <w:r>
        <w:t xml:space="preserve">. Gut, 2022.</w:t>
      </w:r>
    </w:p>
    <w:p>
      <w:pPr>
        <w:pStyle w:val="Compact"/>
        <w:numPr>
          <w:ilvl w:val="0"/>
          <w:numId w:val="1014"/>
        </w:numPr>
      </w:pPr>
      <w:r>
        <w:t xml:space="preserve">NICE Guideline NG12.</w:t>
      </w:r>
      <w:r>
        <w:t xml:space="preserve"> </w:t>
      </w:r>
      <w:r>
        <w:rPr>
          <w:i/>
          <w:iCs/>
        </w:rPr>
        <w:t xml:space="preserve">Suspected cancer: recognition and referral</w:t>
      </w:r>
      <w:r>
        <w:t xml:space="preserve">. Última revisão em 2026.</w:t>
      </w:r>
    </w:p>
    <w:p>
      <w:pPr>
        <w:pStyle w:val="Compact"/>
        <w:numPr>
          <w:ilvl w:val="0"/>
          <w:numId w:val="1014"/>
        </w:numPr>
      </w:pPr>
      <w:r>
        <w:t xml:space="preserve">Revisões e relatos clínicos sobre</w:t>
      </w:r>
      <w:r>
        <w:t xml:space="preserve"> </w:t>
      </w:r>
      <w:r>
        <w:rPr>
          <w:i/>
          <w:iCs/>
        </w:rPr>
        <w:t xml:space="preserve">Median Arcuate Ligament Syndrome</w:t>
      </w:r>
      <w:r>
        <w:t xml:space="preserve"> </w:t>
      </w:r>
      <w:r>
        <w:t xml:space="preserve">como causa rara de dor epigástrica pós-prandial.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Investigação Diagnóstica</dc:title>
  <dc:creator>Documento de orientação para paciente e organização do raciocínio médico</dc:creator>
  <dc:language>pt-BR</dc:language>
  <cp:keywords/>
  <dcterms:created xsi:type="dcterms:W3CDTF">2026-04-30T00:10:29Z</dcterms:created>
  <dcterms:modified xsi:type="dcterms:W3CDTF">2026-04-30T00:10:29Z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10pt</vt:lpwstr>
  </property>
  <property fmtid="{D5CDD505-2E9C-101B-9397-08002B2CF9AE}" pid="4" name="geometry">
    <vt:lpwstr>margin=1.8cm</vt:lpwstr>
  </property>
  <property fmtid="{D5CDD505-2E9C-101B-9397-08002B2CF9AE}" pid="5" name="subtitle">
    <vt:lpwstr>Dor abdominal crônica em paciente adulta jovem</vt:lpwstr>
  </property>
</Properties>
</file>