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hd w:fill="1B3A6B" w:val="clear"/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>  </w:t>
      </w:r>
    </w:p>
    <w:p>
      <w:pPr>
        <w:shd w:fill="1B3A6B" w:val="clear"/>
        <w:spacing w:after="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40"/>
          <w:szCs w:val="40"/>
        </w:rPr>
        <w:t xml:space="preserve">ANÁLISE COMPARATIVA DE INTELIGÊNCIAS ARTIFICIAIS</w:t>
      </w:r>
    </w:p>
    <w:p>
      <w:pPr>
        <w:shd w:fill="1B3A6B" w:val="clear"/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9C4E4"/>
          <w:sz w:val="24"/>
          <w:szCs w:val="24"/>
        </w:rPr>
        <w:t xml:space="preserve">GPT · Claude · Gemini · Grok · DeepSeek · Qwen · Kimi · Le Chat · Meta AI</w:t>
      </w:r>
    </w:p>
    <w:p>
      <w:pPr>
        <w:shd w:fill="1B3A6B" w:val="clear"/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>  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8"/>
          <w:szCs w:val="28"/>
        </w:rPr>
        <w:t xml:space="preserve">Documento Técnico-Científico para Uso Médico</w:t>
      </w:r>
    </w:p>
    <w:p>
      <w:pPr>
        <w:spacing w:after="20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4A4A4A"/>
          <w:sz w:val="24"/>
          <w:szCs w:val="24"/>
        </w:rPr>
        <w:t xml:space="preserve">Com foco em Medicina Intensiva e Tomada de Decisão Clínica</w:t>
      </w:r>
    </w:p>
    <w:p>
      <w:pPr>
        <w:pBdr>
          <w:bottom w:val="single" w:color="2E75B6" w:sz="6" w:space="1"/>
        </w:pBdr>
        <w:spacing w:after="20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> </w:t>
      </w:r>
    </w:p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Guia de Referência para Médicos Clínicos e Intensivistas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4A4A4A"/>
          <w:sz w:val="24"/>
          <w:szCs w:val="24"/>
        </w:rPr>
        <w:t xml:space="preserve">Seleção, Avaliação e Uso Seguro de IAs na Prática Clínica</w:t>
      </w:r>
    </w:p>
    <w:p>
      <w:pPr>
        <w:spacing w:after="20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Medicina Interna · Terapia Intensiva · Tomada de Decisão Baseada em Evidências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AMIB · SCCM · Surviving Sepsis Campaign</w:t>
      </w:r>
    </w:p>
    <w:p>
      <w:pPr>
        <w:spacing w:after="40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4A4A4A"/>
          <w:sz w:val="22"/>
          <w:szCs w:val="22"/>
        </w:rPr>
        <w:t xml:space="preserve">Brasil — Abril de 2026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6"/>
          <w:szCs w:val="36"/>
        </w:rPr>
        <w:t xml:space="preserve">1. Introdução e Contextualização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inteligência artificial generativa atravessa, em 2026, um momento de maturidade sem precedentes na história da tecnologia. Em menos de quatro anos desde o lançamento do ChatGPT, em novembro de 2022, o ecossistema global de modelos de linguagem de grande escala (Large Language Models — LLMs) expandiu-se de maneira vertiginosa, com contribuições de empresas americanas, europeias e asiáticas.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Para o profissional médico — especialmente o intensivista e o clínico geral que atuam em ambientes de alta complexidade — a compreensão dessas ferramentas não é mais um diferencial, mas uma necessidade competitiva e clínica. A capacidade de utilizar IAs de maneira crítica, conhecendo suas potências e limitações, representa hoje uma habilidade tão relevante quanto a interpretação de exames complementares.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Este documento é um guia de referência independente, elaborado para médicos clínicos e intensivistas brasileiros, com foco em tomada de decisão clínica baseada em evidências. Apresenta análise comparativa abrangente das principais IAs disponíveis em 2026 — GPT (OpenAI), Claude (Anthropic), Gemini (Google), Grok (xAI), DeepSeek, Qwen (Alibaba), Kimi (Moonshot AI), Le Chat (Mistral) e Meta AI (Meta) — com foco especial em: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Funcionamento técnico e arquitetura de cada modelo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Taxas de alucinação e confiabilidade factual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Desempenho em raciocínio clínico e decisões médicas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Análise de documentos científicos extensos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Privacidade, segurança e conformidade com a LGPD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Perspectivas futuras da IA na medicina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top w:val="single" w:color="2E75B6" w:sz="2"/>
          <w:bottom w:val="single" w:color="2E75B6" w:sz="2"/>
        </w:pBdr>
        <w:shd w:fill="D5E8F4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IMPORTANTE: Este documento não substitui o julgamento clínico do médico. Todas as ferramentas de IA descritas devem ser utilizadas como apoio ao raciocínio clínico, com verificação crítica obrigatória de todas as informações geradas, especialmente doses, protocolos e referências bibliográficas.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6"/>
          <w:szCs w:val="36"/>
        </w:rPr>
        <w:t xml:space="preserve">2. Como Funcionam os Modelos de Linguagem (LLMs)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2.1 Arquitetura Transformer — A Base de Tudo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Todos os grandes modelos de linguagem atuais são fundamentados na arquitetura Transformer, proposta por Vaswani et al. em 2017 no artigo seminal 'Attention Is All You Need'. O mecanismo central é o self-attention, que permite ao modelo ponderar a relevância de cada palavra em relação a todas as outras dentro de uma sequência — algo que arquiteturas anteriores (RNNs, LSTMs) faziam de maneira sequencial e muito menos eficiente.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2.2 O Processo de Treinamento em 3 Etapas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4"/>
          <w:szCs w:val="24"/>
        </w:rPr>
        <w:t xml:space="preserve">Etapa 1 — Pré-treinamento (Pre-training)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modelo é exposto a trilhões de tokens de texto extraídos da internet, livros, artigos científicos e código-fonte. O objetivo é prever o próximo token em uma sequência (next-token prediction). Nessa fase, o modelo aprende gramática, fatos, raciocínio lógico e padrões de linguagem de forma não supervisionada. GPT-5, por exemplo, foi treinado em mais de 13 trilhões de tokens.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4"/>
          <w:szCs w:val="24"/>
        </w:rPr>
        <w:t xml:space="preserve">Etapa 2 — Ajuste Fino com Instrução (Instruction Fine-tuning / SFT)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modelo pré-treinado é refinado com conjuntos de dados curados de pares pergunta-resposta de alta qualidade, gerados por humanos especializados. Isso ensina o modelo a 'seguir instruções' — transformando um preditor de texto genérico em um assistente útil.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4"/>
          <w:szCs w:val="24"/>
        </w:rPr>
        <w:t xml:space="preserve">Etapa 3 — RLHF (Reinforcement Learning from Human Feedback)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Humanos ranqueiam diferentes respostas do modelo, e um 'reward model' aprende o que os humanos preferem. O LLM principal é então treinado via Proximal Policy Optimization (PPO) para maximizar esse reward. Essa etapa é responsável pelo alinhamento — tornar o modelo seguro, honesto e útil.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2.3 Tokens, Contexto e Janela de Atenção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Um token corresponde, aproximadamente, a 3/4 de uma palavra em inglês (ou ~4 caracteres). A 'janela de contexto' (context window) é a quantidade máxima de tokens que o modelo pode processar simultaneamente. Modelos com janelas maiores conseguem 'ler' documentos mais longos e manter conversas mais extensas sem 'esquecer' o início. O Gemini 3.1 Pro possui a maior janela disponível — 1 milhão de tokens — o equivalente a aproximadamente 750.000 palavras ou cerca de 5 livros de tamanho médio.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2.4 Raciocínio Estendido (Chain-of-Thought / Extended Thinking)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Os modelos mais recentes implementam raciocínio em cadeia (chain-of-thought), onde o modelo 'pensa em voz alta' antes de responder, gerando uma sequência de passos intermediários. Isso melhora dramaticamente o desempenho em problemas complexos — matemática, diagnóstico diferencial, análise lógica — mas, paradoxalmente, aumenta as taxas de alucinação em tarefas de recuperação factual simples, pois o modelo pode 'raciocinar além' dos fatos fornecidos.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2.5 Multimodalidade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Os modelos modernos processam não apenas texto, mas também imagens, áudio, vídeo e código. O Gemini 3.1 Pro pode analisar um vídeo de ecocardiograma e discutir achados. O GPT-5 pode interpretar radiografias. O Claude pode analisar ECGs a partir de imagens e correlacionar com a história clínica — recursos de enorme valor para o intensivista contemporâneo.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6"/>
          <w:szCs w:val="36"/>
        </w:rPr>
        <w:t xml:space="preserve">3. Análise Individual das Principais IAs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3.1 GPT-5 / GPT-4o — OpenAI (EUA)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Parâmetro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Detalhes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Empresa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OpenAI — San Francisco, CA, EUA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Contexto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128.000 tokens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Multimodal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Texto, imagem, áudio, vídeo, geração de código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Custo (API)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$2,50/1M tokens (entrada) | $15/1M tokens (saída)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Ponto forte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Interface polida, Canvas editor, routing inteligente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Alucinação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~10-15% (reasoning mode) | ~2% (modo padrão)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GPT-5 representa o estado da arte da OpenAI em 2025-2026, introduzindo um sistema de roteamento inteligente que ajusta automaticamente a profundidade de raciocínio conforme a complexidade da tarefa. Seu sistema Canvas é o melhor ambiente de edição colaborativa disponível, tornando-o ideal para produção de documentos médicos e protocolos. O GPT-5 demonstrou redução de até 80% nos erros factuais em comparação ao GPT-4, sendo altamente confiável em domínios como saúde, direito e pesquisa científica. Porém, o modelo é notoriamente 'complacente' — tende a concordar com premissas errôneas do usuário em vez de corrigi-las, o que representa um risco clinicamente relevante.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3.2 Claude Opus 4.6 / 4.7 — Anthropic (EUA)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Parâmetro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Detalhes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Empresa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Anthropic — San Francisco, CA, EUA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Contexto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200.000 tokens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Multimodal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Texto, imagem, documentos, uso de ferramentas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Custo (API)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$15/1M tokens (entrada) | $75/1M tokens (saída) — Opus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Ponto forte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Raciocínio clínico, redação científica, segurança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Alucinação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4.4% (Sonnet) | 10.1% (Opus antigo) — Vectara 2025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Claude é desenvolvido pela Anthropic com base no princípio de 'Constitutional AI' — um framework de alinhamento que treina o modelo para ser honesto, inofensivo e útil de forma hierárquica. A grande inovação do Constitutional AI é que o modelo é treinado para auto-criticar suas próprias respostas antes de emiti-las, o que reduz drasticamente respostas confidentes e incorretas. Múltiplos estudos clínicos independentes posicionam o Claude como o modelo com maior acurácia em raciocínio diagnóstico — atingindo 100% em certas categorias de diagnóstico diferencial. A janela de 200K tokens permite processar protocolos completos, diretrizes internacionais e prontuários extensos simultaneamente. Para o médico intensivista, o Claude oferece o melhor equilíbrio entre acurácia clínica, segurança e capacidade de análise documental.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3.3 Gemini 3.1 Pro — Google DeepMind (EUA)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Parâmetro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Detalhes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Empresa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Google DeepMind — Mountain View, CA, EUA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Contexto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1.000.000 tokens — maior do mercado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Multimodal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Texto, imagem, áudio, vídeo, documentos complexos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Custo (API)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$2,00/1M tokens (entrada) | $12/1M tokens (saída)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Ponto forte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Menor alucinação (0.7%), contexto gigantesco, multimodal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Alucinação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0.7% Gemini Flash | 3-5% Gemini Pro — lider absoluto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Gemini 3.1 Pro ostenta a menor taxa de alucinação entre todos os grandes modelos testados (0.7% no benchmark Vectara para o Flash), sendo a escolha superior quando a confiabilidade factual é prioritária. Sua janela de 1 milhão de tokens é uma vantagem competitiva sem igual — permite processar o Guidelines do Surviving Sepsis (2024), o Manual do AMIB, as diretrizes do AHA/ACC e ainda o prontuário completo do paciente em uma única sessão de consulta. A integração nativa com o Google Workspace (Docs, Drive, Gmail) facilita workflows hospitalares. O modelo também lidera em análise de dados multimodais, podendo interpretar sequências de vídeo de procedimentos e correlacionar com literatura. A desvantagem principal é que seu raciocínio clínico complexo é levemente inferior ao Claude e ao GPT-5 nas avaliações mais sofisticadas.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3.4 Grok 4 — xAI / Elon Musk (EUA)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Parâmetro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Detalhes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Empresa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xAI — Palo Alto, CA, EUA (Elon Musk)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Contexto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2.000.000 tokens — maior contexto absoluto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Multimodal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Texto, imagem, dados em tempo real do X/Twitter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Custo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$22/mês (X Premium+)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Ponto forte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Maior score PrIME-LLM clínico, dados em tempo real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Alucinação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4.8% (base) | 20.2% (fast-reasoning) — ALTO RISCO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Grok 4 surpreendeu ao atingir o maior score PrIME-LLM (raciocínio clínico progressivo) em estudo recente comparando 21 modelos. Sua capacidade de acessar dados em tempo real via X/Twitter é única — útil para notícias de surtos, emergências epidemiológicas e literatura recente. A janela de 2 milhões de tokens é a maior do mercado. Contudo, o Grok apresenta um dilema crítico para uso médico: enquanto sua versão base tem alucinação de 4.8%, sua versão fast-reasoning atinge alarmantes 20.2% — a mais alta entre os modelos principais. O modelo também é comercializado como 'sem filtros', o que pode gerar respostas clinicamente inadequadas ou imprudentes. A política de privacidade da xAI é menos transparente que seus concorrentes, gerando preocupações para uso com dados sensíveis de pacientes.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3.5 DeepSeek V3 / R1 (China)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Parâmetro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Detalhes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Empresa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DeepSeek AI — Hangzhou, China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Contexto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128.000 tokens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Multimodal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Texto e código (sem imagem nativa)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Custo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Open source — custo próximo de zero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Ponto forte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Custo-benefício extremo, raciocínio matemático/científico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Alucinação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V3: 3.9% (excelente) | R1 Reasoning: 14.3% (alto)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DeepSeek causou um verdadeiro 'choque Sputnik' no setor de IA em 2025, ao demonstrar que era possível treinar modelos de altíssima qualidade com fração do custo computacional dos concorrentes americanos. O modelo V3 (não-reasoning) apresenta taxa de alucinação de apenas 3.9% — comparável ao Claude Sonnet e muito melhor que o Grok. O custo praticamente nulo o torna atraente para tarefas de grande volume. Contudo, existem sérias preocupações de privacidade: a empresa é chinesa e seus termos de serviço permitem coleta de dados que podem ser acessados pelo governo chinês. O uso com dados identificados de pacientes é contraindicado sob qualquer circunstância. Adicionalmente, o modelo R1 (com reasoning) apresenta taxa de alucinação de 14.3% — quase 4 vezes pior que sua versão base.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3.6 Qwen 3.5 — Alibaba Cloud (China)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Qwen 3.5 é o modelo de linguagem do Alibaba Cloud, disponível como open-source com custos mínimos ($0,02/1M tokens). Apresenta boa performance multilíngue, incluindo português de qualidade razoável. Sua principal vantagem competitiva é o custo — adequado para tarefas de triagem, sumários e processamento em massa. Partilha as mesmas preocupações de privacidade do DeepSeek por ser uma empresa chinesa regulamentada pelo governo de Pequim. Desempenho clínico inferior aos modelos top-3 (Claude, GPT-5, Gemini Pro). Uso recomendado: tarefas não-sensíveis de baixo custo.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3.7 Kimi K2.6 — Moonshot AI (China)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Kimi K2.6 é notável por ser o melhor modelo de pesos abertos (open-weights) disponível atualmente, com Intelligence Index de 54/60 no benchmark Artificial Analysis — superando modelos como versões anteriores do GPT e Claude. Possui janela de 200K tokens e excelente desempenho em raciocínio matemático e científico. A empresa Moonshot AI é sediada em Pequim, com as mesmas implicações de privacidade das demais empresas chinesas. Diferentemente do DeepSeek, o Kimi tem validação médica publicada mais limitada. Potencial alto para uso local (on-premise) em ambientes hospitalares que desejem controle total dos dados.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3.8 Le Chat — Mistral AI (França)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Le Chat é desenvolvido pela Mistral AI, sediada em Paris, tornando-se o único representante europeu entre os grandes modelos. Sua principal vantagem competitiva é a conformidade com o GDPR europeu — a regulamentação de privacidade mais rigorosa do mundo, mais abrangente que a LGPD brasileira. Isso o torna especialmente interessante para instituições hospitalares com requisitos rigorosos de conformidade de dados. Embora menos poderoso que os três primeiros em benchmarks gerais, o Le Chat apresenta boa performance em tarefas de escrita estruturada e análise de documentos. Disponível gratuitamente com funcionalidades razoáveis para uso médico cotidiano.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3.9 Meta AI / Llama 4 — Meta (EUA)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Meta AI, baseado no Llama 4, é totalmente gratuito e open-source — pode ser executado localmente em servidores hospitalares, eliminando preocupações de envio de dados para terceiros. Porém, seus benchmarks clínicos são os mais baixos entre os modelos comparados neste documento: 65% de acurácia em raciocínio diagnóstico versus 100% do Claude Sonnet 4 no mesmo benchmark. A principal utilidade médica do Meta AI está em aplicações locais de processamento de texto não-crítico — sumários de prontuários, geração de templates administrativos, triagem de texto. Para decisões clínicas de alta complexidade em UTI, não é recomendado como ferramenta primária.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6"/>
          <w:szCs w:val="36"/>
        </w:rPr>
        <w:t xml:space="preserve">4. Alucinação em IA — O Problema Central para a Medicina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4.1 O que é Alucinação?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Alucinação em modelos de linguagem é o fenômeno pelo qual o modelo gera informações factualmente incorretas, mas apresentadas com confiança e fluência linguística. O termo é emprestado da psicologia clínica — assim como um paciente alucinando percebe algo inexistente como real, o modelo 'percebe' uma resposta plausível onde não existe uma verdadeira. O problema não é a incorreção em si, mas a ausência de sinalização de incerteza. Um médico que confia cegamente em uma alucinação de IA sobre uma dose de medicamento ou interação farmacológica pode causar dano grave ao paciente.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4.2 Por que os Modelos Alucinam?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Existem múltiplas causas técnicas e conceituais para o fenômeno de alucinação: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Treinamento estatístico: O modelo aprende a gerar respostas 'plausíveis' — que se encaixam no padrão estatístico do treinamento — não necessariamente respostas 'verdadeiras'.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Falta de 'não sei': LLMs são treinados para ser úteis e completar textos; responder 'não sei' requer treinamento específico de calibração de incerteza.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Confabulação de conhecimento: O modelo combina informações reais de formas incorretas, criando fatos híbridos que parecem coerentes mas são falsos.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Degradação com contexto longo: Em documentos muito extensos, o modelo pode 'misturar' informações de partes diferentes, gerando sínteses incorretas.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Raciocínio além dos dados: Modelos de reasoning (pensamento em cadeia) podem extrapolar conclusões que ultrapassam os fatos fornecidos.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4.3 O Paradoxo dos Modelos de Raciocínio</w:t>
      </w:r>
    </w:p>
    <w:p>
      <w:pPr>
        <w:pBdr>
          <w:top w:val="single" w:color="2E75B6" w:sz="2"/>
          <w:bottom w:val="single" w:color="2E75B6" w:sz="2"/>
        </w:pBdr>
        <w:shd w:fill="FFF3E0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⚠️ ACHADO CRÍTICO: Modelos mais inteligentes alucinam MAIS em tarefas factuais simples. O Benchmark Vectara 2025-2026 demonstrou que TODOS os modelos de reasoning testados (GPT-5, Claude 4.5, Grok-4, Gemini 3 Pro) ultrapassaram 10% de alucinação. O Grok-4-fast-reasoning atingiu 20.2%. Em contraste, modelos não-reasoning como o Gemini 2.0 Flash apresentaram apenas 0.7%.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Isso tem implicação direta para a prática clínica: para verificar uma dose de medicamento ou um protocolo estabelecido, um modelo simples e factual (Gemini Flash) é mais confiável que um modelo de raciocínio sofisticado (GPT-5 thinking mode). Para diagnóstico diferencial complexo, o reasoning model supera — mas requer verificação das referências geradas.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4.4 Benchmarks de Alucinação — Como são Medidos?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60"/>
      </w:tblGrid>
      <w:tr>
        <w:trPr>
          <w:tblHeader/>
        </w:trP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Benchmark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Metodologia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Relevância Médica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Vectara HHEM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Sumarização de documentos reais (lei, medicina, finanças)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Alta — inclui textos médicos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AA-Omniscience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Perguntas factuais verificáveis com penalização por erro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Alta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FACTS (Dec/2025)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Grounding em documentos fornecidos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Muito alta — RAG médico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TruthfulQA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Perguntas projetadas para induzir erros comuns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Média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MedQA / USMLE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Questões de exames médicos padronizados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Direta — prova de residência/título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PrIME-LLM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Vinhetas clínicas progressivas (tipo caso UTI)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Máxima — intensivismo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4.5 Tabela Comparativa de Alucinação (2025-2026)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400"/>
        <w:gridCol w:w="2260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Modelo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Alucinação (Vectara)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Modo</w:t>
            </w:r>
          </w:p>
        </w:tc>
        <w:tc>
          <w:tcPr>
            <w:tcW w:type="dxa" w:w="22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Risco Clínico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Gemini 2.0 Flash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0.7% 🏆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Padrão</w:t>
            </w:r>
          </w:p>
        </w:tc>
        <w:tc>
          <w:tcPr>
            <w:tcW w:type="dxa" w:w="22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Muito Baixo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GPT-o3-mini-high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0.8%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Reasoning</w:t>
            </w:r>
          </w:p>
        </w:tc>
        <w:tc>
          <w:tcPr>
            <w:tcW w:type="dxa" w:w="22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Muito Baixo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GPT-4 family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0.8-2.0%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Padrão</w:t>
            </w:r>
          </w:p>
        </w:tc>
        <w:tc>
          <w:tcPr>
            <w:tcW w:type="dxa" w:w="22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Baixo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DeepSeek V3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3.9%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Padrão</w:t>
            </w:r>
          </w:p>
        </w:tc>
        <w:tc>
          <w:tcPr>
            <w:tcW w:type="dxa" w:w="22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Baixo-Mod.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Claude 3.7 Sonnet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4.4%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Padrão</w:t>
            </w:r>
          </w:p>
        </w:tc>
        <w:tc>
          <w:tcPr>
            <w:tcW w:type="dxa" w:w="22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Moderado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Grok-4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4.8%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Padrão</w:t>
            </w:r>
          </w:p>
        </w:tc>
        <w:tc>
          <w:tcPr>
            <w:tcW w:type="dxa" w:w="22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Moderado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GPT-5 / Claude 4.5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&gt;10%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Reasoning</w:t>
            </w:r>
          </w:p>
        </w:tc>
        <w:tc>
          <w:tcPr>
            <w:tcW w:type="dxa" w:w="22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Alto*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DeepSeek R1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14.3%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Reasoning</w:t>
            </w:r>
          </w:p>
        </w:tc>
        <w:tc>
          <w:tcPr>
            <w:tcW w:type="dxa" w:w="22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Alto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Grok-4-fast-reason.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20.2% ⚠️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Fast Reason.</w:t>
            </w:r>
          </w:p>
        </w:tc>
        <w:tc>
          <w:tcPr>
            <w:tcW w:type="dxa" w:w="22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Muito Alto</w:t>
            </w:r>
          </w:p>
        </w:tc>
      </w:tr>
    </w:tbl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4"/>
          <w:szCs w:val="24"/>
        </w:rPr>
        <w:t xml:space="preserve">*Reasoning modes: alta alucinação em grounding factual, mas alta precisão em diagnóstico diferencial complexo.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6"/>
          <w:szCs w:val="36"/>
        </w:rPr>
        <w:t xml:space="preserve">5. Desempenho Médico — Evidência Científica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5.1 Raciocínio Clínico — PrIME-LLM 2026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estudo mais recente e abrangente sobre LLMs em raciocínio clínico avaliou 21 modelos utilizando 29 vinhetas clínicas padronizadas do Manual MSD (atualização de janeiro/2025). Os modelos foram avaliados pelo score PrIME-LLM, que mede não apenas a acurácia diagnóstica final, mas a qualidade do raciocínio progressivo — simulando a apresentação clínica em etapas, como ocorre na UTI real.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4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Posição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Modelo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Score PrIME-LLM</w:t>
            </w:r>
          </w:p>
        </w:tc>
        <w:tc>
          <w:tcPr>
            <w:tcW w:type="dxa" w:w="2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Acurácia Geral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1º 🥇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Grok 4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Maior da série</w:t>
            </w:r>
          </w:p>
        </w:tc>
        <w:tc>
          <w:tcPr>
            <w:tcW w:type="dxa" w:w="2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88-90%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2º 🥈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Claude 4.5 Opus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Alto</w:t>
            </w:r>
          </w:p>
        </w:tc>
        <w:tc>
          <w:tcPr>
            <w:tcW w:type="dxa" w:w="2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87-90%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3º 🥉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Gemini 3.0 Flash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Alto</w:t>
            </w:r>
          </w:p>
        </w:tc>
        <w:tc>
          <w:tcPr>
            <w:tcW w:type="dxa" w:w="2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86-89%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4º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GPT-5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Alto</w:t>
            </w:r>
          </w:p>
        </w:tc>
        <w:tc>
          <w:tcPr>
            <w:tcW w:type="dxa" w:w="2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85-88%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5º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Gemini 3.0 Pro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Alto</w:t>
            </w:r>
          </w:p>
        </w:tc>
        <w:tc>
          <w:tcPr>
            <w:tcW w:type="dxa" w:w="2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84-87%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Último cluster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Meta AI Llama 4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Baixo</w:t>
            </w:r>
          </w:p>
        </w:tc>
        <w:tc>
          <w:tcPr>
            <w:tcW w:type="dxa" w:w="2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65%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5.2 Diagnóstico Diferencial — Board-Style Vignettes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Em estudo publicado no PubMed (2026) usando questões estilo prova de board, o Claude Sonnet 4 atingiu desempenho perfeito: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2760"/>
      </w:tblGrid>
      <w:tr>
        <w:trPr>
          <w:tblHeader/>
        </w:trP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Modelo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Score (20 questões)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Acurácia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Claude Sonnet 4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20/20 ⭐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100%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Google Gemini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19/20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95%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ChatGPT GPT-4o-mini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17/20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85%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Meta AI Llama 4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13/20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65%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5.3 Diagnóstico por Imagem Médica — Radiologia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Estudo com 324 casos do 'Diagnosis Please' da revista Radiology (1998-2023), incluindo TC, RM, RX e medicina nuclear: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2760"/>
      </w:tblGrid>
      <w:tr>
        <w:trPr>
          <w:tblHeader/>
        </w:trP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Modelo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Performance Relativa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Significância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Claude 3 Opus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1º lugar 🥇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p&lt;0.001 vs GPT-4o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GPT-4o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2º lugar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p=0.001 vs Gemini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Gemini 1.5 Pro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3º lugar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5.4 Conhecimento Médico em Provas Nacionais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Em estudo polonês comparando desempenho em exames de licenciatura médica (equivalente ao CFM brasileiro), o Claude alcançou a maior probabilidade de acurácia entre todos os modelos testados — incluindo ChatGPT-4 e Gemini. Este achado é diretamente relevante para médicos em preparação para provas de título, como o TEMI (Título de Especialista em Medicina Intensiva).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5.5 Regra de Ouro para Uso Clínico</w:t>
      </w:r>
    </w:p>
    <w:p>
      <w:pPr>
        <w:pBdr>
          <w:top w:val="single" w:color="2E75B6" w:sz="2"/>
          <w:bottom w:val="single" w:color="2E75B6" w:sz="2"/>
        </w:pBdr>
        <w:shd w:fill="D5E8F4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PROTOCOLO DE USO SEGURO: Para QUALQUER decisão clínica apoiada em IA — (1) Consulte ao menos 2 IAs diferentes para o mesmo caso. (2) Verifique SEMPRE as referências citadas (alucinação de referências é comum). (3) Use o modelo apenas como apoio ao raciocínio — a decisão final é SEMPRE do médico. (4) Nunca insira dados identificados de pacientes em IAs sem anonimização prévia.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6"/>
          <w:szCs w:val="36"/>
        </w:rPr>
        <w:t xml:space="preserve">6. Guia Prático para o Médico Intensivista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6.1 Estratégia Multi-IA Recomendada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abordagem mais eficaz não é escolher uma única IA, mas construir um fluxo de trabalho que combine os pontos fortes de múltiplas plataformas conforme o contexto clínico: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800"/>
        <w:gridCol w:w="3200"/>
      </w:tblGrid>
      <w:tr>
        <w:trPr>
          <w:tblHeader/>
        </w:trPr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Situação Clínica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IA Recomendada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Justificativa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Diagnóstico diferencial complexo (UTI)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Claude Opus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Maior acurácia diagnóstica comprovada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Verificação de dose / protocolo factual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Gemini Flash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Menor alucinação (0.7%)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Análise de artigo científico extenso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Gemini Pro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1M tokens — lê o artigo completo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Elaboração de protocolo médico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Claude / GPT-5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Melhor estruturação de texto técnico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Preparação TEMI (questões tipo prova)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Claude + GPT-5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Intercalar para cobertura máxima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Pesquisa de literatura recente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Claude c/ busca / Grok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Acesso a fontes atualizadas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Tarefas de baixo custo / alto volume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Gemini Flash / DeepSeek V3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Custo mínimo, boa performance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Dados sensíveis / identificados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Claude / Gemini (anonimizar!)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Política de privacidade rigorosa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6.2 Como Promitar Corretamente para Medicina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qualidade da resposta da IA depende diretamente da qualidade da instrução (prompt). Para uso médico, recomenda-se o framework PREP: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PAPEL: 'Atue como médico intensivista com treinamento AMIB/SCCM...'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RAZÃO: Forneça o contexto clínico completo (queixa, história, exames)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ESTRUTURA: Solicite formato específico ('liste diagnóstico diferencial em ordem de probabilidade')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PARÂMETROS: Defina limitações ('baseie-se apenas nas diretrizes Surviving Sepsis 2024')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6.3 Checklist Anti-Alucinação para UTI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NUNCA aceite referências bibliográficas sem verificar manualmente — alucinação de referências é muito comum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Para doses, SEMPRE confirme em fonte primária: Micromedex, UpToDate, bula oficial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Use dois modelos diferentes para o mesmo caso e compare as respostas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Desconfie de respostas muito longas e fluentes sem qualquer expressão de incerteza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Pergunte explicitamente: 'Você tem certeza? Qual a fonte?'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Em situações de emergência, a IA é apoio ao raciocínio — nunca substitui o julgamento clínico imediato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6"/>
          <w:szCs w:val="36"/>
        </w:rPr>
        <w:t xml:space="preserve">7. Privacidade, Segurança e LGPD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7.1 O Risco da Inserção de Dados Identificados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Lei Geral de Proteção de Dados (LGPD — Lei 13.709/2018) classifica dados de saúde como dados sensíveis, sujeitos a proteção especial. O Conselho Federal de Medicina (CFM) ainda não regulamentou especificamente o uso de IAs na prática clínica, mas as resoluções vigentes sobre sigilo médico e prontuário eletrônico se aplicam. A inserção de dados identificados (nome, CPF, data de nascimento, diagnóstico) de pacientes em plataformas de IA sem consentimento e sem contrato de processamento de dados adequado constitui infração à LGPD e potencialmente ao código de ética médico.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7.2 Ranking de Segurança para Dados Médicos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IA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Classificação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Observações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Claude (Enterprise)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✅ Alta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Política explícita de não treinamento com dados do usuário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Gemini (Workspace)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✅ Alta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Conformidade HIPAA disponível para planos corporativos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 Chat (Mistral)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✅ Alta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GDPR europeu — regulamentação mais rigorosa do mundo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GPT (Enterprise)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✅ Média-Alta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Conformidade SOC 2, mas histórico de incidentes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Grok / xAI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⚠️ Baixa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Política menos transparente, dados podem alimentar X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DeepSeek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🚫 Crítica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Empresa chinesa — lei chinesa permite acesso gov.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Qwen / Alibaba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🚫 Crítica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Mesmas preocupações do DeepSeek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Kimi / Moonshot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🚫 Crítica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Empresa chinesa — riscos similares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7.3 Protocolo de Anonimização Recomendado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Antes de inserir qualquer dado clínico em uma plataforma de IA, o médico deve anonimizar o caso utilizando o seguinte protocolo: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Substituir nome do paciente por 'Paciente X' ou siglas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Remover data de nascimento — substituir por faixa etária (ex: 'adulto jovem, 35-40 anos')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Remover número de prontuário, CPF, endereço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Substituir nome do médico assistente e instituição se necessário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Manter apenas dados clínicos relevantes: queixa, história, exames, medicamentos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6"/>
          <w:szCs w:val="36"/>
        </w:rPr>
        <w:t xml:space="preserve">8. Perspectivas Futuras da IA na Medicina (2026-2030)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8.1 IA Agêntica — O Próximo Paradigma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modelo de IA como 'chatbot responsivo' está sendo rapidamente substituído pelo paradigma de IA agêntica — sistemas que executam sequências de ações complexas de forma autônoma para atingir objetivos definidos. Na medicina, isso se traduz em agentes que podem: pesquisar literatura automaticamente, atualizar protocolos em tempo real, monitorar parâmetros de UTI e alertar proativamente, coordenar múltiplas IAs especializadas em diferentes aspectos do cuidado (farmacológico, radiológico, laboratorial).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8.2 IAs Especializadas em Medicina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Estamos presenciando a emergência de modelos treinados exclusivamente em dados médicos — com volume, variedade e especificidade muito superior aos modelos gerais. Modelos como Med-Gemini (Google), BioMedLM e MedPaLM 2 demonstram que o fine-tuning intensivo em literatura médica (PubMed, UpToDate, guidelines) produz performance superior em tarefas clínicas específicas, com taxas de alucinação muito menores que os modelos gerais. O MedPaLM 2 atingiu 86,5% no USMLE — superando a média dos médicos recém-formados.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8.3 Integração com Prontuário Eletrônico (EHR)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integração de LLMs diretamente com sistemas de prontuário eletrônico (como o sistema MV usado em hospitais brasileiros) está em fase avançada de implementação global. Isso permitirá que a IA 'leia' o histórico completo do paciente em tempo real, identifique padrões clinicamente relevantes e gere alertas automáticos — sem que o médico precise inserir dados manualmente. No Brasil, o CFM e a SBIS (Sociedade Brasileira de Informática em Saúde) estão trabalhando nas regulamentações necessárias.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8.4 IA em Tempo Real na UTI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Sistemas de IA conectados a monitores multiparamétricos em tempo real já estão em uso piloto em UTIs de ponta (Harvard, Mayo Clinic, Hospital Israelita Albert Einstein). Esses sistemas podem: detectar deterioração clínica antes dos sinais vitais manifestos, identificar padrões de sepse em fase pre-shock, otimizar protocolos de desmame ventilatório baseados em dados do próprio paciente, e prever necessidade de reposicionamento em pacientes sob VMI. A implementação no contexto do Sistema Único de Saúde (SUS) e do Hospital Regional Norte representa uma oportunidade estratégica para a próxima década.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8.5 Multimodalidade Clínica Avançada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próxima geração de modelos médicos processará simultaneamente: imagens (radiografias, TCs, RMs, ECGs), sinais contínuos (oximetria, pressão invasiva, capnografia), dados laboratoriais estruturados, texto de prontuário e voz do médico — gerando sínteses clínicas em tempo real. Isso representa uma mudança paradigmática da IA como 'ferramenta de consulta' para IA como 'membro virtual da equipe'.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8.6 Regulamentação e Certificação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FDA americano já aprovou mais de 950 dispositivos de IA/ML para uso médico. A ANVISA brasileira está desenvolvendo regulamentação específica para IA diagnóstica (RDC em consulta pública). Espera-se que até 2028 todos os sistemas de IA com uso clínico direto sejam sujeitos a certificação obrigatória, com requisitos de validação clínica pré-mercado — similar ao que já ocorre com dispositivos de diagnóstico in vitro.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8.7 Linha do Tempo Projetada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Horizonte</w:t>
            </w:r>
          </w:p>
        </w:tc>
        <w:tc>
          <w:tcPr>
            <w:tcW w:type="dxa" w:w="7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Desenvolvimento Esperado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2026-2027</w:t>
            </w:r>
          </w:p>
        </w:tc>
        <w:tc>
          <w:tcPr>
            <w:tcW w:type="dxa" w:w="7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IAs médicas especializadas com certificação FDA; integração EHR universal nos EUA; primeiros protocolos ANVISA no Brasil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2027-2028</w:t>
            </w:r>
          </w:p>
        </w:tc>
        <w:tc>
          <w:tcPr>
            <w:tcW w:type="dxa" w:w="7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Agentes autônomos de UTI em uso piloto aprovado; IA interpretando ECG/ecocardio em tempo real com precisão de especialista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2028-2029</w:t>
            </w:r>
          </w:p>
        </w:tc>
        <w:tc>
          <w:tcPr>
            <w:tcW w:type="dxa" w:w="7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Regulamentação LGPD/ANVISA específica para IA clínica no Brasil; IA no SUS em hospitais de referência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2029-2030</w:t>
            </w:r>
          </w:p>
        </w:tc>
        <w:tc>
          <w:tcPr>
            <w:tcW w:type="dxa" w:w="7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Gêmeos digitais de pacientes; simulação personalizada de resposta terapêutica antes da prescrição; UTI com supervisão parcialmente autônoma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6"/>
          <w:szCs w:val="36"/>
        </w:rPr>
        <w:t xml:space="preserve">9. Conclusões e Recomendações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9.1 Síntese Comparativa Final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60"/>
        <w:gridCol w:w="1760"/>
        <w:gridCol w:w="1760"/>
        <w:gridCol w:w="188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Critério</w:t>
            </w:r>
          </w:p>
        </w:tc>
        <w:tc>
          <w:tcPr>
            <w:tcW w:type="dxa" w:w="1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Claude</w:t>
            </w:r>
          </w:p>
        </w:tc>
        <w:tc>
          <w:tcPr>
            <w:tcW w:type="dxa" w:w="1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GPT-5</w:t>
            </w:r>
          </w:p>
        </w:tc>
        <w:tc>
          <w:tcPr>
            <w:tcW w:type="dxa" w:w="1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Gemini</w:t>
            </w:r>
          </w:p>
        </w:tc>
        <w:tc>
          <w:tcPr>
            <w:tcW w:type="dxa" w:w="1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Grok 4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Raciocínio clínico</w:t>
            </w:r>
          </w:p>
        </w:tc>
        <w:tc>
          <w:tcPr>
            <w:tcW w:type="dxa" w:w="1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⭐⭐⭐⭐⭐</w:t>
            </w:r>
          </w:p>
        </w:tc>
        <w:tc>
          <w:tcPr>
            <w:tcW w:type="dxa" w:w="1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⭐⭐⭐⭐½</w:t>
            </w:r>
          </w:p>
        </w:tc>
        <w:tc>
          <w:tcPr>
            <w:tcW w:type="dxa" w:w="1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⭐⭐⭐⭐</w:t>
            </w:r>
          </w:p>
        </w:tc>
        <w:tc>
          <w:tcPr>
            <w:tcW w:type="dxa" w:w="1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⭐⭐⭐⭐½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Menor alucinação</w:t>
            </w:r>
          </w:p>
        </w:tc>
        <w:tc>
          <w:tcPr>
            <w:tcW w:type="dxa" w:w="1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⭐⭐⭐⭐</w:t>
            </w:r>
          </w:p>
        </w:tc>
        <w:tc>
          <w:tcPr>
            <w:tcW w:type="dxa" w:w="1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⭐⭐⭐⭐</w:t>
            </w:r>
          </w:p>
        </w:tc>
        <w:tc>
          <w:tcPr>
            <w:tcW w:type="dxa" w:w="1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⭐⭐⭐⭐⭐</w:t>
            </w:r>
          </w:p>
        </w:tc>
        <w:tc>
          <w:tcPr>
            <w:tcW w:type="dxa" w:w="1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⭐⭐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Contexto (tamanho)</w:t>
            </w:r>
          </w:p>
        </w:tc>
        <w:tc>
          <w:tcPr>
            <w:tcW w:type="dxa" w:w="1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⭐⭐⭐⭐</w:t>
            </w:r>
          </w:p>
        </w:tc>
        <w:tc>
          <w:tcPr>
            <w:tcW w:type="dxa" w:w="1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⭐⭐⭐</w:t>
            </w:r>
          </w:p>
        </w:tc>
        <w:tc>
          <w:tcPr>
            <w:tcW w:type="dxa" w:w="1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⭐⭐⭐⭐⭐</w:t>
            </w:r>
          </w:p>
        </w:tc>
        <w:tc>
          <w:tcPr>
            <w:tcW w:type="dxa" w:w="1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⭐⭐⭐⭐⭐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Privacidade</w:t>
            </w:r>
          </w:p>
        </w:tc>
        <w:tc>
          <w:tcPr>
            <w:tcW w:type="dxa" w:w="1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⭐⭐⭐⭐⭐</w:t>
            </w:r>
          </w:p>
        </w:tc>
        <w:tc>
          <w:tcPr>
            <w:tcW w:type="dxa" w:w="1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⭐⭐⭐⭐</w:t>
            </w:r>
          </w:p>
        </w:tc>
        <w:tc>
          <w:tcPr>
            <w:tcW w:type="dxa" w:w="1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⭐⭐⭐⭐</w:t>
            </w:r>
          </w:p>
        </w:tc>
        <w:tc>
          <w:tcPr>
            <w:tcW w:type="dxa" w:w="1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⭐⭐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Elaboração documentos</w:t>
            </w:r>
          </w:p>
        </w:tc>
        <w:tc>
          <w:tcPr>
            <w:tcW w:type="dxa" w:w="1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⭐⭐⭐⭐⭐</w:t>
            </w:r>
          </w:p>
        </w:tc>
        <w:tc>
          <w:tcPr>
            <w:tcW w:type="dxa" w:w="1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⭐⭐⭐⭐⭐</w:t>
            </w:r>
          </w:p>
        </w:tc>
        <w:tc>
          <w:tcPr>
            <w:tcW w:type="dxa" w:w="1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⭐⭐⭐⭐</w:t>
            </w:r>
          </w:p>
        </w:tc>
        <w:tc>
          <w:tcPr>
            <w:tcW w:type="dxa" w:w="1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⭐⭐⭐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Custo-benefício</w:t>
            </w:r>
          </w:p>
        </w:tc>
        <w:tc>
          <w:tcPr>
            <w:tcW w:type="dxa" w:w="1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⭐⭐⭐</w:t>
            </w:r>
          </w:p>
        </w:tc>
        <w:tc>
          <w:tcPr>
            <w:tcW w:type="dxa" w:w="1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⭐⭐⭐</w:t>
            </w:r>
          </w:p>
        </w:tc>
        <w:tc>
          <w:tcPr>
            <w:tcW w:type="dxa" w:w="1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⭐⭐⭐⭐⭐</w:t>
            </w:r>
          </w:p>
        </w:tc>
        <w:tc>
          <w:tcPr>
            <w:tcW w:type="dxa" w:w="1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⭐⭐⭐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9.2 Recomendações para Médicos Clínicos e Intensivistas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Com base na análise comparativa completa, as seguintes recomendações são formuladas para médicos atuantes em Clínica Médica e Medicina Intensiva no contexto brasileiro: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PLATAFORMA PRINCIPAL PARA DECISÃO CLÍNICA: Claude (Anthropic) — maior acurácia diagnóstica comprovada em múltiplos estudos independentes, com 100% de acerto em vinhetas clínicas estilo board e melhor desempenho em raciocínio progressivo de UTI.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VERIFICAÇÃO FACTUAL (DOSES E PROTOCOLOS): Gemini Flash — menor taxa de alucinação do mercado (0.7%), ideal para confirmar doses de medicamentos, posologias e dados de protocolos estabelecidos antes de implementação.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ANÁLISE DE ARTIGOS E GUIDELINES EXTENSOS: Gemini Pro — janela de 1 milhão de tokens permite leitura integral de publicações como o Surviving Sepsis, diretrizes AHA/ACC e Harrison em uma única sessão.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PREPARAÇÃO PARA PROVAS DE TÍTULO (AMB/TEMI/AMIB): Claude + GPT-5 intercalados — utilizar ambos para simular questões, discutir casos clínicos e revisar temas de alta incidência, comparando as respostas.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ELABORAÇÃO DE PROTOCOLOS HOSPITALARES: Claude ou GPT-5 — melhor estruturação de texto técnico-científico, com linguagem adequada para documentos institucionais.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SEGURANÇA DE DADOS: Jamais utilizar DeepSeek, Qwen ou Kimi com dados identificados de pacientes — empresas chinesas sujeitas à legislação local de coleta de dados governamentais.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9.3 Estratégia Prática: Abordagem Multi-IA</w:t>
      </w:r>
    </w:p>
    <w:p>
      <w:pPr>
        <w:pBdr>
          <w:top w:val="single" w:color="2E75B6" w:sz="2"/>
          <w:bottom w:val="single" w:color="2E75B6" w:sz="2"/>
        </w:pBdr>
        <w:shd w:fill="D9EAD3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FLUXO RECOMENDADO PARA UTI: (1) Raciocínio diagnóstico complexo → Claude Opus. (2) Confirmação factual de dose/protocolo → Gemini Flash. (3) Revisão de literatura → Gemini Pro. (4) Sempre confrontar 2 IAs antes de decisões críticas. (5) Verificar manualmente TODA referência bibliográfica citada pela IA.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9.4 Considerações Éticas e Legais no Brasil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uso de IA na medicina brasileira está em fase de regulamentação. A ANVISA, o CFM e a SBIS (Sociedade Brasileira de Informática em Saúde) estão desenvolvendo frameworks normativos. Os médicos que adotarem essas ferramentas devem: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Documentar no prontuário quando uma IA foi utilizada como apoio à decisão clínica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Garantir que a decisão final e a responsabilidade técnica permanecem com o médico assistente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Anonimizar todos os dados antes de inserção em plataformas de IA externas (LGPD — Lei 13.709/2018)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Manter-se atualizado sobre as resoluções do CFM referentes a IA e telemedicina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8"/>
          <w:szCs w:val="28"/>
        </w:rPr>
        <w:t xml:space="preserve">9.5 Conclusão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inteligência artificial não substitui o médico — ela amplifica sua capacidade cognitiva. O profissional clínico e intensivista que dominar criticamente esse ecossistema terá vantagem competitiva significativa na prestação de cuidados de alta qualidade, na produção científica e na formação de residentes. O objetivo não é delegar o raciocínio clínico à IA, mas utilizá-la como um co-piloto cognitivo — ampliando o alcance do raciocínio humano, reduzindo erros por sobrecarga de informação e permitindo acesso instantâneo à melhor evidência disponível.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futuro da Medicina Intensiva e da Clínica Médica no Brasil passa pela adoção crítica, informada e eticamente responsável dessas tecnologias. O médico que souber quando usar cada IA, como verificar suas respostas e como integrá-la ao fluxo clínico diário estará mais equipado para oferecer cuidado de excelência — dentro do SUS, em hospitais privados, em UTIs do interior ou em grandes centros universitários.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top w:val="single" w:color="2E75B6" w:sz="6" w:space="1"/>
        </w:pBdr>
        <w:spacing w:after="0" w:before="24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4A4A4A"/>
          <w:sz w:val="20"/>
          <w:szCs w:val="20"/>
        </w:rPr>
        <w:t xml:space="preserve">Documento de domínio público para fins educacionais e de apoio à prática médica — Brasil, Abril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after="0" w:before="8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4A4A4A"/>
        <w:sz w:val="18"/>
        <w:szCs w:val="18"/>
      </w:rPr>
      <w:t xml:space="preserve">Guia de IA para Médicos Clínicos e Intensivistas — Brasil | Abril 2026   |   Pág. </w:t>
    </w:r>
    <w:r>
      <w:rPr>
        <w:rFonts w:ascii="Arial" w:cs="Arial" w:eastAsia="Arial" w:hAnsi="Arial"/>
        <w:color w:val="4A4A4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120" w:before="0"/>
      <w:jc w:val="right"/>
    </w:pPr>
    <w:r>
      <w:rPr>
        <w:rFonts w:ascii="Arial" w:cs="Arial" w:eastAsia="Arial" w:hAnsi="Arial"/>
        <w:b w:val="false"/>
        <w:bCs w:val="false"/>
        <w:i/>
        <w:iCs/>
        <w:color w:val="4A4A4A"/>
        <w:sz w:val="18"/>
        <w:szCs w:val="18"/>
      </w:rPr>
      <w:t xml:space="preserve">Análise Comparativa de IAs — Guia para Médicos Clínicos e Intensivistas | Brasil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2026-04-28T04:06:39.097Z</dcterms:created>
  <dcterms:modified xsi:type="dcterms:W3CDTF">2026-04-28T04:06:39.098Z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