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color w:val="1F4E79"/>
          <w:sz w:val="36"/>
          <w:szCs w:val="36"/>
        </w:rPr>
        <w:t xml:space="preserve">🧠⚡ ABORDAGEM DIAGNÓSTICA E TERAPÊUTICA DAS PARESTESIAS AGUDAS</w:t>
      </w:r>
    </w:p>
    <w:p>
      <w:pPr>
        <w:spacing w:after="120"/>
        <w:jc w:val="center"/>
      </w:pPr>
      <w:r>
        <w:rPr>
          <w:b/>
          <w:bCs/>
          <w:color w:val="2E75B6"/>
          <w:sz w:val="26"/>
          <w:szCs w:val="26"/>
        </w:rPr>
        <w:t xml:space="preserve">Síndrome de Guillain-Barré, Diagnósticos Diferenciais e Protocolo Completo de Manejo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Documento técnico-didático para o Plantonista de UTI / Clínica Médica</w:t>
      </w:r>
    </w:p>
    <w:p>
      <w:pPr>
        <w:spacing w:after="360"/>
        <w:jc w:val="center"/>
      </w:pPr>
      <w:r>
        <w:rPr>
          <w:color w:val="595959"/>
          <w:sz w:val="20"/>
          <w:szCs w:val="20"/>
        </w:rPr>
        <w:t xml:space="preserve">Dr. Aldenir Rocha — CRM-CE 16587 | RQE Clínica Médica 11846 | HRN / Santa Casa de Sobral</w:t>
      </w:r>
    </w:p>
    <w:p>
      <w:pPr>
        <w:pStyle w:val="Heading1"/>
        <w:spacing w:after="200" w:before="360"/>
      </w:pPr>
      <w:r>
        <w:t xml:space="preserve">📌 SUMÁRIO EXECUTIVO — O essencial em 60 segundos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Parestesia de instalação aguda/subaguda é um sinal de alarme neurológico. A prioridade do plantonista é (1) excluir causa medular/cerebral compressiva ou isquêmica, (2) reconhecer precocemente uma polirradiculoneurite aguda (Guillain-Barré e variantes) e (3) instituir suporte ventilatório e imunoterapia antes da insuficiência respiratória.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⏱️ Janela de ouro para imunoterapia (IGIV ou plasmaférese): primeiras 2 semanas do início dos sintomas.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🫁 30% dos pacientes com SGB necessitam de ventilação mecânica — indicação precoce de UTI.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🧪 Dissociação albumino-citológica no LCR aparece após 1ª semana (pode ser normal nos primeiros 7 dias).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🚫 Corticoide isoladamente NÃO é eficaz e NÃO deve ser usado em SGB clássica.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📊 Score de EGRIS prevê necessidade de VM em 7 dias; mEGOS prediz prognóstico funcional em 6 meses.</w:t>
      </w:r>
    </w:p>
    <w:p>
      <w:pPr>
        <w:pStyle w:val="Heading1"/>
        <w:spacing w:after="200" w:before="360"/>
      </w:pPr>
      <w:r>
        <w:t xml:space="preserve">1️⃣ FUNDAMENTOS — Definições e Anatomia Funcional</w:t>
      </w:r>
    </w:p>
    <w:p>
      <w:pPr>
        <w:pStyle w:val="Heading2"/>
        <w:spacing w:after="160" w:before="280"/>
      </w:pPr>
      <w:r>
        <w:t xml:space="preserve">1.1 Parestesia: o que é (e o que não é)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Parestesia é uma sensação anormal espontânea (formigamento, dormência, queimação, agulhada) sem estímulo aparente. É distinta de: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Disestesia: sensação anormal e desagradável a estímulo (ex.: roçar do lençol provoca dor).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Hipoestesia: redução da sensibilidade tátil/dolorosa.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Hiperestesia: aumento da sensibilidade a estímulos.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Alodinia: dor a estímulo normalmente não doloroso.</w:t>
      </w:r>
    </w:p>
    <w:p>
      <w:pPr>
        <w:pStyle w:val="Heading2"/>
        <w:spacing w:after="160" w:before="280"/>
      </w:pPr>
      <w:r>
        <w:t xml:space="preserve">1.2 Mapa anatômico do sintoma — onde está a lesão?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Topografia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Padrão clínico típico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Pistas diagnósticas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Cortical/subcortical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Hemiparestesia + déficit motor; afasia, negligência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AVC, tumor; imagem urgente (TC/RM)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Tronco encefálico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Síndromes alternas (face de um lado, corpo do outro)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Diplopia, vertigem, disartria, disfagia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Medular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Nível sensitivo, paraparesia, retenção urinária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Mielite, compressão extrínseca — RM emergencial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Raiz/plexo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Distribuição radicular, dor irradiada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Hérnia, infiltração neoplásica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Polirradicular (SGB)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Parestesia distal ascendente + fraqueza simétrica + arreflexia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LCR: dissociação A-C; ENMG: desmielinização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Polineuropatia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"Bota e luva", crônico, simétrico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DM, álcool, B12, urêmica, drogas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Mononeuropatia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Território de nervo único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Compressão (mediano, ulnar, fibular)</w:t>
            </w:r>
          </w:p>
        </w:tc>
      </w:tr>
    </w:tbl>
    <w:p>
      <w:pPr>
        <w:pStyle w:val="Heading1"/>
        <w:spacing w:after="200" w:before="360"/>
      </w:pPr>
      <w:r>
        <w:t xml:space="preserve">2️⃣ ABORDAGEM INICIAL DO PACIENTE COM PARESTESIA AGUDA</w:t>
      </w:r>
    </w:p>
    <w:p>
      <w:pPr>
        <w:pStyle w:val="Heading2"/>
        <w:spacing w:after="160" w:before="280"/>
      </w:pPr>
      <w:r>
        <w:t xml:space="preserve">2.1 ABCDE neurológico — checklist do plantonista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🩺 A — Avaliar via aérea: disfonia, disfagia, sialorreia (sinal de pares cranianos baixos comprometidos).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🫁 B — Respiração: FR, padrão paradoxal, uso de acessórios, capacidade vital (CV) à beira-leito.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❤️ C — Circulação: PA lábil, taquicardia, bradiarritmia (disautonomia em SGB).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🧠 D — Déficit neurológico: força (MRC 0–5), reflexos, sensibilidade, pares cranianos, marcha.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👁️ E — Exposição: pele (rash, herpes-zóster), picadas (carrapato → paralisia), lesões medulares.</w:t>
      </w:r>
    </w:p>
    <w:p>
      <w:pPr>
        <w:pStyle w:val="Heading2"/>
        <w:spacing w:after="160" w:before="280"/>
      </w:pPr>
      <w:r>
        <w:t xml:space="preserve">2.2 História clínica direcionada — perguntas que mudam a conduta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⏰ Tempo de evolução: minutos (vascular) | horas-dias (inflamatório, GBS) | semanas-meses (CIDP, metabólico).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🌍 Distribuição: ascendente simétrica (GBS) | descendente (botulismo, Miller-Fisher) | nível sensitivo (mielite).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🦠 Pródromo infeccioso 1–4 semanas antes: diarreia (Campylobacter jejuni), IVAS, CMV, EBV, Zika, dengue, COVID-19, vacinação recente.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💊 Medicações: amiodarona, fenitoína, isoniazida, vincristina, metronidazol, nitrofurantoína, estatinas.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🍷 Hábitos: etilismo crônico (B1, B12), vegetarianismo estrito (B12), bariátrica.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🩸 Comorbidades: DM, IRC, HIV, hepatite, neoplasia, doença autoimune, gestação.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☣️ Exposições: chumbo, arsênico, organofosforados, hexano (cola), tálio.</w:t>
      </w:r>
    </w:p>
    <w:p>
      <w:pPr>
        <w:pStyle w:val="Heading2"/>
        <w:spacing w:after="160" w:before="280"/>
      </w:pPr>
      <w:r>
        <w:t xml:space="preserve">2.3 Exame neurológico estruturado em 5 minutos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avaliar e por quê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Pares cranianos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Diplegia facial (SGB em 50%), oftalmoparesia (Miller-Fisher), reflexo de tosse e gag (risco de aspiração).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Força (MRC)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Graduar 0–5 em deltoide, bíceps, extensores de punho, ileopsoas, quadríceps, dorsiflexão. SGB: simétrico, ascendente, predomínio proximal possível.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Reflexos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Hiporreflexia/arreflexia precoce e GENERALIZADA é o achado-chave da SGB. Hiperreflexia + Babinski = lesão central (NÃO é SGB).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Sensibilidade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Tátil, dolorosa, vibratória, proprioceptiva. Buscar nível sensitivo (mielite). SGB tem queixa sensitiva &gt; déficit objetivo.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Coordenação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Ataxia desproporcional à fraqueza sugere Miller-Fisher (ataxia + oftalmoplegia + arreflexia).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Autonômico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PA lábil, arritmias, retenção/incontinência, íleo. Disautonomia em até 70% dos SGB e prediz mortalidade.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Respiratório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⚠️ Capacidade vital &lt; 20 mL/kg, PImáx &lt; -30 cmH₂O ou PEmáx &lt; +40 cmH₂O = Regra dos 20/30/40 → IOT iminente.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3️⃣ SÍNDROME DE GUILLAIN-BARRÉ — A PRINCIPAL CAUSA</w:t>
      </w:r>
    </w:p>
    <w:p>
      <w:pPr>
        <w:pStyle w:val="Heading2"/>
        <w:spacing w:after="160" w:before="280"/>
      </w:pPr>
      <w:r>
        <w:t xml:space="preserve">3.1 Conceito e epidemiologia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 Síndrome de Guillain-Barré (SGB) é uma polirradiculoneuropatia inflamatória aguda, imunomediada, caracterizada por fraqueza progressiva, arreflexia e dissociação albumino-citológica no LCR. Incidência: 1–2 casos/100.000 habitantes/ano. É a principal causa de paralisia flácida aguda no mundo após erradicação da poliomielite. Mortalidade: 3–10% (maior em idosos e em pacientes ventilados).</w:t>
      </w:r>
    </w:p>
    <w:p>
      <w:pPr>
        <w:pStyle w:val="Heading2"/>
        <w:spacing w:after="160" w:before="280"/>
      </w:pPr>
      <w:r>
        <w:t xml:space="preserve">3.2 Fisiopatologia — mimetismo molecular 🧬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Após uma infecção (mais comum: Campylobacter jejuni, CMV, EBV, Mycoplasma, Zika, SARS-CoV-2), anticorpos contra antígenos do patógeno reagem cruzadamente com gangliosídeos da bainha de mielina ou do axônio dos nervos periféricos: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Anti-GM1, anti-GD1a → forma axonal motora (AMAN), comum após Campylobacter.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Anti-GQ1b → variante Miller-Fisher (alta especificidade, ~85–90%).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Anti-GT1a → variante faríngo-cervico-braquial.</w:t>
      </w:r>
    </w:p>
    <w:p>
      <w:pPr>
        <w:pStyle w:val="Heading2"/>
        <w:spacing w:after="160" w:before="280"/>
      </w:pPr>
      <w:r>
        <w:t xml:space="preserve">3.3 Variantes clínicas — não é uma doença só!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Apresentação clínica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Marcador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AIDP (clássica)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Polirradiculoneurite desmielinizante, ascendente, simétrica. ~85–90% no Ocidente.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ENMG: desmielinização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AMAN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Axonal motora pura; pós-Campylobacter; comum na Ásia/América Latina; pode ter recuperação rápida ou prolongada.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Anti-GM1, GD1a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AMSAN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Axonal motora E sensitiva; forma grave, recuperação lenta.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Axonal grave em ENMG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Miller-Fisher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Tríade: oftalmoplegia + ataxia + arreflexia. Sem fraqueza apendicular significativa.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Anti-GQ1b (90%)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Bickerstaff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Encefalite de tronco: oftalmoplegia + ataxia + sonolência/coma. Sobreposição com MFS.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Anti-GQ1b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Faringo-cervico-braquial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Fraqueza orofaríngea, cervical e em MMSS, poupando MMII (mimetiza miastenia/botulismo).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Anti-GT1a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Pandisautonômica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Disautonomia pura, sem fraqueza significativa.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Raríssima</w:t>
            </w:r>
          </w:p>
        </w:tc>
      </w:tr>
    </w:tbl>
    <w:p>
      <w:pPr>
        <w:pStyle w:val="Heading2"/>
        <w:spacing w:after="160" w:before="280"/>
      </w:pPr>
      <w:r>
        <w:t xml:space="preserve">3.4 Critérios diagnósticos de Brighton (níveis 1–4)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Os critérios de Brighton (Sejvar et al., 2011) padronizam o diagnóstico, especialmente em vigilância pós-vacinal: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Fraqueza flácida bilateral dos membros (essencial).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Diminuição/ausência de reflexos profundos nos membros fracos (essencial).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Curso monofásico, com nadir entre 12 horas e 28 dias.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Dissociação albumino-citológica no LCR (proteína ↑ + células ≤ 50/mm³).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Achados eletrofisiológicos compatíveis.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Ausência de diagnóstico alternativo.</w:t>
      </w:r>
    </w:p>
    <w:p>
      <w:pPr>
        <w:spacing w:after="120" w:line="300"/>
        <w:jc w:val="both"/>
      </w:pPr>
      <w:r>
        <w:rPr>
          <w:i/>
          <w:iCs/>
          <w:sz w:val="22"/>
          <w:szCs w:val="22"/>
        </w:rPr>
        <w:t xml:space="preserve">🎯 Nível 1 = certeza máxima (todos critérios + LCR + ENMG); Nível 2 = LCR ou ENMG; Nível 3 = clínico apenas; Nível 4 = caso reportado mas insuficiente.</w:t>
      </w:r>
    </w:p>
    <w:p>
      <w:pPr>
        <w:pStyle w:val="Heading1"/>
        <w:spacing w:after="200" w:before="360"/>
      </w:pPr>
      <w:r>
        <w:t xml:space="preserve">4️⃣ LÍQUOR — O QUE BUSCAR E QUANDO PUNCIONAR</w:t>
      </w:r>
    </w:p>
    <w:p>
      <w:pPr>
        <w:pStyle w:val="Heading2"/>
        <w:spacing w:after="160" w:before="280"/>
      </w:pPr>
      <w:r>
        <w:t xml:space="preserve">4.1 Achado clássico: dissociação albumino-citológica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Aumento da proteína LCR (&gt; 45 mg/dL, frequentemente &gt; 100 mg/dL) com celularidade normal ou minimamente elevada (≤ 50 leucócitos/mm³, predomínio mononuclear).</w:t>
      </w:r>
    </w:p>
    <w:p>
      <w:pPr>
        <w:pStyle w:val="Heading2"/>
        <w:spacing w:after="160" w:before="280"/>
      </w:pPr>
      <w:r>
        <w:t xml:space="preserve">4.2 Tempo de aparecimento — armadilha clínica ⚠️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📅 1ª semana: proteína normal em até 50% dos casos → LCR NORMAL NÃO EXCLUI SGB!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📅 2ª semana: &gt; 75% têm proteína elevada.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📅 3ª semana: &gt; 90% positivos.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🔁 Se forte suspeita e LCR inicial normal, repita em 5–7 dias.</w:t>
      </w:r>
    </w:p>
    <w:p>
      <w:pPr>
        <w:pStyle w:val="Heading2"/>
        <w:spacing w:after="160" w:before="280"/>
      </w:pPr>
      <w:r>
        <w:t xml:space="preserve">4.3 Achados que DEVEM levantar suspeita de OUTRO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Achado no LCR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Pensar em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Pleocitose &gt; 50 céls (mononuclear)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HIV, Lyme, sarcoidose, linfoma, mielite, neuroborreliose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Sorologias, PCR vírus, citologia, biópsia se indicada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Pleocitose com PMN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Meningite bacteriana, fase precoce de mielite viral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ATB empírico imediato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Glicose baixa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Bacteriana, TB, fúngica, carcinomatose meníngea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Bacterioscopia, BAAR, tinta da China, citologia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Bandas oligoclonais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Esclerose múltipla, neuromielite óptica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RM com gadolínio, anti-AQP4, anti-MOG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Xantocromia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HSA, hemorragia subaracnóidea espinhal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Imagem urgente</w:t>
            </w:r>
          </w:p>
        </w:tc>
      </w:tr>
    </w:tbl>
    <w:p>
      <w:pPr>
        <w:pStyle w:val="Heading2"/>
        <w:spacing w:after="160" w:before="280"/>
      </w:pPr>
      <w:r>
        <w:t xml:space="preserve">4.4 Quando NÃO puncionar antes da imagem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Sinais focais neurológicos novos (exceto fraqueza simétrica de SGB).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Papiledema, rebaixamento do nível de consciência, crises convulsivas.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Imunossupressão grave com suspeita de massa.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Coagulopatia (INR &gt; 1,5, plaquetas &lt; 50.000) ou anticoagulação plena.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Suspeita de abscesso epidural ou lesão medular compressiva → RM PRIMEIRO.</w:t>
      </w:r>
    </w:p>
    <w:p>
      <w:pPr>
        <w:pStyle w:val="Heading1"/>
        <w:spacing w:after="200" w:before="360"/>
      </w:pPr>
      <w:r>
        <w:t xml:space="preserve">5️⃣ ELETRONEUROMIOGRAFIA (ENMG) — Confirmando o padrão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 ENMG confirma e classifica a SGB. Idealmente realizada após o 7º–10º dia (achados podem ser discretos na 1ª semana). Padrões característicos: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AIDP (desmielinizante): velocidade de condução reduzida, latências distais prolongadas, bloqueios de condução, dispersão temporal, latências de onda F ausentes/prolongadas.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AMAN (axonal motora): redução acentuada da amplitude do CMAP com velocidade preservada; sem alterações sensitivas.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AMSAN: redução de CMAP e SNAP, denervação ativa em EMG de agulha.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⏱️ Atenção: a ENMG normal nas primeiras 72h NÃO exclui SGB — repetir em 1–2 semanas se necessário.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6️⃣ DIAGNÓSTICOS DIFERENCIAIS — A grande tabela 🔍</w:t>
      </w:r>
    </w:p>
    <w:p>
      <w:pPr>
        <w:pStyle w:val="Heading2"/>
        <w:spacing w:after="160" w:before="280"/>
      </w:pPr>
      <w:r>
        <w:t xml:space="preserve">6.1 Causas neurológicas centrais (urgência máxima!)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Pistas clínicas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Exame definidor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AVC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Início súbito, déficit focal, assimétrico, fatores de risco vasculares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TC/RM crânio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Mielite transversa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Nível sensitivo, paraplegia, retenção urinária, dor dorsal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RM medula com Gd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Compressão medular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Câncer prévio, dor lombar/dorsal, nível sensitivo, esfíncteres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RM coluna URGENTE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Esclerose múltipla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Surtos prévios, neurite óptica, sinal de Lhermitte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RM + LCR (BOC)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Neuromielite óptica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Mielite extensa longitudinal + neurite óptica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Anti-AQP4, anti-MOG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HIV/Sífilis/Lyme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Subagudo, sintomas constitucionais, exposição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Sorologias, LCR</w:t>
            </w:r>
          </w:p>
        </w:tc>
      </w:tr>
    </w:tbl>
    <w:p>
      <w:pPr>
        <w:pStyle w:val="Heading2"/>
        <w:spacing w:after="160" w:before="280"/>
      </w:pPr>
      <w:r>
        <w:t xml:space="preserve">6.2 Causas neurológicas periféricas e da junção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Diferenciação clínica de SGB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Teste-chave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Miastenia gravis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Fatigabilidade, ptose, diplopia, sem queixa sensitiva, REFLEXOS PRESERVADOS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Anti-AChR, anti-MuSK; teste do gelo; eletro repetitiva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Botulismo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Paralisia DESCENDENTE, midríase fixa, sem febre, alimento contaminado, ferida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Toxina sérica/fezes; ENMG (incremento)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Paralisia por carrapato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Ascendente em 24–48h, criança, área endêmica; melhora súbita ao retirar o carrapato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Inspeção física meticulosa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Porfiria aguda intermitente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Dor abdominal, sintomas psiquiátricos, urina escurece à luz, neuropatia motora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PBG urinário, ALA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CIDP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"SGB de evolução crônica" (&gt; 8 sem); responde a corticoide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ENMG + LCR + curso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Neuropatia diabética aguda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DM mal controlado, dor neuropática, perda ponderal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HbA1c, glicemia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Polineuropatia do doente crítico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Pós-UTI prolongada, sepse, VM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ENMG (axonal), contexto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Vasculites (PAN, Churg-Strauss)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Mononeurite múltipla, sintomas sistêmicos, pele, asma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ANCA, biópsia de nervo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Poliomielite/AFM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Assimétrica, febre, sem queixa sensitiva, LCR pleocitótico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PCR enterovírus, RM medula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Difteria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Pseudomembrana, paralisia palatal, em 1–8 sem após faringite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Cultura, vacinação ausente</w:t>
            </w:r>
          </w:p>
        </w:tc>
      </w:tr>
    </w:tbl>
    <w:p>
      <w:pPr>
        <w:pStyle w:val="Heading2"/>
        <w:spacing w:after="160" w:before="280"/>
      </w:pPr>
      <w:r>
        <w:t xml:space="preserve">6.3 Causas tóxico-metabólicas e sistêmicas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Pista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Hipocalemia / Hipercalemia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Fraqueza muscular flácida, arreflexia possível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Eletrólitos, ECG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Hipofosfatemia grave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Pós-realimentação, etilismo, sepse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Fósforo sérico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Deficiência de B1 (Wernicke)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Etilismo, gestação, bariátrica, ataxia, oftalmoplegia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Tiamina sérica; resposta empírica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Deficiência de B12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Mielose funicular, anemia macrocítica, alterações cognitivas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B12, homocisteína, ácido metilmalônico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Intoxicação por metais (chumbo, arsênico, tálio)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Exposição ocupacional, alopecia (tálio), linhas de Mees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Dosagem sérica/urinária, cabelo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Organofosforados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Síndrome colinérgica aguda → polineuropatia tardia (1–3 sem)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Colinesterase eritrocitária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Quimioterapia (vincristina, platina, taxano)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Início após ciclos, dose-dependente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História, padrão sensitivo predominante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7️⃣ PROTOCOLO COMPLETO DE CONDUÇÃO E MANEJO 🚑</w:t>
      </w:r>
    </w:p>
    <w:p>
      <w:pPr>
        <w:pStyle w:val="Heading2"/>
        <w:spacing w:after="160" w:before="280"/>
      </w:pPr>
      <w:r>
        <w:t xml:space="preserve">7.1 FASE 1 — Triagem (sala de emergência, 0–60 min)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Avaliação ABCDE; oximetria contínua, monitor cardíaco, acesso venoso periférico calibroso.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Glicemia capilar, gasometria arterial, eletrólitos (Na, K, Mg, Ca, P), função renal/hepática, hemograma, PCR, TSH, B12.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ECG de 12 derivações (disritmias por disautonomia; T apiculada/U por K alterado).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Capacidade vital à beira-leito (espirometria simples) — repetir a cada 2–4h.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Avaliação da deglutição antes de oferecer dieta/medicação VO.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História com foco em pródromo infeccioso, vacinação recente, drogas, exposições.</w:t>
      </w:r>
    </w:p>
    <w:p>
      <w:pPr>
        <w:pStyle w:val="Heading2"/>
        <w:spacing w:after="160" w:before="280"/>
      </w:pPr>
      <w:r>
        <w:t xml:space="preserve">7.2 FASE 2 — Diagnóstico (primeiras 6–24 h)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Imagem: RM de coluna (cervical/torácica/lombar) com gadolínio se houver nível sensitivo, sintomas esfincterianos ou suspeita de mielopatia. RM crânio se sintomas centrais.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Punção lombar após excluir HIC e coagulopatia: contagem celular + diferencial, proteína, glicose, lactato, cultura, PCR vírus se indicado, BOC, citologia.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ENMG: idealmente entre o 7º e 14º dia (não atrasa o tratamento se clínica é típica).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Sorologias direcionadas: HIV, sífilis (VDRL), hepatites, Lyme (em áreas endêmicas), CMV, EBV, Mycoplasma, Campylobacter (cultura de fezes ou sorologia), Zika/dengue/chikungunya em surto.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Anticorpos antigangliosídeos (anti-GM1, GD1a, GQ1b) — úteis em variantes; não atrasar tratamento.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Considerar: TSH, FAN, ANCA, eletroforese de proteínas se quadro atípico ou crônico.</w:t>
      </w:r>
    </w:p>
    <w:p>
      <w:pPr>
        <w:pStyle w:val="Heading2"/>
        <w:spacing w:after="160" w:before="280"/>
      </w:pPr>
      <w:r>
        <w:t xml:space="preserve">7.3 FASE 3 — Indicação de UTI 🏥</w:t>
      </w:r>
    </w:p>
    <w:p>
      <w:pPr>
        <w:spacing w:after="120" w:line="300"/>
        <w:jc w:val="both"/>
      </w:pPr>
      <w:r>
        <w:rPr>
          <w:b/>
          <w:bCs/>
          <w:sz w:val="22"/>
          <w:szCs w:val="22"/>
        </w:rPr>
        <w:t xml:space="preserve">Critérios para internação em UTI (qualquer um):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Capacidade vital &lt; 20 mL/kg ou queda &gt; 30% em 24h.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PImáx &lt; -30 cmH₂O ou PEmáx &lt; +40 cmH₂O (Regra 20/30/40).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Disfagia, sialorreia, voz nasalada, tosse fraca.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Disautonomia: arritmias, PA lábil (&gt;30 mmHg variação), bradicardia &lt;40 ou taquicardia &gt;120 sustentadas.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Progressão rápida (&lt; 7 dias do início ao nadir motor).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Score EGRIS ≥ 5 (alto risco de VM).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Comprometimento bulbar, atelectasia, pneumonia aspirativa.</w:t>
      </w:r>
    </w:p>
    <w:p>
      <w:pPr>
        <w:pStyle w:val="Heading3"/>
        <w:spacing w:after="120" w:before="200"/>
      </w:pPr>
      <w:r>
        <w:t xml:space="preserve">Score EGRIS (Erasmus GBS Respiratory Insufficiency Score)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Dias entre início da fraqueza e admissão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&gt; 7 dias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4–7 dias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≤ 3 dias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Fraqueza facial e/ou bulbar à admissão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Ausente / Presente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0 / 1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Soma do MRC (6 grupos musculares; máx 60)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≥ 51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41–50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31–40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21–30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≤ 20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Total: 0–7. Risco de VM em 7 dias: 0–2 pts → 4%; 3–4 → 24%; 5–7 → 65%.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7.4 FASE 4 — Imunoterapia específica 💉</w:t>
      </w:r>
    </w:p>
    <w:p>
      <w:pPr>
        <w:pStyle w:val="Heading3"/>
        <w:spacing w:after="120" w:before="200"/>
      </w:pPr>
      <w:r>
        <w:t xml:space="preserve">Indicação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Pacientes que não conseguem caminhar 10 metros sem auxílio (Grau ≥ 3 da escala Hughes).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Pacientes com progressão rápida da fraqueza, mesmo deambulando.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Comprometimento bulbar ou autonômico significativo.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⏰ Janela de eficácia: idealmente nas primeiras 2 semanas; pode ser oferecida até 4 semanas se ainda em progressão.</w:t>
      </w:r>
    </w:p>
    <w:p>
      <w:pPr>
        <w:pStyle w:val="Heading3"/>
        <w:spacing w:after="120" w:before="200"/>
      </w:pPr>
      <w:r>
        <w:t xml:space="preserve">Imunoglobulina Intravenosa (IGIV) — primeira escolha na maioria dos serviços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Dose: 0,4 g/kg/dia por 5 dias (total 2 g/kg) OU 1 g/kg/dia por 2 dias.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Vantagens: ampla disponibilidade, fácil administração, sem necessidade de acesso central.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Cuidados: </w:t>
      </w:r>
      <w:r>
        <w:rPr>
          <w:sz w:val="22"/>
          <w:szCs w:val="22"/>
        </w:rPr>
        <w:t xml:space="preserve">hidratar bem (risco de IRA), velocidade de infusão lenta no início, vigiar reações (cefaleia, meningite asséptica, eventos tromboembólicos, hemólise em pacientes não-O), checar IgA sérica antes (deficiência → anafilaxia).</w:t>
      </w:r>
    </w:p>
    <w:p>
      <w:pPr>
        <w:pStyle w:val="Heading3"/>
        <w:spacing w:after="120" w:before="200"/>
      </w:pPr>
      <w:r>
        <w:t xml:space="preserve">Plasmaférese (PLEX) — equivalente em eficácia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Esquema: 5 sessões em dias alternados; troca de 200–250 mL/kg total (≈ 1–1,5 volemia plasmática por sessão).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Indicações preferenciais: gestantes, contraindicação à IGIV, pacientes muito graves desde a admissão.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Cuidados: necessita acesso venoso central; risco de hipotensão, hipocalcemia, infecção, sangramento.</w:t>
      </w:r>
    </w:p>
    <w:p>
      <w:pPr>
        <w:pStyle w:val="Heading3"/>
        <w:spacing w:after="120" w:before="200"/>
      </w:pPr>
      <w:r>
        <w:t xml:space="preserve">Combinação ou retratamento — evidência fraca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NÃO há benefício comprovado em combinar IGIV + PLEX rotineiramente.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Considerar segundo curso de IGIV em pacientes com deterioração após resposta inicial (treatment-related fluctuation).</w:t>
      </w:r>
    </w:p>
    <w:p>
      <w:pPr>
        <w:pStyle w:val="Heading3"/>
        <w:spacing w:after="120" w:before="200"/>
      </w:pPr>
      <w:r>
        <w:t xml:space="preserve">⛔ O que NÃO fazer em SGB clássica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C00000"/>
          <w:sz w:val="22"/>
          <w:szCs w:val="22"/>
        </w:rPr>
        <w:t xml:space="preserve">NÃO usar corticoide isolado</w:t>
      </w:r>
      <w:r>
        <w:rPr>
          <w:sz w:val="22"/>
          <w:szCs w:val="22"/>
        </w:rPr>
        <w:t xml:space="preserve"> (Cochrane: sem benefício, possível atraso na recuperação).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NÃO atrasar imunoterapia esperando confirmação por LCR ou ENMG se quadro clínico é compatível.</w:t>
      </w:r>
    </w:p>
    <w:p>
      <w:pPr>
        <w:pStyle w:val="Heading2"/>
        <w:spacing w:after="160" w:before="280"/>
      </w:pPr>
      <w:r>
        <w:t xml:space="preserve">7.5 FASE 5 — Suporte clínico intensivo 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Respiratório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CV a cada 2–4h. IOT eletiva se CV &lt; 15 mL/kg, PImáx &gt;-30, queda rápida ou disfunção bulbar. Considerar traqueostomia precoce (10–14 dias) se previsão de VM prolongada.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Cardiovascular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Monitor contínuo. Tratar bradiarritmia sintomática (atropina, marca-passo transcutâneo). Cuidado com vagotonia em aspiração traqueal e manobras (Valsalva). HAS grave: drogas de meia-vida curta (esmolol, nitroprussiato).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Trombose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Profilaxia obrigatória: enoxaparina 40 mg SC 1x/dia (ou HNF 5.000 UI 8/8h), meias compressivas, compressão pneumática. Manter até deambulação plena.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Nutrição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Avaliar deglutição. Se disfagia: SNE precoce (24–48h). Risco de íleo paralítico — monitorar resíduo gástrico, eubióticos, pró-cinéticos.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Pele e posicionamento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Mudança de decúbito 2/2h, colchão de pressão, prevenção de úlceras, contraturas (talas, fisioterapia motora precoce passiva).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Dor neuropática em até 89%. Primeira linha: gabapentina 300–1200 mg/dia ou pregabalina 75–300 mg/dia. Segunda linha: amitriptilina, carbamazepina. Opioides com cautela.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Bexiga/intestino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Sondagem vesical se retenção; programa intestinal (laxativos osmóticos, supositórios) para evitar fecaloma.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Saúde mental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Comunicação alternativa em IOT, suporte psicológico, prevenção/tratamento de delirium e depressão.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Reabilitação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Fisioterapia motora e respiratória precoces; fonoaudiologia (deglutição/fala); terapia ocupacional. Programa estruturado de reabilitação por 6–12 meses.</w:t>
            </w:r>
          </w:p>
        </w:tc>
      </w:tr>
    </w:tbl>
    <w:p>
      <w:pPr>
        <w:pStyle w:val="Heading2"/>
        <w:spacing w:after="160" w:before="280"/>
      </w:pPr>
      <w:r>
        <w:t xml:space="preserve">7.6 Score mEGOS — Prognóstico funcional aos 6 meses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Modified Erasmus GBS Outcome Score, calculado entre o 7º e 14º dia: idade, presença de pródromo de diarreia (Campylobacter) e MRC sum score. Pontuação 0–12 — quanto maior, menor a probabilidade de marcha independente em 6 meses (mEGOS ≥ 7 → prognóstico reservado).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8️⃣ ALGORITMO RESUMIDO — Bedside Cheat Sheet 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🚨 PARESTESIA AGUDA — FLUXO RÁPIDO 🚨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PASSO 1 — É emergência?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Sintomas focais súbitos? Pense AVC. Ativar protocolo.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Nível sensitivo, retenção urinária, dor dorsal? Pense compressão medular/mielite. RM URGENTE.</w:t>
            </w:r>
          </w:p>
          <w:p>
            <w:pPr>
              <w:spacing w:after="120"/>
            </w:pPr>
            <w:r>
              <w:rPr>
                <w:sz w:val="22"/>
                <w:szCs w:val="22"/>
              </w:rPr>
              <w:t xml:space="preserve">→ Disfagia, dispneia, fraqueza progressiva? Vá para passo 2.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PASSO 2 — Padrão de SGB?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Fraqueza ascendente simétrica + arreflexia + parestesia distal + pródromo infeccioso 1–4 semanas → ALTA suspeita.</w:t>
            </w:r>
          </w:p>
          <w:p>
            <w:pPr>
              <w:spacing w:after="120"/>
            </w:pPr>
            <w:r>
              <w:rPr>
                <w:sz w:val="22"/>
                <w:szCs w:val="22"/>
              </w:rPr>
              <w:t xml:space="preserve">→ Internar, monitorar CV/2-4h, ECG contínuo.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PASSO 3 — Confirmar diagnóstico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Punção lombar (dissociação A-C); RM de coluna se atípico; ENMG após 7º dia.</w:t>
            </w:r>
          </w:p>
          <w:p>
            <w:pPr>
              <w:spacing w:after="120"/>
            </w:pPr>
            <w:r>
              <w:rPr>
                <w:sz w:val="22"/>
                <w:szCs w:val="22"/>
              </w:rPr>
              <w:t xml:space="preserve">→ Sorologias, anticorpos antigangliosídeos, eletrólitos completos.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PASSO 4 — Tratar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IGIV 0,4 g/kg/dia × 5 dias OU plasmaférese × 5 sessões alternadas.</w:t>
            </w:r>
          </w:p>
          <w:p>
            <w:pPr>
              <w:spacing w:after="1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→ NÃO usar corticoide isolado.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PASSO 5 — Estratificar e prevenir complicações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EGRIS para risco de VM; UTI se ≥ 5 ou critérios respiratórios/autonômicos.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→ Profilaxia de TEV, nutrição, dor neuropática, reabilitação precoce.</w:t>
            </w:r>
          </w:p>
        </w:tc>
      </w:tr>
    </w:tbl>
    <w:p>
      <w:pPr>
        <w:pStyle w:val="Heading1"/>
        <w:spacing w:after="200" w:before="360"/>
      </w:pPr>
      <w:r>
        <w:t xml:space="preserve">9️⃣ NERD FACTS — Curiosidades científicas 🤓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🦠 Campylobacter jejuni é o pródromo mais associado: até 30% dos casos têm sorologia positiva, e o lipopolissacarídeo da bactéria mimetiza estruturalmente o gangliosídeo GM1 dos nervos.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🧬 O nome "Guillain-Barré" homenageia Georges Guillain, Jean-Alexandre Barré e André Strohl (este último, frequentemente omitido injustamente!), que descreveram a síndrome em 1916 em soldados franceses na 1ª Guerra Mundial.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🦟 O surto de Zika em 2015–2016 nas Américas (incluindo Brasil/Nordeste) elevou a incidência de SGB em até 9 vezes em algumas regiões — Sobral foi área de circulação ativa.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💉 Vacinas: o risco de SGB pós-vacinal existe mas é EXTREMAMENTE baixo (~1 caso adicional/milhão de doses para influenza), muito menor que o risco da própria infecção.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🐾 Em Miller-Fisher, o anti-GQ1b se concentra nos nervos oculomotores e fusos musculares — explicando elegantemente a tríade clínica.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📈 A escala de Hughes (0 = saudável; 6 = morto) é a métrica funcional mais usada em estudos clínicos de SGB desde 1978.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🔄 Treatment-related fluctuation (TRF): 5–10% dos pacientes pioram após melhora inicial pós-IGIV/PLEX e podem se beneficiar de retratamento — diferenciar de CIDP de início agudo (A-CIDP).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🧪 Beta-2-microglobulina e neurofilamento de cadeia leve (NfL) no LCR estão emergindo como biomarcadores prognósticos.</w:t>
      </w:r>
    </w:p>
    <w:p>
      <w:pPr>
        <w:pStyle w:val="Heading1"/>
        <w:spacing w:after="200" w:before="360"/>
      </w:pPr>
      <w:r>
        <w:t xml:space="preserve">🔟 SUGESTÕES DE APROFUNDAMENTO E PRÓXIMOS PASSOS 📚</w:t>
      </w:r>
    </w:p>
    <w:p>
      <w:pPr>
        <w:pStyle w:val="Heading2"/>
        <w:spacing w:after="160" w:before="280"/>
      </w:pPr>
      <w:r>
        <w:t xml:space="preserve">📖 Leituras essenciais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Leonhard SE et al. Diagnosis and management of Guillain-Barré syndrome in ten steps. Nat Rev Neurol. 2019;15(11):671-683. — Roteiro mais didático e atual.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Willison HJ, Jacobs BC, van Doorn PA. Guillain-Barré syndrome. Lancet. 2016;388(10045):717-727. — Revisão clássica de leitura obrigatória.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Sejvar JJ et al. Guillain-Barré syndrome and Fisher syndrome: case definitions and guidelines for collection, analysis, and presentation of immunization safety data. Vaccine. 2011 — Critérios de Brighton.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Hughes RA, van Doorn PA. Corticosteroids for Guillain-Barré syndrome. Cochrane Database Syst Rev. — Por que NÃO usar corticoide.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Diretrizes AMIB de neurointensivismo e Surviving Sepsis Campaign para suporte associado.</w:t>
      </w:r>
    </w:p>
    <w:p>
      <w:pPr>
        <w:pStyle w:val="Heading2"/>
        <w:spacing w:after="160" w:before="280"/>
      </w:pPr>
      <w:r>
        <w:t xml:space="preserve">🖼️ Imagens / esquemas que posso elaborar para você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📊 Infográfico-pôster A4 sobre o algoritmo bedside (ideal para imprimir e levar no plantão).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🧠 Fluxograma colorido de diagnóstico diferencial das paralisias flácidas agudas.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📈 Gráfico da evolução temporal: clínica × LCR × ENMG (eixo dos dias).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🧬 Esquema da fisiopatologia (mimetismo molecular Campylobacter–gangliosídeo).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📋 Tabela-resumo plastificável da Regra 20/30/40 + EGRIS para a UTI.</w:t>
      </w:r>
    </w:p>
    <w:p>
      <w:pPr>
        <w:pStyle w:val="Heading2"/>
        <w:spacing w:after="160" w:before="280"/>
      </w:pPr>
      <w:r>
        <w:t xml:space="preserve">🚀 Análises adicionais que posso preparar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Caso clínico simulado estilo TEMI/AMIB com discussão guiada (modo BOSS ICU do PASSA-TEMPO TEMI).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Comparativo IGIV × Plasmaférese: custo, eficácia, perfil de eventos adversos, logística no SUS/Sobral.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Banco de flashcards (modo FLASHCARD do Código R3) sobre SGB e variantes.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Prescrição modelo de UTI para paciente com SGB grave (com doses, vias, monitorização).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Checklist de evolução diária — força MRC, CV, sinais autonômicos, eventos adversos do tratamento.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Revisão das atualizações 2023–2025 (IGSC subcutânea, eculizumabe em estudos, tendências futuras).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Versão PowerPoint para aula em residência médica/internato.</w:t>
      </w:r>
    </w:p>
    <w:p>
      <w:pPr>
        <w:pStyle w:val="Heading2"/>
        <w:spacing w:after="160" w:before="280"/>
      </w:pPr>
      <w:r>
        <w:t xml:space="preserve">🔬 Para a prova TEMI / título de Intensivista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Diferenciar SGB de polineuropatia do doente crítico (ICUAW) — questão recorrente.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Indicações precisas de IOT em SGB (Regra 20/30/40 + bulbar + autonômico).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Disautonomia: reconhecimento e manejo da labilidade pressórica e arritmias.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Prevenção de TEV em paciente plégico — esquema, contraindicações.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Quando suspeitar de variantes (Miller-Fisher, Bickerstaff) e o que muda na conduta.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Indicações de retratamento e definição de TRF × A-CIDP.</w:t>
      </w:r>
    </w:p>
    <w:p>
      <w:pPr>
        <w:pBdr>
          <w:top w:val="single" w:color="1F4E79" w:sz="6" w:space="8"/>
        </w:pBdr>
        <w:spacing w:after="0" w:before="400"/>
      </w:pPr>
      <w:r>
        <w:rPr>
          <w:i/>
          <w:iCs/>
          <w:color w:val="595959"/>
          <w:sz w:val="18"/>
          <w:szCs w:val="18"/>
        </w:rPr>
        <w:t xml:space="preserve">⚖️ Documento técnico-didático elaborado a partir de literatura médica consagrada (Lancet, Nat Rev Neurol, Cochrane, AMIB, Brighton Collaboration). Não substitui o julgamento clínico individualizado nem protocolos institucionais do HRN ou Santa Casa de Sobral. Sempre confirmar doses e contraindicações no momento da prescrição.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Parestesias &amp; SGB — Dr. Aldenir Rocha (CRM-CE 16587)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Abordagem das Parestesias Agudas e Síndrome de Guillain-Barré</dc:title>
  <dc:creator>Dr. Aldenir Rocha</dc:creator>
  <dc:description>Documento técnico para Clínica Médica e Medicina Intensiva</dc:description>
  <cp:lastModifiedBy>Un-named</cp:lastModifiedBy>
  <cp:revision>1</cp:revision>
  <dcterms:created xsi:type="dcterms:W3CDTF">2026-04-29T11:10:37.337Z</dcterms:created>
  <dcterms:modified xsi:type="dcterms:W3CDTF">2026-04-29T11:10:37.339Z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