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595959"/>
          <w:sz w:val="28"/>
          <w:szCs w:val="28"/>
        </w:rPr>
        <w:t xml:space="preserve">PROTOCOLO INSTITUCIONAL</w:t>
      </w:r>
    </w:p>
    <w:p>
      <w:pPr>
        <w:spacing w:after="120" w:before="120"/>
        <w:jc w:val="center"/>
      </w:pPr>
      <w:r>
        <w:rPr>
          <w:b/>
          <w:bCs/>
          <w:color w:val="8B0000"/>
          <w:sz w:val="36"/>
          <w:szCs w:val="36"/>
        </w:rPr>
        <w:t xml:space="preserve">MANEJO DE EMERGÊNCIA DO PACIENTE</w:t>
      </w:r>
    </w:p>
    <w:p>
      <w:pPr>
        <w:spacing w:after="60" w:before="60"/>
        <w:jc w:val="center"/>
      </w:pPr>
      <w:r>
        <w:rPr>
          <w:b/>
          <w:bCs/>
          <w:color w:val="8B0000"/>
          <w:sz w:val="36"/>
          <w:szCs w:val="36"/>
        </w:rPr>
        <w:t xml:space="preserve">RENAL CRÔNICO DIALÍTICO COM</w:t>
      </w:r>
    </w:p>
    <w:p>
      <w:pPr>
        <w:spacing w:after="240" w:before="60"/>
        <w:jc w:val="center"/>
      </w:pPr>
      <w:r>
        <w:rPr>
          <w:b/>
          <w:bCs/>
          <w:color w:val="8B0000"/>
          <w:sz w:val="36"/>
          <w:szCs w:val="36"/>
        </w:rPr>
        <w:t xml:space="preserve">FALÊNCIA VASCULAR COMPLETA</w:t>
      </w:r>
    </w:p>
    <w:p>
      <w:pPr>
        <w:spacing w:after="360" w:before="240"/>
        <w:jc w:val="center"/>
      </w:pPr>
      <w:r>
        <w:rPr>
          <w:i/>
          <w:iCs/>
          <w:color w:val="1F4E79"/>
          <w:sz w:val="26"/>
          <w:szCs w:val="26"/>
        </w:rPr>
        <w:t xml:space="preserve">Estratégia de Ponte (Bridging) e Acessos de Último Recurso</w:t>
      </w:r>
    </w:p>
    <w:p>
      <w:pPr>
        <w:spacing w:after="120" w:before="240"/>
        <w:jc w:val="center"/>
      </w:pPr>
      <w:r>
        <w:rPr>
          <w:i/>
          <w:iCs/>
          <w:sz w:val="22"/>
          <w:szCs w:val="22"/>
        </w:rPr>
        <w:t xml:space="preserve">Documento técnico-científico para uso em UTI e emergência</w:t>
      </w:r>
    </w:p>
    <w:p>
      <w:pPr>
        <w:spacing w:after="120" w:before="120"/>
        <w:jc w:val="center"/>
      </w:pPr>
      <w:r>
        <w:rPr>
          <w:i/>
          <w:iCs/>
          <w:sz w:val="22"/>
          <w:szCs w:val="22"/>
        </w:rPr>
        <w:t xml:space="preserve">em ambientes com recursos limitados</w:t>
      </w:r>
    </w:p>
    <w:p>
      <w:pP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Elaborado para:</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Dr. Aldenir Rocha — CRM 16.587 / RQE Clínica Médica 11.846</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Instituições:</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Hospital Regional Norte e Santa Casa de Misericórdia de Sobral / CE</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Aplicação clínica:</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UTI / Enfermaria de Medicina Interna / Emergência</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Nível de evidência:</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Diretrizes KDOQI 2019, KDIGO, SBN, SBACV 2023, ERA-EDTA, AMIB, Surviving Sepsis</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Versão / Data:</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v1.0 — Abril de 2026</w:t>
            </w:r>
          </w:p>
        </w:tc>
      </w:tr>
    </w:tbl>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Aviso Médico-Legal e Aplicabilidade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8"/>
              <w:left w:val="single" w:color="C00000" w:sz="18"/>
              <w:bottom w:val="single" w:color="C00000" w:sz="18"/>
              <w:right w:val="single" w:color="C00000" w:sz="18"/>
            </w:tcBorders>
            <w:shd w:fill="FFE6E6" w:val="clear"/>
            <w:tcMar>
              <w:top w:type="dxa" w:w="160"/>
              <w:left w:type="dxa" w:w="200"/>
              <w:bottom w:type="dxa" w:w="160"/>
              <w:right w:type="dxa" w:w="200"/>
            </w:tcMar>
          </w:tcPr>
          <w:p>
            <w:pPr>
              <w:spacing w:after="80"/>
            </w:pPr>
            <w:r>
              <w:rPr>
                <w:b/>
                <w:bCs/>
                <w:color w:val="C00000"/>
                <w:sz w:val="24"/>
                <w:szCs w:val="24"/>
              </w:rPr>
              <w:t xml:space="preserve">ATENÇÃO — DOCUMENTO DE APOIO À DECISÃO CLÍNICA</w:t>
            </w:r>
          </w:p>
          <w:p>
            <w:pPr>
              <w:spacing w:after="40" w:before="40"/>
              <w:jc w:val="both"/>
            </w:pPr>
            <w:r>
              <w:rPr>
                <w:sz w:val="22"/>
                <w:szCs w:val="22"/>
              </w:rPr>
              <w:t xml:space="preserve">Este protocolo é um instrumento de apoio à decisão clínica e NÃO substitui o julgamento médico individualizado nem a responsabilidade do médico assistente. Procedimentos descritos como acessos de último recurso (translombar, transhepático, axilo-axilar, enxerto átrio direito, HeRO graft) exigem operadores experientes, equipe de imagem (radioscopia / TC / USG) e suporte cirúrgico-vascular ou de radiologia intervencionista.</w:t>
            </w:r>
          </w:p>
          <w:p>
            <w:pPr>
              <w:spacing w:after="40" w:before="40"/>
              <w:jc w:val="both"/>
            </w:pPr>
            <w:r>
              <w:rPr>
                <w:sz w:val="22"/>
                <w:szCs w:val="22"/>
              </w:rPr>
              <w:t xml:space="preserve">Em ambientes de recurso limitado, a missão prioritária é GANHAR TEMPO com segurança máxima até a transferência para centro com radiologia intervencionista vascular. Toda decisão deve ser registrada em prontuário, com termo de consentimento informado quando viável e comunicação com a família.</w:t>
            </w:r>
          </w:p>
        </w:tc>
      </w:tr>
    </w:tbl>
    <w:p>
      <w:pPr>
        <w:spacing w:after="120" w:before="0"/>
      </w:pPr>
    </w:p>
    <w:p>
      <w:pPr>
        <w:pStyle w:val="Heading1"/>
        <w:pBdr>
          <w:bottom w:val="single" w:color="8B0000" w:sz="12" w:space="4"/>
        </w:pBdr>
        <w:spacing w:after="180" w:before="360"/>
      </w:pPr>
      <w:r>
        <w:rPr>
          <w:rFonts w:ascii="Arial" w:cs="Arial" w:eastAsia="Arial" w:hAnsi="Arial"/>
          <w:b/>
          <w:bCs/>
          <w:color w:val="8B0000"/>
          <w:sz w:val="32"/>
          <w:szCs w:val="32"/>
        </w:rPr>
        <w:t xml:space="preserve">1. Sumário Executivo</w:t>
      </w:r>
    </w:p>
    <w:p>
      <w:pPr>
        <w:spacing w:after="60" w:before="60" w:line="300"/>
        <w:jc w:val="both"/>
      </w:pPr>
      <w:r>
        <w:rPr>
          <w:sz w:val="22"/>
          <w:szCs w:val="22"/>
        </w:rPr>
        <w:t xml:space="preserve">O paciente em programa de hemodiálise crônica que evolui com falência vascular completa — esgotamento de fístulas arteriovenosas (FAV), enxertos (PTFE) e exaustão dos territórios venosos centrais (jugulares, subclávias e femorais bilaterais) — sem disponibilidade local de cirurgião vascular, radiologista intervencionista ou cateter de Tenckhoff para diálise peritoneal (DP) representa uma das emergências nefrológicas mais letais. Sem terapia substitutiva renal (TRS), a sobrevida é tipicamente medida em horas a poucos dias, ditada pela velocidade de instalação de hipercalemia, acidose metabólica grave, congestão pulmonar e síndrome urêmica.</w:t>
      </w:r>
    </w:p>
    <w:p>
      <w:pPr>
        <w:spacing w:after="60" w:before="60" w:line="300"/>
        <w:jc w:val="both"/>
      </w:pPr>
      <w:r>
        <w:rPr>
          <w:sz w:val="22"/>
          <w:szCs w:val="22"/>
        </w:rPr>
        <w:t xml:space="preserve">Este protocolo organiza, em uma sequência operacional e baseada nas melhores evidências disponíveis (KDOQI 2019, KDIGO, SBN, SBACV 2023, e revisões sistemáticas em Kidney International, J Vasc Access e AJKD Core Curriculum 2025), as condutas necessárias para:</w:t>
      </w:r>
    </w:p>
    <w:p>
      <w:pPr>
        <w:pStyle w:val="ListParagraph"/>
        <w:numPr>
          <w:ilvl w:val="0"/>
          <w:numId w:val="2"/>
        </w:numPr>
        <w:spacing w:after="40" w:before="40" w:line="280"/>
      </w:pPr>
      <w:r>
        <w:rPr>
          <w:sz w:val="22"/>
          <w:szCs w:val="22"/>
        </w:rPr>
        <w:t xml:space="preserve">Estabilizar imediatamente as ameaças à vida (hipercalemia, hipervolemia, acidose, uremia).</w:t>
      </w:r>
    </w:p>
    <w:p>
      <w:pPr>
        <w:pStyle w:val="ListParagraph"/>
        <w:numPr>
          <w:ilvl w:val="0"/>
          <w:numId w:val="2"/>
        </w:numPr>
        <w:spacing w:after="40" w:before="40" w:line="280"/>
      </w:pPr>
      <w:r>
        <w:rPr>
          <w:sz w:val="22"/>
          <w:szCs w:val="22"/>
        </w:rPr>
        <w:t xml:space="preserve">Maximizar o intervalo seguro até a próxima sessão dialítica por meios farmacológicos e mecânicos não dialíticos.</w:t>
      </w:r>
    </w:p>
    <w:p>
      <w:pPr>
        <w:pStyle w:val="ListParagraph"/>
        <w:numPr>
          <w:ilvl w:val="0"/>
          <w:numId w:val="2"/>
        </w:numPr>
        <w:spacing w:after="40" w:before="40" w:line="280"/>
      </w:pPr>
      <w:r>
        <w:rPr>
          <w:sz w:val="22"/>
          <w:szCs w:val="22"/>
        </w:rPr>
        <w:t xml:space="preserve">Recuperar acessos previamente abandonados quando tecnicamente viável.</w:t>
      </w:r>
    </w:p>
    <w:p>
      <w:pPr>
        <w:pStyle w:val="ListParagraph"/>
        <w:numPr>
          <w:ilvl w:val="0"/>
          <w:numId w:val="2"/>
        </w:numPr>
        <w:spacing w:after="40" w:before="40" w:line="280"/>
      </w:pPr>
      <w:r>
        <w:rPr>
          <w:sz w:val="22"/>
          <w:szCs w:val="22"/>
        </w:rPr>
        <w:t xml:space="preserve">Implementar acessos não convencionais e de último recurso (translombar, transhepático, transrenal, intra-atrial direto, axilo-axilar, HeRO).</w:t>
      </w:r>
    </w:p>
    <w:p>
      <w:pPr>
        <w:pStyle w:val="ListParagraph"/>
        <w:numPr>
          <w:ilvl w:val="0"/>
          <w:numId w:val="2"/>
        </w:numPr>
        <w:spacing w:after="40" w:before="40" w:line="280"/>
      </w:pPr>
      <w:r>
        <w:rPr>
          <w:sz w:val="22"/>
          <w:szCs w:val="22"/>
        </w:rPr>
        <w:t xml:space="preserve">Acionar transferência regulada para centro de referência com radiologia intervencionista vascular e/ou cirurgia vascular de alta complexidade.</w:t>
      </w:r>
    </w:p>
    <w:p>
      <w:pPr>
        <w:spacing w:after="120" w:before="0"/>
      </w:pPr>
    </w:p>
    <w:p>
      <w:pPr>
        <w:pStyle w:val="Heading1"/>
        <w:pBdr>
          <w:bottom w:val="single" w:color="8B0000" w:sz="12" w:space="4"/>
        </w:pBdr>
        <w:spacing w:after="180" w:before="360"/>
      </w:pPr>
      <w:r>
        <w:rPr>
          <w:rFonts w:ascii="Arial" w:cs="Arial" w:eastAsia="Arial" w:hAnsi="Arial"/>
          <w:b/>
          <w:bCs/>
          <w:color w:val="8B0000"/>
          <w:sz w:val="32"/>
          <w:szCs w:val="32"/>
        </w:rPr>
        <w:t xml:space="preserve">2. Definição, Classificação e Epidemiologia</w:t>
      </w:r>
    </w:p>
    <w:p>
      <w:pPr>
        <w:pStyle w:val="Heading2"/>
        <w:spacing w:after="140" w:before="280"/>
      </w:pPr>
      <w:r>
        <w:rPr>
          <w:rFonts w:ascii="Arial" w:cs="Arial" w:eastAsia="Arial" w:hAnsi="Arial"/>
          <w:b/>
          <w:bCs/>
          <w:color w:val="1F4E79"/>
          <w:sz w:val="28"/>
          <w:szCs w:val="28"/>
        </w:rPr>
        <w:t xml:space="preserve">2.1. Definição de Falência Vascular Completa (End-Stage Vascular Access — ESVA)</w:t>
      </w:r>
    </w:p>
    <w:p>
      <w:pPr>
        <w:spacing w:after="60" w:before="60" w:line="300"/>
        <w:jc w:val="both"/>
      </w:pPr>
      <w:r>
        <w:rPr>
          <w:sz w:val="22"/>
          <w:szCs w:val="22"/>
        </w:rPr>
        <w:t xml:space="preserve">Define-se ESVA como a impossibilidade de obter ou manter acesso vascular convencional para hemodiálise (FAV, PTFE ou cateter venoso central tunelizado em sítio convencional) em um paciente com indicação contínua de TRS, geralmente em decorrência de:</w:t>
      </w:r>
    </w:p>
    <w:p>
      <w:pPr>
        <w:pStyle w:val="ListParagraph"/>
        <w:numPr>
          <w:ilvl w:val="0"/>
          <w:numId w:val="2"/>
        </w:numPr>
        <w:spacing w:after="40" w:before="40" w:line="280"/>
      </w:pPr>
      <w:r>
        <w:rPr>
          <w:sz w:val="22"/>
          <w:szCs w:val="22"/>
        </w:rPr>
        <w:t xml:space="preserve">Esgotamento dos sítios venosos superficiais (cefálica, basílica, braquial bilateral).</w:t>
      </w:r>
    </w:p>
    <w:p>
      <w:pPr>
        <w:pStyle w:val="ListParagraph"/>
        <w:numPr>
          <w:ilvl w:val="0"/>
          <w:numId w:val="2"/>
        </w:numPr>
        <w:spacing w:after="40" w:before="40" w:line="280"/>
      </w:pPr>
      <w:r>
        <w:rPr>
          <w:sz w:val="22"/>
          <w:szCs w:val="22"/>
        </w:rPr>
        <w:t xml:space="preserve">Oclusão / estenose de veias centrais (jugulares internas, subclávias, inominadas, veia cava superior).</w:t>
      </w:r>
    </w:p>
    <w:p>
      <w:pPr>
        <w:pStyle w:val="ListParagraph"/>
        <w:numPr>
          <w:ilvl w:val="0"/>
          <w:numId w:val="2"/>
        </w:numPr>
        <w:spacing w:after="40" w:before="40" w:line="280"/>
      </w:pPr>
      <w:r>
        <w:rPr>
          <w:sz w:val="22"/>
          <w:szCs w:val="22"/>
        </w:rPr>
        <w:t xml:space="preserve">Trombose ou estenose das veias femorais e ilíacas bilaterais.</w:t>
      </w:r>
    </w:p>
    <w:p>
      <w:pPr>
        <w:pStyle w:val="ListParagraph"/>
        <w:numPr>
          <w:ilvl w:val="0"/>
          <w:numId w:val="2"/>
        </w:numPr>
        <w:spacing w:after="40" w:before="40" w:line="280"/>
      </w:pPr>
      <w:r>
        <w:rPr>
          <w:sz w:val="22"/>
          <w:szCs w:val="22"/>
        </w:rPr>
        <w:t xml:space="preserve">Falência arterial periférica ou síndrome do roubo grave que inviabiliza nova FAV/PTFE.</w:t>
      </w:r>
    </w:p>
    <w:p>
      <w:pPr>
        <w:pStyle w:val="ListParagraph"/>
        <w:numPr>
          <w:ilvl w:val="0"/>
          <w:numId w:val="2"/>
        </w:numPr>
        <w:spacing w:after="40" w:before="40" w:line="280"/>
      </w:pPr>
      <w:r>
        <w:rPr>
          <w:sz w:val="22"/>
          <w:szCs w:val="22"/>
        </w:rPr>
        <w:t xml:space="preserve">Histórico de múltiplas infecções de cateter com bacteremia / endocardite, contraindicando novos cateteres em sítios habituais.</w:t>
      </w:r>
    </w:p>
    <w:p>
      <w:pPr>
        <w:pStyle w:val="Heading2"/>
        <w:spacing w:after="140" w:before="280"/>
      </w:pPr>
      <w:r>
        <w:rPr>
          <w:rFonts w:ascii="Arial" w:cs="Arial" w:eastAsia="Arial" w:hAnsi="Arial"/>
          <w:b/>
          <w:bCs/>
          <w:color w:val="1F4E79"/>
          <w:sz w:val="28"/>
          <w:szCs w:val="28"/>
        </w:rPr>
        <w:t xml:space="preserve">2.2. Classificação Operacional (proposta Inston et al., J Vasc Access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Estágio</w:t>
            </w:r>
          </w:p>
        </w:tc>
        <w:tc>
          <w:tcPr>
            <w:tcW w:type="dxa" w:w="428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Definição</w:t>
            </w:r>
          </w:p>
        </w:tc>
        <w:tc>
          <w:tcPr>
            <w:tcW w:type="dxa" w:w="328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Implicação prática</w:t>
            </w:r>
          </w:p>
        </w:tc>
      </w:tr>
      <w:tr>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ESVA I</w:t>
            </w:r>
          </w:p>
        </w:tc>
        <w:tc>
          <w:tcPr>
            <w:tcW w:type="dxa" w:w="4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Esgotamento de FAV/PTFE em membros superiores; veias centrais ainda patentes</w:t>
            </w:r>
          </w:p>
        </w:tc>
        <w:tc>
          <w:tcPr>
            <w:tcW w:type="dxa" w:w="3280"/>
            <w:tcBorders>
              <w:top w:val="single" w:color="BFBFBF" w:sz="6"/>
              <w:left w:val="single" w:color="BFBFBF" w:sz="6"/>
              <w:bottom w:val="single" w:color="BFBFBF" w:sz="6"/>
              <w:right w:val="single" w:color="BFBFBF" w:sz="6"/>
            </w:tcBorders>
            <w:shd w:fill="E8F5E9" w:val="clear"/>
            <w:tcMar>
              <w:top w:type="dxa" w:w="100"/>
              <w:left w:type="dxa" w:w="140"/>
              <w:bottom w:type="dxa" w:w="100"/>
              <w:right w:type="dxa" w:w="140"/>
            </w:tcMar>
            <w:vAlign w:val="center"/>
          </w:tcPr>
          <w:p>
            <w:pPr>
              <w:spacing w:after="40" w:before="40" w:line="260"/>
              <w:jc w:val="left"/>
            </w:pPr>
            <w:r>
              <w:rPr>
                <w:sz w:val="20"/>
                <w:szCs w:val="20"/>
              </w:rPr>
              <w:t xml:space="preserve">Cateter tunelizado convencional ainda viável</w:t>
            </w:r>
          </w:p>
        </w:tc>
      </w:tr>
      <w:tr>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ESVA II</w:t>
            </w:r>
          </w:p>
        </w:tc>
        <w:tc>
          <w:tcPr>
            <w:tcW w:type="dxa" w:w="4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Oclusão de UMA veia central torácica (ex.: subclávia ou inominada unilateral)</w:t>
            </w:r>
          </w:p>
        </w:tc>
        <w:tc>
          <w:tcPr>
            <w:tcW w:type="dxa" w:w="3280"/>
            <w:tcBorders>
              <w:top w:val="single" w:color="BFBFBF" w:sz="6"/>
              <w:left w:val="single" w:color="BFBFBF" w:sz="6"/>
              <w:bottom w:val="single" w:color="BFBFBF" w:sz="6"/>
              <w:right w:val="single" w:color="BFBFBF" w:sz="6"/>
            </w:tcBorders>
            <w:shd w:fill="FFF4E6" w:val="clear"/>
            <w:tcMar>
              <w:top w:type="dxa" w:w="100"/>
              <w:left w:type="dxa" w:w="140"/>
              <w:bottom w:type="dxa" w:w="100"/>
              <w:right w:type="dxa" w:w="140"/>
            </w:tcMar>
            <w:vAlign w:val="center"/>
          </w:tcPr>
          <w:p>
            <w:pPr>
              <w:spacing w:after="40" w:before="40" w:line="260"/>
              <w:jc w:val="left"/>
            </w:pPr>
            <w:r>
              <w:rPr>
                <w:sz w:val="20"/>
                <w:szCs w:val="20"/>
              </w:rPr>
              <w:t xml:space="preserve">Recanalização endovascular, cateter contralateral ou HeRO graft</w:t>
            </w:r>
          </w:p>
        </w:tc>
      </w:tr>
      <w:tr>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ESVA III</w:t>
            </w:r>
          </w:p>
        </w:tc>
        <w:tc>
          <w:tcPr>
            <w:tcW w:type="dxa" w:w="4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Oclusão BILATERAL de veias centrais torácicas; cava superior comprometida</w:t>
            </w:r>
          </w:p>
        </w:tc>
        <w:tc>
          <w:tcPr>
            <w:tcW w:type="dxa" w:w="3280"/>
            <w:tcBorders>
              <w:top w:val="single" w:color="BFBFBF" w:sz="6"/>
              <w:left w:val="single" w:color="BFBFBF" w:sz="6"/>
              <w:bottom w:val="single" w:color="BFBFBF" w:sz="6"/>
              <w:right w:val="single" w:color="BFBFBF" w:sz="6"/>
            </w:tcBorders>
            <w:shd w:fill="FFF4E6" w:val="clear"/>
            <w:tcMar>
              <w:top w:type="dxa" w:w="100"/>
              <w:left w:type="dxa" w:w="140"/>
              <w:bottom w:type="dxa" w:w="100"/>
              <w:right w:type="dxa" w:w="140"/>
            </w:tcMar>
            <w:vAlign w:val="center"/>
          </w:tcPr>
          <w:p>
            <w:pPr>
              <w:spacing w:after="40" w:before="40" w:line="260"/>
              <w:jc w:val="left"/>
            </w:pPr>
            <w:r>
              <w:rPr>
                <w:sz w:val="20"/>
                <w:szCs w:val="20"/>
              </w:rPr>
              <w:t xml:space="preserve">Acesso translombar (VCI) ou femoral tunelizado</w:t>
            </w:r>
          </w:p>
        </w:tc>
      </w:tr>
      <w:tr>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ESVA IV</w:t>
            </w:r>
          </w:p>
        </w:tc>
        <w:tc>
          <w:tcPr>
            <w:tcW w:type="dxa" w:w="4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Oclusão de cava superior E inferior (femorais/ilíacas bilaterais)</w:t>
            </w:r>
          </w:p>
        </w:tc>
        <w:tc>
          <w:tcPr>
            <w:tcW w:type="dxa" w:w="328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left"/>
            </w:pPr>
            <w:r>
              <w:rPr>
                <w:sz w:val="20"/>
                <w:szCs w:val="20"/>
              </w:rPr>
              <w:t xml:space="preserve">Transhepático, transrenal, enxerto átrio direito, axilo-axilar arterial</w:t>
            </w:r>
          </w:p>
        </w:tc>
      </w:tr>
      <w:tr>
        <w:tc>
          <w:tcPr>
            <w:tcW w:type="dxa" w:w="18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ESVA V</w:t>
            </w:r>
          </w:p>
        </w:tc>
        <w:tc>
          <w:tcPr>
            <w:tcW w:type="dxa" w:w="4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Esgotamento absoluto de qualquer rota venosa e arterial passível de cateterização</w:t>
            </w:r>
          </w:p>
        </w:tc>
        <w:tc>
          <w:tcPr>
            <w:tcW w:type="dxa" w:w="328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left"/>
            </w:pPr>
            <w:r>
              <w:rPr>
                <w:sz w:val="20"/>
                <w:szCs w:val="20"/>
              </w:rPr>
              <w:t xml:space="preserve">Diálise peritoneal de emergência ou cuidados paliativos com TRS conservadora</w:t>
            </w:r>
          </w:p>
        </w:tc>
      </w:tr>
    </w:tbl>
    <w:p>
      <w:pPr>
        <w:spacing w:after="120" w:before="0"/>
      </w:pPr>
    </w:p>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3. Parte I — Estabilização Clínica Imediata (0–6 horas)</w:t>
      </w:r>
    </w:p>
    <w:p>
      <w:pPr>
        <w:spacing w:after="60" w:before="60" w:line="300"/>
        <w:jc w:val="both"/>
      </w:pPr>
      <w:r>
        <w:rPr>
          <w:sz w:val="22"/>
          <w:szCs w:val="22"/>
        </w:rPr>
        <w:t xml:space="preserve">Antes de qualquer planejamento de acesso, a missão é controlar as ameaças à vida que matam o paciente sem diálise: hipercalemia, hipervolemia / EAP, acidose metabólica grave, uremia sintomática (encefalopatia, pericardite) e o eventual descontrole de comorbidades. Todas as medidas abaixo são PONTE (bridging) e jamais substituem a TRS.</w:t>
      </w:r>
    </w:p>
    <w:p>
      <w:pPr>
        <w:pStyle w:val="Heading2"/>
        <w:spacing w:after="140" w:before="280"/>
      </w:pPr>
      <w:r>
        <w:rPr>
          <w:rFonts w:ascii="Arial" w:cs="Arial" w:eastAsia="Arial" w:hAnsi="Arial"/>
          <w:b/>
          <w:bCs/>
          <w:color w:val="1F4E79"/>
          <w:sz w:val="28"/>
          <w:szCs w:val="28"/>
        </w:rPr>
        <w:t xml:space="preserve">3.1. Avaliação Inicial Estruturada (Bundle das Primeiras 30 Minutos)</w:t>
      </w:r>
    </w:p>
    <w:p>
      <w:pPr>
        <w:pStyle w:val="ListParagraph"/>
        <w:numPr>
          <w:ilvl w:val="0"/>
          <w:numId w:val="3"/>
        </w:numPr>
        <w:spacing w:after="50" w:before="50" w:line="280"/>
      </w:pPr>
      <w:r>
        <w:rPr>
          <w:sz w:val="22"/>
          <w:szCs w:val="22"/>
        </w:rPr>
        <w:t xml:space="preserve">ABCDE — proteção de via aérea, oxigenação, monitorização cardíaca contínua (DEII de longa duração).</w:t>
      </w:r>
    </w:p>
    <w:p>
      <w:pPr>
        <w:pStyle w:val="ListParagraph"/>
        <w:numPr>
          <w:ilvl w:val="0"/>
          <w:numId w:val="3"/>
        </w:numPr>
        <w:spacing w:after="50" w:before="50" w:line="280"/>
      </w:pPr>
      <w:r>
        <w:rPr>
          <w:sz w:val="22"/>
          <w:szCs w:val="22"/>
        </w:rPr>
        <w:t xml:space="preserve">ECG de 12 derivações IMEDIATO (rastreio de hipercalemia: T apiculada, P achatada, QRS alargado, padrão sinusoidal).</w:t>
      </w:r>
    </w:p>
    <w:p>
      <w:pPr>
        <w:pStyle w:val="ListParagraph"/>
        <w:numPr>
          <w:ilvl w:val="0"/>
          <w:numId w:val="3"/>
        </w:numPr>
        <w:spacing w:after="50" w:before="50" w:line="280"/>
      </w:pPr>
      <w:r>
        <w:rPr>
          <w:sz w:val="22"/>
          <w:szCs w:val="22"/>
        </w:rPr>
        <w:t xml:space="preserve">Acesso periférico de bom calibre em veia preservada — registrar em prontuário cada acesso utilizado para preservar capital venoso.</w:t>
      </w:r>
    </w:p>
    <w:p>
      <w:pPr>
        <w:pStyle w:val="ListParagraph"/>
        <w:numPr>
          <w:ilvl w:val="0"/>
          <w:numId w:val="3"/>
        </w:numPr>
        <w:spacing w:after="50" w:before="50" w:line="280"/>
      </w:pPr>
      <w:r>
        <w:rPr>
          <w:sz w:val="22"/>
          <w:szCs w:val="22"/>
        </w:rPr>
        <w:t xml:space="preserve">Coleta laboratorial: gasometria arterial, K, Na, Ca iônico, Mg, P, ureia, creatinina, hemograma, lactato, glicemia, troponina, função hepática, INR, TTPa, hemocultura se febre.</w:t>
      </w:r>
    </w:p>
    <w:p>
      <w:pPr>
        <w:pStyle w:val="ListParagraph"/>
        <w:numPr>
          <w:ilvl w:val="0"/>
          <w:numId w:val="3"/>
        </w:numPr>
        <w:spacing w:after="50" w:before="50" w:line="280"/>
      </w:pPr>
      <w:r>
        <w:rPr>
          <w:sz w:val="22"/>
          <w:szCs w:val="22"/>
        </w:rPr>
        <w:t xml:space="preserve">USG point-of-care (POCUS): avaliação de VCI, B-lines pulmonares, FE estimada, derrame pericárdico (rastreio de pericardite urêmica), mapeamento venoso central com Doppler — guia o plano de acesso.</w:t>
      </w:r>
    </w:p>
    <w:p>
      <w:pPr>
        <w:pStyle w:val="ListParagraph"/>
        <w:numPr>
          <w:ilvl w:val="0"/>
          <w:numId w:val="3"/>
        </w:numPr>
        <w:spacing w:after="50" w:before="50" w:line="280"/>
      </w:pPr>
      <w:r>
        <w:rPr>
          <w:sz w:val="22"/>
          <w:szCs w:val="22"/>
        </w:rPr>
        <w:t xml:space="preserve">Restrição hídrica rigorosa (≤ 500 mL/dia + diurese residual) e dieta zero potássio enquanto K &gt; 5,5.</w:t>
      </w:r>
    </w:p>
    <w:p>
      <w:pPr>
        <w:pStyle w:val="ListParagraph"/>
        <w:numPr>
          <w:ilvl w:val="0"/>
          <w:numId w:val="3"/>
        </w:numPr>
        <w:spacing w:after="50" w:before="50" w:line="280"/>
      </w:pPr>
      <w:r>
        <w:rPr>
          <w:sz w:val="22"/>
          <w:szCs w:val="22"/>
        </w:rPr>
        <w:t xml:space="preserve">Suspender TODAS as medicações hipercalemiantes: IECA, BRA, espironolactona, AINEs, beta-bloqueadores não seletivos, heparina não fracionada (induz hipoaldosteronismo), digoxina, succinilcolina.</w:t>
      </w:r>
    </w:p>
    <w:p>
      <w:pPr>
        <w:pStyle w:val="ListParagraph"/>
        <w:numPr>
          <w:ilvl w:val="0"/>
          <w:numId w:val="3"/>
        </w:numPr>
        <w:spacing w:after="50" w:before="50" w:line="280"/>
      </w:pPr>
      <w:r>
        <w:rPr>
          <w:sz w:val="22"/>
          <w:szCs w:val="22"/>
        </w:rPr>
        <w:t xml:space="preserve">Comunicação imediata com nefrologia, vascular (se houver), regulação estadual (SAMU 192 / Central de Regulação) para transferência terciária.</w:t>
      </w:r>
    </w:p>
    <w:p>
      <w:pPr>
        <w:spacing w:after="120" w:before="0"/>
      </w:pPr>
    </w:p>
    <w:p>
      <w:pPr>
        <w:pStyle w:val="Heading2"/>
        <w:spacing w:after="140" w:before="280"/>
      </w:pPr>
      <w:r>
        <w:rPr>
          <w:rFonts w:ascii="Arial" w:cs="Arial" w:eastAsia="Arial" w:hAnsi="Arial"/>
          <w:b/>
          <w:bCs/>
          <w:color w:val="1F4E79"/>
          <w:sz w:val="28"/>
          <w:szCs w:val="28"/>
        </w:rPr>
        <w:t xml:space="preserve">3.2. Manejo Escalonado da Hipercalemia (a Causa Mais Imediata de Óbito)</w:t>
      </w:r>
    </w:p>
    <w:p>
      <w:pPr>
        <w:spacing w:after="60" w:before="60" w:line="300"/>
        <w:jc w:val="both"/>
      </w:pPr>
      <w:r>
        <w:rPr>
          <w:sz w:val="22"/>
          <w:szCs w:val="22"/>
        </w:rPr>
        <w:t xml:space="preserve">Em paciente dialítico anúrico, o potássio sobe ~0,3–0,5 mEq/L por dia em jejum e até 1,0 mEq/L com dieta livre. Com hemólise, rabdomiólise, sangramento digestivo ou acidose, esse incremento pode ser horário.</w:t>
      </w:r>
    </w:p>
    <w:p>
      <w:pPr>
        <w:pStyle w:val="Heading3"/>
        <w:spacing w:after="110" w:before="220"/>
      </w:pPr>
      <w:r>
        <w:rPr>
          <w:rFonts w:ascii="Arial" w:cs="Arial" w:eastAsia="Arial" w:hAnsi="Arial"/>
          <w:b/>
          <w:bCs/>
          <w:color w:val="1F4E79"/>
          <w:sz w:val="24"/>
          <w:szCs w:val="24"/>
        </w:rPr>
        <w:t xml:space="preserve">3.2.1. Estratificação de Gravidade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80"/>
        <w:gridCol w:w="268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Gravidade</w:t>
            </w:r>
          </w:p>
        </w:tc>
        <w:tc>
          <w:tcPr>
            <w:tcW w:type="dxa" w:w="22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K sérico (mEq/L)</w:t>
            </w:r>
          </w:p>
        </w:tc>
        <w:tc>
          <w:tcPr>
            <w:tcW w:type="dxa" w:w="268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ECG</w:t>
            </w:r>
          </w:p>
        </w:tc>
        <w:tc>
          <w:tcPr>
            <w:tcW w:type="dxa" w:w="268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Conduta principal</w:t>
            </w:r>
          </w:p>
        </w:tc>
      </w:tr>
      <w:tr>
        <w:tc>
          <w:tcPr>
            <w:tcW w:type="dxa" w:w="1800"/>
            <w:tcBorders>
              <w:top w:val="single" w:color="BFBFBF" w:sz="6"/>
              <w:left w:val="single" w:color="BFBFBF" w:sz="6"/>
              <w:bottom w:val="single" w:color="BFBFBF" w:sz="6"/>
              <w:right w:val="single" w:color="BFBFBF" w:sz="6"/>
            </w:tcBorders>
            <w:shd w:fill="E8F5E9" w:val="clear"/>
            <w:tcMar>
              <w:top w:type="dxa" w:w="100"/>
              <w:left w:type="dxa" w:w="140"/>
              <w:bottom w:type="dxa" w:w="100"/>
              <w:right w:type="dxa" w:w="140"/>
            </w:tcMar>
            <w:vAlign w:val="center"/>
          </w:tcPr>
          <w:p>
            <w:pPr>
              <w:spacing w:after="40" w:before="40" w:line="260"/>
              <w:jc w:val="left"/>
            </w:pPr>
            <w:r>
              <w:rPr>
                <w:b/>
                <w:bCs/>
                <w:sz w:val="20"/>
                <w:szCs w:val="20"/>
              </w:rPr>
              <w:t xml:space="preserve">Leve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5,5 – 5,9</w:t>
            </w:r>
          </w:p>
        </w:tc>
        <w:tc>
          <w:tcPr>
            <w:tcW w:type="dxa" w:w="26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Normal ou T levemente apiculada</w:t>
            </w:r>
          </w:p>
        </w:tc>
        <w:tc>
          <w:tcPr>
            <w:tcW w:type="dxa" w:w="26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Restrição dietética + quelante oral</w:t>
            </w:r>
          </w:p>
        </w:tc>
      </w:tr>
      <w:tr>
        <w:tc>
          <w:tcPr>
            <w:tcW w:type="dxa" w:w="1800"/>
            <w:tcBorders>
              <w:top w:val="single" w:color="BFBFBF" w:sz="6"/>
              <w:left w:val="single" w:color="BFBFBF" w:sz="6"/>
              <w:bottom w:val="single" w:color="BFBFBF" w:sz="6"/>
              <w:right w:val="single" w:color="BFBFBF" w:sz="6"/>
            </w:tcBorders>
            <w:shd w:fill="FFF4E6" w:val="clear"/>
            <w:tcMar>
              <w:top w:type="dxa" w:w="100"/>
              <w:left w:type="dxa" w:w="140"/>
              <w:bottom w:type="dxa" w:w="100"/>
              <w:right w:type="dxa" w:w="140"/>
            </w:tcMar>
            <w:vAlign w:val="center"/>
          </w:tcPr>
          <w:p>
            <w:pPr>
              <w:spacing w:after="40" w:before="40" w:line="260"/>
              <w:jc w:val="left"/>
            </w:pPr>
            <w:r>
              <w:rPr>
                <w:b/>
                <w:bCs/>
                <w:sz w:val="20"/>
                <w:szCs w:val="20"/>
              </w:rPr>
              <w:t xml:space="preserve">Moderada</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6,0 – 6,4</w:t>
            </w:r>
          </w:p>
        </w:tc>
        <w:tc>
          <w:tcPr>
            <w:tcW w:type="dxa" w:w="26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T apiculadas em V2-V4</w:t>
            </w:r>
          </w:p>
        </w:tc>
        <w:tc>
          <w:tcPr>
            <w:tcW w:type="dxa" w:w="26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Insulina + glicose + β2-agonista; preparar diálise</w:t>
            </w:r>
          </w:p>
        </w:tc>
      </w:tr>
      <w:tr>
        <w:tc>
          <w:tcPr>
            <w:tcW w:type="dxa" w:w="180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left"/>
            </w:pPr>
            <w:r>
              <w:rPr>
                <w:b/>
                <w:bCs/>
                <w:sz w:val="20"/>
                <w:szCs w:val="20"/>
              </w:rPr>
              <w:t xml:space="preserve">Grave</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6,5 – 7,4</w:t>
            </w:r>
          </w:p>
        </w:tc>
        <w:tc>
          <w:tcPr>
            <w:tcW w:type="dxa" w:w="26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QRS alargado, P achatada, BAV</w:t>
            </w:r>
          </w:p>
        </w:tc>
        <w:tc>
          <w:tcPr>
            <w:tcW w:type="dxa" w:w="26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Bundle completo + diálise URGENTE</w:t>
            </w:r>
          </w:p>
        </w:tc>
      </w:tr>
      <w:tr>
        <w:tc>
          <w:tcPr>
            <w:tcW w:type="dxa" w:w="180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left"/>
            </w:pPr>
            <w:r>
              <w:rPr>
                <w:b/>
                <w:bCs/>
                <w:sz w:val="20"/>
                <w:szCs w:val="20"/>
              </w:rPr>
              <w:t xml:space="preserve">Crítica</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 7,5 ou padrão sinusoidal</w:t>
            </w:r>
          </w:p>
        </w:tc>
        <w:tc>
          <w:tcPr>
            <w:tcW w:type="dxa" w:w="26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Sinusoidal / FV / assistolia iminente</w:t>
            </w:r>
          </w:p>
        </w:tc>
        <w:tc>
          <w:tcPr>
            <w:tcW w:type="dxa" w:w="26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Bundle + diálise IMEDIATA / RCP-ACLS</w:t>
            </w:r>
          </w:p>
        </w:tc>
      </w:tr>
    </w:tbl>
    <w:p>
      <w:pPr>
        <w:pStyle w:val="Heading3"/>
        <w:spacing w:after="110" w:before="220"/>
      </w:pPr>
      <w:r>
        <w:rPr>
          <w:rFonts w:ascii="Arial" w:cs="Arial" w:eastAsia="Arial" w:hAnsi="Arial"/>
          <w:b/>
          <w:bCs/>
          <w:color w:val="1F4E79"/>
          <w:sz w:val="24"/>
          <w:szCs w:val="24"/>
        </w:rPr>
        <w:t xml:space="preserve">3.2.2. Bundle Farmacológico (Ordem e Doses)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700"/>
        <w:gridCol w:w="1700"/>
        <w:gridCol w:w="1960"/>
      </w:tblGrid>
      <w:tr>
        <w:trPr>
          <w:tblHeader/>
        </w:trPr>
        <w:tc>
          <w:tcPr>
            <w:tcW w:type="dxa" w:w="16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Etapa</w:t>
            </w:r>
          </w:p>
        </w:tc>
        <w:tc>
          <w:tcPr>
            <w:tcW w:type="dxa" w:w="24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Droga e Dose</w:t>
            </w:r>
          </w:p>
        </w:tc>
        <w:tc>
          <w:tcPr>
            <w:tcW w:type="dxa" w:w="17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Início</w:t>
            </w:r>
          </w:p>
        </w:tc>
        <w:tc>
          <w:tcPr>
            <w:tcW w:type="dxa" w:w="17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Duração</w:t>
            </w:r>
          </w:p>
        </w:tc>
        <w:tc>
          <w:tcPr>
            <w:tcW w:type="dxa" w:w="196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Observações</w:t>
            </w:r>
          </w:p>
        </w:tc>
      </w:tr>
      <w:tr>
        <w:tc>
          <w:tcPr>
            <w:tcW w:type="dxa" w:w="1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1. Estabilização de membrana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Gluconato de cálcio 10% — 10 a 30 mL EV em 5–10 min, repetir 5–10 min se ECG não normalizar</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1–3 min</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30–60 min</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Cuidado em digitalizados (preferir cloreto de cálcio diluído)</w:t>
            </w:r>
          </w:p>
        </w:tc>
      </w:tr>
      <w:tr>
        <w:tc>
          <w:tcPr>
            <w:tcW w:type="dxa" w:w="1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2. Shift intracelular — insulina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Insulina regular 10 UI EV + 50 g de glicose (250 mL SG 10% ou 100 mL SG 50%)</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15–30 min</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4–6 h</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HGT 1/1 h por 6 h; risco de hipoglicemia tardia em DRC</w:t>
            </w:r>
          </w:p>
        </w:tc>
      </w:tr>
      <w:tr>
        <w:tc>
          <w:tcPr>
            <w:tcW w:type="dxa" w:w="1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3. Shift intracelular — β2</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Salbutamol 10–20 mg nebulizado (4–8x dose comum) ou terbutalina 0,25 mg SC</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30–60 min</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2–4 h</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Sinérgico com insulina; cuidado com taquiarritmia e isquemia</w:t>
            </w:r>
          </w:p>
        </w:tc>
      </w:tr>
      <w:tr>
        <w:tc>
          <w:tcPr>
            <w:tcW w:type="dxa" w:w="1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4. Correção da acidose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Bicarbonato de sódio 8,4% — 50–100 mEq EV se HCO3 &lt; 15 e pH &lt; 7,20</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15–30 min</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Variável</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Pouco efeito isolado em DRC; risco de hipervolemia e hipocalcemia</w:t>
            </w:r>
          </w:p>
        </w:tc>
      </w:tr>
      <w:tr>
        <w:tc>
          <w:tcPr>
            <w:tcW w:type="dxa" w:w="1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5. Remoção GI</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Patiromer 8,4–25,2 g VO/dia OU ciclosilicato de zircônio 10 g VO 3x/dia OU sorcal 30 g VO/SOS (evitar)</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Patiromer/SZC: 1–4 h</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Prolongado</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Sorcal: risco de necrose intestinal, evitar; preferir patiromer/SZC</w:t>
            </w:r>
          </w:p>
        </w:tc>
      </w:tr>
      <w:tr>
        <w:tc>
          <w:tcPr>
            <w:tcW w:type="dxa" w:w="1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6. Definitivo</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HEMODIÁLISE / SCUF / PD — só remove K do organismo de fato</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Imediato</w:t>
            </w:r>
          </w:p>
        </w:tc>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Definitivo</w:t>
            </w:r>
          </w:p>
        </w:tc>
        <w:tc>
          <w:tcPr>
            <w:tcW w:type="dxa" w:w="19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Banho com K 1,0–2,0 mEq/L; risco de rebote pós-diálise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18"/>
              <w:left w:val="single" w:color="C65911" w:sz="18"/>
              <w:bottom w:val="single" w:color="C65911" w:sz="18"/>
              <w:right w:val="single" w:color="C65911" w:sz="18"/>
            </w:tcBorders>
            <w:shd w:fill="FFF4E6" w:val="clear"/>
            <w:tcMar>
              <w:top w:type="dxa" w:w="160"/>
              <w:left w:type="dxa" w:w="200"/>
              <w:bottom w:type="dxa" w:w="160"/>
              <w:right w:type="dxa" w:w="200"/>
            </w:tcMar>
          </w:tcPr>
          <w:p>
            <w:pPr>
              <w:spacing w:after="80"/>
            </w:pPr>
            <w:r>
              <w:rPr>
                <w:b/>
                <w:bCs/>
                <w:color w:val="C65911"/>
                <w:sz w:val="24"/>
                <w:szCs w:val="24"/>
              </w:rPr>
              <w:t xml:space="preserve">Pérolas Práticas — Hipercalemia em ESVA</w:t>
            </w:r>
          </w:p>
          <w:p>
            <w:pPr>
              <w:spacing w:after="40" w:before="40"/>
              <w:jc w:val="both"/>
            </w:pPr>
            <w:r>
              <w:rPr>
                <w:sz w:val="22"/>
                <w:szCs w:val="22"/>
              </w:rPr>
              <w:t xml:space="preserve">Diuréticos de alça (furosemida 40–250 mg EV) são úteis APENAS se houver função renal residual / diurese mensurável.</w:t>
            </w:r>
          </w:p>
          <w:p>
            <w:pPr>
              <w:spacing w:after="40" w:before="40"/>
              <w:jc w:val="both"/>
            </w:pPr>
            <w:r>
              <w:rPr>
                <w:sz w:val="22"/>
                <w:szCs w:val="22"/>
              </w:rPr>
              <w:t xml:space="preserve">Bicarbonato é menos efetivo na DRC dialítica do que no AKI; evite uso isolado.</w:t>
            </w:r>
          </w:p>
          <w:p>
            <w:pPr>
              <w:spacing w:after="40" w:before="40"/>
              <w:jc w:val="both"/>
            </w:pPr>
            <w:r>
              <w:rPr>
                <w:sz w:val="22"/>
                <w:szCs w:val="22"/>
              </w:rPr>
              <w:t xml:space="preserve">Em hipercalemia refratária a todas as medidas, considere corticoide em dose de estresse (hidrocortisona 100 mg EV 8/8h) se houver suspeita de insuficiência adrenal relativa — relato de caso publicado em 2023 mostra resolução em 24h.</w:t>
            </w:r>
          </w:p>
          <w:p>
            <w:pPr>
              <w:spacing w:after="40" w:before="40"/>
              <w:jc w:val="both"/>
            </w:pPr>
            <w:r>
              <w:rPr>
                <w:sz w:val="22"/>
                <w:szCs w:val="22"/>
              </w:rPr>
              <w:t xml:space="preserve">Não esqueça do enema de retenção com resina (sorcal) — segunda escolha caso patiromer/SZC indisponíveis. Limitar a 30 g.</w:t>
            </w:r>
          </w:p>
        </w:tc>
      </w:tr>
    </w:tbl>
    <w:p>
      <w:pPr>
        <w:spacing w:after="120" w:before="0"/>
      </w:pPr>
    </w:p>
    <w:p>
      <w:pPr>
        <w:pStyle w:val="Heading2"/>
        <w:spacing w:after="140" w:before="280"/>
      </w:pPr>
      <w:r>
        <w:rPr>
          <w:rFonts w:ascii="Arial" w:cs="Arial" w:eastAsia="Arial" w:hAnsi="Arial"/>
          <w:b/>
          <w:bCs/>
          <w:color w:val="1F4E79"/>
          <w:sz w:val="28"/>
          <w:szCs w:val="28"/>
        </w:rPr>
        <w:t xml:space="preserve">3.3. Manejo da Hipervolemia / Edema Agudo de Pulmão sem Ultrafiltração</w:t>
      </w:r>
    </w:p>
    <w:p>
      <w:pPr>
        <w:spacing w:after="60" w:before="60" w:line="300"/>
        <w:jc w:val="both"/>
      </w:pPr>
      <w:r>
        <w:rPr>
          <w:sz w:val="22"/>
          <w:szCs w:val="22"/>
        </w:rPr>
        <w:t xml:space="preserve">Sem capacidade de ultrafiltrar, a única estratégia é REDUZIR pré-carga, REDISTRIBUIR fluidos e GANHAR TEMPO. Evitar volemia adicional é absoluto: zero solução de manutenção, drogas em volume mínimo (concentração máxima compatível), suspensão de hidratação parenteral fora bombas controladas.</w:t>
      </w:r>
    </w:p>
    <w:p>
      <w:pPr>
        <w:pStyle w:val="Heading3"/>
        <w:spacing w:after="110" w:before="220"/>
      </w:pPr>
      <w:r>
        <w:rPr>
          <w:rFonts w:ascii="Arial" w:cs="Arial" w:eastAsia="Arial" w:hAnsi="Arial"/>
          <w:b/>
          <w:bCs/>
          <w:color w:val="1F4E79"/>
          <w:sz w:val="24"/>
          <w:szCs w:val="24"/>
        </w:rPr>
        <w:t xml:space="preserve">3.3.1. Medidas Farmacológicas e Mecânicas</w:t>
      </w:r>
    </w:p>
    <w:p>
      <w:pPr>
        <w:pStyle w:val="ListParagraph"/>
        <w:numPr>
          <w:ilvl w:val="0"/>
          <w:numId w:val="2"/>
        </w:numPr>
        <w:spacing w:after="40" w:before="40" w:line="280"/>
      </w:pPr>
      <w:r>
        <w:rPr>
          <w:sz w:val="22"/>
          <w:szCs w:val="22"/>
        </w:rPr>
        <w:t xml:space="preserve">Posição semi-sentada (Fowler 45–90°) para aumentar capacitância venosa esplâncnica.</w:t>
      </w:r>
    </w:p>
    <w:p>
      <w:pPr>
        <w:pStyle w:val="ListParagraph"/>
        <w:numPr>
          <w:ilvl w:val="0"/>
          <w:numId w:val="2"/>
        </w:numPr>
        <w:spacing w:after="40" w:before="40" w:line="280"/>
      </w:pPr>
      <w:r>
        <w:rPr>
          <w:sz w:val="22"/>
          <w:szCs w:val="22"/>
        </w:rPr>
        <w:t xml:space="preserve">Oxigênio em máscara não reinalante 10–15 L/min; titular SpO2 &gt; 92%.</w:t>
      </w:r>
    </w:p>
    <w:p>
      <w:pPr>
        <w:pStyle w:val="ListParagraph"/>
        <w:numPr>
          <w:ilvl w:val="0"/>
          <w:numId w:val="2"/>
        </w:numPr>
        <w:spacing w:after="40" w:before="40" w:line="280"/>
      </w:pPr>
      <w:r>
        <w:rPr>
          <w:sz w:val="22"/>
          <w:szCs w:val="22"/>
        </w:rPr>
        <w:t xml:space="preserve">Ventilação não invasiva (VNI) com BiPAP IPAP 12–15 / EPAP 6–10 cmH2O — reduz pré-carga e pós-carga, melhora oxigenação.</w:t>
      </w:r>
    </w:p>
    <w:p>
      <w:pPr>
        <w:pStyle w:val="ListParagraph"/>
        <w:numPr>
          <w:ilvl w:val="0"/>
          <w:numId w:val="2"/>
        </w:numPr>
        <w:spacing w:after="40" w:before="40" w:line="280"/>
      </w:pPr>
      <w:r>
        <w:rPr>
          <w:sz w:val="22"/>
          <w:szCs w:val="22"/>
        </w:rPr>
        <w:t xml:space="preserve">Nitroglicerina EV 10–200 µg/min (titular pela PA, alvo PAS &gt; 100 mmHg) — venodilatação rápida.</w:t>
      </w:r>
    </w:p>
    <w:p>
      <w:pPr>
        <w:pStyle w:val="ListParagraph"/>
        <w:numPr>
          <w:ilvl w:val="0"/>
          <w:numId w:val="2"/>
        </w:numPr>
        <w:spacing w:after="40" w:before="40" w:line="280"/>
      </w:pPr>
      <w:r>
        <w:rPr>
          <w:sz w:val="22"/>
          <w:szCs w:val="22"/>
        </w:rPr>
        <w:t xml:space="preserve">Nitroprussiato de sódio 0,3–5 µg/kg/min se PA elevada e EAP grave (cuidado com tiocianato em DRC; limitar a 24–48 h).</w:t>
      </w:r>
    </w:p>
    <w:p>
      <w:pPr>
        <w:pStyle w:val="ListParagraph"/>
        <w:numPr>
          <w:ilvl w:val="0"/>
          <w:numId w:val="2"/>
        </w:numPr>
        <w:spacing w:after="40" w:before="40" w:line="280"/>
      </w:pPr>
      <w:r>
        <w:rPr>
          <w:sz w:val="22"/>
          <w:szCs w:val="22"/>
        </w:rPr>
        <w:t xml:space="preserve">Furosemida 250–500 mg EV em bolus E em infusão contínua 20 mg/h — útil se diurese residual ≥ 200 mL/dia.</w:t>
      </w:r>
    </w:p>
    <w:p>
      <w:pPr>
        <w:pStyle w:val="ListParagraph"/>
        <w:numPr>
          <w:ilvl w:val="0"/>
          <w:numId w:val="2"/>
        </w:numPr>
        <w:spacing w:after="40" w:before="40" w:line="280"/>
      </w:pPr>
      <w:r>
        <w:rPr>
          <w:sz w:val="22"/>
          <w:szCs w:val="22"/>
        </w:rPr>
        <w:t xml:space="preserve">Morfina 1–3 mg EV — evitar em DRC, prefira fentanil 25–50 µg EV se necessário ansiólise.</w:t>
      </w:r>
    </w:p>
    <w:p>
      <w:pPr>
        <w:pStyle w:val="ListParagraph"/>
        <w:numPr>
          <w:ilvl w:val="0"/>
          <w:numId w:val="2"/>
        </w:numPr>
        <w:spacing w:after="40" w:before="40" w:line="280"/>
      </w:pPr>
      <w:r>
        <w:rPr>
          <w:sz w:val="22"/>
          <w:szCs w:val="22"/>
        </w:rPr>
        <w:t xml:space="preserve">Flebotomia terapêutica (sangria) 250–500 mL com bolsa de banco de sangue — medida heroica, último recurso pré-acesso, repor depois.</w:t>
      </w:r>
    </w:p>
    <w:p>
      <w:pPr>
        <w:pStyle w:val="Heading3"/>
        <w:spacing w:after="110" w:before="220"/>
      </w:pPr>
      <w:r>
        <w:rPr>
          <w:rFonts w:ascii="Arial" w:cs="Arial" w:eastAsia="Arial" w:hAnsi="Arial"/>
          <w:b/>
          <w:bCs/>
          <w:color w:val="1F4E79"/>
          <w:sz w:val="24"/>
          <w:szCs w:val="24"/>
        </w:rPr>
        <w:t xml:space="preserve">3.3.2. Ultrafiltração Isolada (SCUF) por Acesso Improvisado</w:t>
      </w:r>
    </w:p>
    <w:p>
      <w:pPr>
        <w:spacing w:after="60" w:before="60" w:line="300"/>
        <w:jc w:val="both"/>
      </w:pPr>
      <w:r>
        <w:rPr>
          <w:sz w:val="22"/>
          <w:szCs w:val="22"/>
        </w:rPr>
        <w:t xml:space="preserve">Se houver QUALQUER acesso venoso central de duplo lúmen funcional (mesmo de curta duração), pode-se realizar ultrafiltração isolada (SCUF) com baixíssimo fluxo (50–100 mL/min) e UF de 200–500 mL/h em hemofiltração contínua (CRRT). Não corrige completamente eletrólitos, mas alivia congestão e ganha tempo. Em recurso muito limitado, considerar até diálise peritoneal aguda manual com cateter rígido (ver seção 6).</w:t>
      </w:r>
    </w:p>
    <w:p>
      <w:pPr>
        <w:spacing w:after="120" w:before="0"/>
      </w:pPr>
    </w:p>
    <w:p>
      <w:pPr>
        <w:pStyle w:val="Heading2"/>
        <w:spacing w:after="140" w:before="280"/>
      </w:pPr>
      <w:r>
        <w:rPr>
          <w:rFonts w:ascii="Arial" w:cs="Arial" w:eastAsia="Arial" w:hAnsi="Arial"/>
          <w:b/>
          <w:bCs/>
          <w:color w:val="1F4E79"/>
          <w:sz w:val="28"/>
          <w:szCs w:val="28"/>
        </w:rPr>
        <w:t xml:space="preserve">3.4. Acidose Metabólica Grave</w:t>
      </w:r>
    </w:p>
    <w:p>
      <w:pPr>
        <w:spacing w:after="60" w:before="60" w:line="300"/>
        <w:jc w:val="both"/>
      </w:pPr>
      <w:r>
        <w:rPr>
          <w:sz w:val="22"/>
          <w:szCs w:val="22"/>
        </w:rPr>
        <w:t xml:space="preserve">A acidose urêmica (anion gap aumentado) potencializa hipercalemia e disfunção miocárdica. Alvo de pH &gt; 7,20 e HCO3 &gt; 15 com bicarbonato EV se necessário, sempre cuidando da carga de sódio e do volume infundido.</w:t>
      </w:r>
    </w:p>
    <w:p>
      <w:pPr>
        <w:pStyle w:val="ListParagraph"/>
        <w:numPr>
          <w:ilvl w:val="0"/>
          <w:numId w:val="2"/>
        </w:numPr>
        <w:spacing w:after="40" w:before="40" w:line="280"/>
      </w:pPr>
      <w:r>
        <w:rPr>
          <w:sz w:val="22"/>
          <w:szCs w:val="22"/>
        </w:rPr>
        <w:t xml:space="preserve">Bicarbonato de sódio 8,4% (1 mEq/mL): déficit = 0,5 × peso × (24 − HCO3 atual); reponha 50% em 4–6 h.</w:t>
      </w:r>
    </w:p>
    <w:p>
      <w:pPr>
        <w:pStyle w:val="ListParagraph"/>
        <w:numPr>
          <w:ilvl w:val="0"/>
          <w:numId w:val="2"/>
        </w:numPr>
        <w:spacing w:after="40" w:before="40" w:line="280"/>
      </w:pPr>
      <w:r>
        <w:rPr>
          <w:sz w:val="22"/>
          <w:szCs w:val="22"/>
        </w:rPr>
        <w:t xml:space="preserve">Em paciente sem acesso e sem espaço para volume: bicarbonato 1 mEq/kg em 50–100 mL EV em 30 min, reavaliar gasometria.</w:t>
      </w:r>
    </w:p>
    <w:p>
      <w:pPr>
        <w:pStyle w:val="ListParagraph"/>
        <w:numPr>
          <w:ilvl w:val="0"/>
          <w:numId w:val="2"/>
        </w:numPr>
        <w:spacing w:after="40" w:before="40" w:line="280"/>
      </w:pPr>
      <w:r>
        <w:rPr>
          <w:sz w:val="22"/>
          <w:szCs w:val="22"/>
        </w:rPr>
        <w:t xml:space="preserve">Atenção: cada 50 mL de NaHCO3 8,4% = 8,4 g Na = aproximadamente 100 mEq Na — risco de hipernatremia e congestão.</w:t>
      </w:r>
    </w:p>
    <w:p>
      <w:pPr>
        <w:spacing w:after="120" w:before="0"/>
      </w:pPr>
    </w:p>
    <w:p>
      <w:pPr>
        <w:pStyle w:val="Heading2"/>
        <w:spacing w:after="140" w:before="280"/>
      </w:pPr>
      <w:r>
        <w:rPr>
          <w:rFonts w:ascii="Arial" w:cs="Arial" w:eastAsia="Arial" w:hAnsi="Arial"/>
          <w:b/>
          <w:bCs/>
          <w:color w:val="1F4E79"/>
          <w:sz w:val="28"/>
          <w:szCs w:val="28"/>
        </w:rPr>
        <w:t xml:space="preserve">3.5. Uremia Sintomática</w:t>
      </w:r>
    </w:p>
    <w:p>
      <w:pPr>
        <w:pStyle w:val="ListParagraph"/>
        <w:numPr>
          <w:ilvl w:val="0"/>
          <w:numId w:val="2"/>
        </w:numPr>
        <w:spacing w:after="40" w:before="40" w:line="280"/>
      </w:pPr>
      <w:r>
        <w:rPr>
          <w:sz w:val="22"/>
          <w:szCs w:val="22"/>
        </w:rPr>
        <w:t xml:space="preserve">Encefalopatia urêmica: monitorar nível de consciência, proteção de via aérea, descartar outras causas (hipoglicemia, hiponatremia, sepse).</w:t>
      </w:r>
    </w:p>
    <w:p>
      <w:pPr>
        <w:pStyle w:val="ListParagraph"/>
        <w:numPr>
          <w:ilvl w:val="0"/>
          <w:numId w:val="2"/>
        </w:numPr>
        <w:spacing w:after="40" w:before="40" w:line="280"/>
      </w:pPr>
      <w:r>
        <w:rPr>
          <w:sz w:val="22"/>
          <w:szCs w:val="22"/>
        </w:rPr>
        <w:t xml:space="preserve">Pericardite urêmica: ECG, ecocardiograma POCUS — derrame &gt;1cm + hipotensão = drenagem pericárdica; é indicação imediata de diálise.</w:t>
      </w:r>
    </w:p>
    <w:p>
      <w:pPr>
        <w:pStyle w:val="ListParagraph"/>
        <w:numPr>
          <w:ilvl w:val="0"/>
          <w:numId w:val="2"/>
        </w:numPr>
        <w:spacing w:after="40" w:before="40" w:line="280"/>
      </w:pPr>
      <w:r>
        <w:rPr>
          <w:sz w:val="22"/>
          <w:szCs w:val="22"/>
        </w:rPr>
        <w:t xml:space="preserve">Sangramento urêmico (disfunção plaquetária): desmopressina 0,3 µg/kg EV (efeito 4–6 h, taquifilaxia em 24–48 h), crioprecipitado 10 U se sangramento ativo, estrógenos conjugados 0,6 mg/kg/dia EV por 5 dias.</w:t>
      </w:r>
    </w:p>
    <w:p>
      <w:pPr>
        <w:pStyle w:val="ListParagraph"/>
        <w:numPr>
          <w:ilvl w:val="0"/>
          <w:numId w:val="2"/>
        </w:numPr>
        <w:spacing w:after="40" w:before="40" w:line="280"/>
      </w:pPr>
      <w:r>
        <w:rPr>
          <w:sz w:val="22"/>
          <w:szCs w:val="22"/>
        </w:rPr>
        <w:t xml:space="preserve">Náuseas/vômitos: ondansetrona 4 mg EV 8/8h (cuidado com QT); evitar metoclopramida em altas doses.</w:t>
      </w:r>
    </w:p>
    <w:p>
      <w:pPr>
        <w:spacing w:after="120" w:before="0"/>
      </w:pPr>
    </w:p>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4. Parte II — Recuperação de Acessos Pré-existentes (a Janela de Resgate)</w:t>
      </w:r>
    </w:p>
    <w:p>
      <w:pPr>
        <w:spacing w:after="60" w:before="60" w:line="300"/>
        <w:jc w:val="both"/>
      </w:pPr>
      <w:r>
        <w:rPr>
          <w:sz w:val="22"/>
          <w:szCs w:val="22"/>
        </w:rPr>
        <w:t xml:space="preserve">Antes de partir para acessos heroicos, é OBRIGATÓRIO inventariar e tentar resgatar acessos abandonados. Muitas vezes, o que parece esgotado pode ser recuperado com manobras endovasculares ou mesmo à beira-leito.</w:t>
      </w:r>
    </w:p>
    <w:p>
      <w:pPr>
        <w:pStyle w:val="Heading2"/>
        <w:spacing w:after="140" w:before="280"/>
      </w:pPr>
      <w:r>
        <w:rPr>
          <w:rFonts w:ascii="Arial" w:cs="Arial" w:eastAsia="Arial" w:hAnsi="Arial"/>
          <w:b/>
          <w:bCs/>
          <w:color w:val="1F4E79"/>
          <w:sz w:val="28"/>
          <w:szCs w:val="28"/>
        </w:rPr>
        <w:t xml:space="preserve">4.1. Inventário Sistemático do Capital Vascular</w:t>
      </w:r>
    </w:p>
    <w:p>
      <w:pPr>
        <w:pStyle w:val="ListParagraph"/>
        <w:numPr>
          <w:ilvl w:val="0"/>
          <w:numId w:val="2"/>
        </w:numPr>
        <w:spacing w:after="40" w:before="40" w:line="280"/>
      </w:pPr>
      <w:r>
        <w:rPr>
          <w:sz w:val="22"/>
          <w:szCs w:val="22"/>
        </w:rPr>
        <w:t xml:space="preserve">Mapeamento Doppler colorido bilateral de membros superiores (artéria radial, ulnar, braquial; veias cefálica, basílica, braquial, axilar, subclávia, jugular interna).</w:t>
      </w:r>
    </w:p>
    <w:p>
      <w:pPr>
        <w:pStyle w:val="ListParagraph"/>
        <w:numPr>
          <w:ilvl w:val="0"/>
          <w:numId w:val="2"/>
        </w:numPr>
        <w:spacing w:after="40" w:before="40" w:line="280"/>
      </w:pPr>
      <w:r>
        <w:rPr>
          <w:sz w:val="22"/>
          <w:szCs w:val="22"/>
        </w:rPr>
        <w:t xml:space="preserve">Mapeamento Doppler de membros inferiores e ilíaco-femoral.</w:t>
      </w:r>
    </w:p>
    <w:p>
      <w:pPr>
        <w:pStyle w:val="ListParagraph"/>
        <w:numPr>
          <w:ilvl w:val="0"/>
          <w:numId w:val="2"/>
        </w:numPr>
        <w:spacing w:after="40" w:before="40" w:line="280"/>
      </w:pPr>
      <w:r>
        <w:rPr>
          <w:sz w:val="22"/>
          <w:szCs w:val="22"/>
        </w:rPr>
        <w:t xml:space="preserve">USG pescoço para descartar trombose de jugular interna; USG abdominal para verificar VCI.</w:t>
      </w:r>
    </w:p>
    <w:p>
      <w:pPr>
        <w:pStyle w:val="ListParagraph"/>
        <w:numPr>
          <w:ilvl w:val="0"/>
          <w:numId w:val="2"/>
        </w:numPr>
        <w:spacing w:after="40" w:before="40" w:line="280"/>
      </w:pPr>
      <w:r>
        <w:rPr>
          <w:sz w:val="22"/>
          <w:szCs w:val="22"/>
        </w:rPr>
        <w:t xml:space="preserve">Se disponível: angio-TC ou venografia central para mapear oclusões e estenoses centrais.</w:t>
      </w:r>
    </w:p>
    <w:p>
      <w:pPr>
        <w:pStyle w:val="ListParagraph"/>
        <w:numPr>
          <w:ilvl w:val="0"/>
          <w:numId w:val="2"/>
        </w:numPr>
        <w:spacing w:after="40" w:before="40" w:line="280"/>
      </w:pPr>
      <w:r>
        <w:rPr>
          <w:sz w:val="22"/>
          <w:szCs w:val="22"/>
        </w:rPr>
        <w:t xml:space="preserve">Revisão completa do prontuário: cada cateter prévio (sítio, duração, motivo de retirada, infecção).</w:t>
      </w:r>
    </w:p>
    <w:p>
      <w:pPr>
        <w:pStyle w:val="Heading2"/>
        <w:spacing w:after="140" w:before="280"/>
      </w:pPr>
      <w:r>
        <w:rPr>
          <w:rFonts w:ascii="Arial" w:cs="Arial" w:eastAsia="Arial" w:hAnsi="Arial"/>
          <w:b/>
          <w:bCs/>
          <w:color w:val="1F4E79"/>
          <w:sz w:val="28"/>
          <w:szCs w:val="28"/>
        </w:rPr>
        <w:t xml:space="preserve">4.2. Resgate de FAV ou Enxerto Trombosado</w:t>
      </w:r>
    </w:p>
    <w:p>
      <w:pPr>
        <w:spacing w:after="60" w:before="60" w:line="300"/>
        <w:jc w:val="both"/>
      </w:pPr>
      <w:r>
        <w:rPr>
          <w:sz w:val="22"/>
          <w:szCs w:val="22"/>
        </w:rPr>
        <w:t xml:space="preserve">Trombectomia percutânea ou cirúrgica + angioplastia da estenose subjacente é tratamento de primeira linha (KDOQI 2019, recomendação 1B). Janela de sucesso melhor nas primeiras 48–72 h, mas tentativas até 2 semanas têm sido bem-sucedidas em centros experientes.</w:t>
      </w:r>
    </w:p>
    <w:p>
      <w:pPr>
        <w:pStyle w:val="ListParagraph"/>
        <w:numPr>
          <w:ilvl w:val="0"/>
          <w:numId w:val="2"/>
        </w:numPr>
        <w:spacing w:after="40" w:before="40" w:line="280"/>
      </w:pPr>
      <w:r>
        <w:rPr>
          <w:sz w:val="22"/>
          <w:szCs w:val="22"/>
        </w:rPr>
        <w:t xml:space="preserve">Trombólise com alteplase intra-fístula (1–2 mg em pulso) + manipulação mecânica.</w:t>
      </w:r>
    </w:p>
    <w:p>
      <w:pPr>
        <w:pStyle w:val="ListParagraph"/>
        <w:numPr>
          <w:ilvl w:val="0"/>
          <w:numId w:val="2"/>
        </w:numPr>
        <w:spacing w:after="40" w:before="40" w:line="280"/>
      </w:pPr>
      <w:r>
        <w:rPr>
          <w:sz w:val="22"/>
          <w:szCs w:val="22"/>
        </w:rPr>
        <w:t xml:space="preserve">Trombectomia mecânica (AngioJet, Arrow-Trerotola, Indigo).</w:t>
      </w:r>
    </w:p>
    <w:p>
      <w:pPr>
        <w:pStyle w:val="ListParagraph"/>
        <w:numPr>
          <w:ilvl w:val="0"/>
          <w:numId w:val="2"/>
        </w:numPr>
        <w:spacing w:after="40" w:before="40" w:line="280"/>
      </w:pPr>
      <w:r>
        <w:rPr>
          <w:sz w:val="22"/>
          <w:szCs w:val="22"/>
        </w:rPr>
        <w:t xml:space="preserve">Cirurgia: trombectomia com cateter Fogarty + revisão de anastomose.</w:t>
      </w:r>
    </w:p>
    <w:p>
      <w:pPr>
        <w:pStyle w:val="Heading2"/>
        <w:spacing w:after="140" w:before="280"/>
      </w:pPr>
      <w:r>
        <w:rPr>
          <w:rFonts w:ascii="Arial" w:cs="Arial" w:eastAsia="Arial" w:hAnsi="Arial"/>
          <w:b/>
          <w:bCs/>
          <w:color w:val="1F4E79"/>
          <w:sz w:val="28"/>
          <w:szCs w:val="28"/>
        </w:rPr>
        <w:t xml:space="preserve">4.3. Resgate de Cateter Tunelizado Disfuncional</w:t>
      </w:r>
    </w:p>
    <w:p>
      <w:pPr>
        <w:spacing w:after="60" w:before="60" w:line="300"/>
        <w:jc w:val="both"/>
      </w:pPr>
      <w:r>
        <w:rPr>
          <w:sz w:val="22"/>
          <w:szCs w:val="22"/>
        </w:rPr>
        <w:t xml:space="preserve">Antes de remover, tentar restaurar:</w:t>
      </w:r>
    </w:p>
    <w:p>
      <w:pPr>
        <w:pStyle w:val="ListParagraph"/>
        <w:numPr>
          <w:ilvl w:val="0"/>
          <w:numId w:val="2"/>
        </w:numPr>
        <w:spacing w:after="40" w:before="40" w:line="280"/>
      </w:pPr>
      <w:r>
        <w:rPr>
          <w:sz w:val="22"/>
          <w:szCs w:val="22"/>
        </w:rPr>
        <w:t xml:space="preserve">Trombólise intraluminal: alteplase 2 mg/lúmen, dwell 30 min a 24 h.</w:t>
      </w:r>
    </w:p>
    <w:p>
      <w:pPr>
        <w:pStyle w:val="ListParagraph"/>
        <w:numPr>
          <w:ilvl w:val="0"/>
          <w:numId w:val="2"/>
        </w:numPr>
        <w:spacing w:after="40" w:before="40" w:line="280"/>
      </w:pPr>
      <w:r>
        <w:rPr>
          <w:sz w:val="22"/>
          <w:szCs w:val="22"/>
        </w:rPr>
        <w:t xml:space="preserve">Reposicionamento sob radioscopia (cateter "sucking" na parede da veia).</w:t>
      </w:r>
    </w:p>
    <w:p>
      <w:pPr>
        <w:pStyle w:val="ListParagraph"/>
        <w:numPr>
          <w:ilvl w:val="0"/>
          <w:numId w:val="2"/>
        </w:numPr>
        <w:spacing w:after="40" w:before="40" w:line="280"/>
      </w:pPr>
      <w:r>
        <w:rPr>
          <w:sz w:val="22"/>
          <w:szCs w:val="22"/>
        </w:rPr>
        <w:t xml:space="preserve">Troca por fio-guia (over-the-wire) com disrupção da bainha de fibrina por balão de angioplastia.</w:t>
      </w:r>
    </w:p>
    <w:p>
      <w:pPr>
        <w:pStyle w:val="ListParagraph"/>
        <w:numPr>
          <w:ilvl w:val="0"/>
          <w:numId w:val="2"/>
        </w:numPr>
        <w:spacing w:after="40" w:before="40" w:line="280"/>
      </w:pPr>
      <w:r>
        <w:rPr>
          <w:sz w:val="22"/>
          <w:szCs w:val="22"/>
        </w:rPr>
        <w:t xml:space="preserve">Lock antimicrobiano (taurolidina, gentamicina + heparina, citrato 4%) se infecção parcial sem bacteremia.</w:t>
      </w:r>
    </w:p>
    <w:p>
      <w:pPr>
        <w:pStyle w:val="Heading2"/>
        <w:spacing w:after="140" w:before="280"/>
      </w:pPr>
      <w:r>
        <w:rPr>
          <w:rFonts w:ascii="Arial" w:cs="Arial" w:eastAsia="Arial" w:hAnsi="Arial"/>
          <w:b/>
          <w:bCs/>
          <w:color w:val="1F4E79"/>
          <w:sz w:val="28"/>
          <w:szCs w:val="28"/>
        </w:rPr>
        <w:t xml:space="preserve">4.4. Recanalização Endovascular de Veias Centrais</w:t>
      </w:r>
    </w:p>
    <w:p>
      <w:pPr>
        <w:spacing w:after="60" w:before="60" w:line="300"/>
        <w:jc w:val="both"/>
      </w:pPr>
      <w:r>
        <w:rPr>
          <w:sz w:val="22"/>
          <w:szCs w:val="22"/>
        </w:rPr>
        <w:t xml:space="preserve">Em ESVA II–III, a recanalização de subclávia, inominada ou veia cava superior com fio-guia hidrofílico (Glidewire), pré-dilatação com balão 4–6 mm e implante de stent autoexpansível pode REABRIR uma rota convencional, evitando acessos heroicos. Sucesso técnico de 85–95% em centros experientes (literatura: AJKD Core Curriculum 2025).</w:t>
      </w:r>
    </w:p>
    <w:p>
      <w:pPr>
        <w:pStyle w:val="ListParagraph"/>
        <w:numPr>
          <w:ilvl w:val="0"/>
          <w:numId w:val="2"/>
        </w:numPr>
        <w:spacing w:after="40" w:before="40" w:line="280"/>
      </w:pPr>
      <w:r>
        <w:rPr>
          <w:sz w:val="22"/>
          <w:szCs w:val="22"/>
        </w:rPr>
        <w:t xml:space="preserve">Indicação: oclusão central com colaterais visíveis e segmento distal patente.</w:t>
      </w:r>
    </w:p>
    <w:p>
      <w:pPr>
        <w:pStyle w:val="ListParagraph"/>
        <w:numPr>
          <w:ilvl w:val="0"/>
          <w:numId w:val="2"/>
        </w:numPr>
        <w:spacing w:after="40" w:before="40" w:line="280"/>
      </w:pPr>
      <w:r>
        <w:rPr>
          <w:sz w:val="22"/>
          <w:szCs w:val="22"/>
        </w:rPr>
        <w:t xml:space="preserve">Contraindicação relativa: infecção ativa, oclusão crônica calcificada, paciente instável.</w:t>
      </w:r>
    </w:p>
    <w:p>
      <w:pPr>
        <w:spacing w:after="120" w:before="0"/>
      </w:pPr>
    </w:p>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5. Parte III — Acessos de Último Recurso (Vascular Access of Last Resort)</w:t>
      </w:r>
    </w:p>
    <w:p>
      <w:pPr>
        <w:spacing w:after="60" w:before="60" w:line="300"/>
        <w:jc w:val="both"/>
      </w:pPr>
      <w:r>
        <w:rPr>
          <w:sz w:val="22"/>
          <w:szCs w:val="22"/>
        </w:rPr>
        <w:t xml:space="preserve">Quando o capital convencional está esgotado, há um menu de opções heroicas, todas exigindo radiologia intervencionista vascular avançada e/ou cirurgia vascular de alta complexidade. Em Sobral / interior do Ceará, isso geralmente significa transferência para Fortaleza (Hospital Geral de Fortaleza, Hospital Universitário Walter Cantídio – HUWC, Hospital São Carlos, Hospital São Mateus) ou para centros de São Paulo / Rio.</w:t>
      </w:r>
    </w:p>
    <w:p>
      <w:pPr>
        <w:pStyle w:val="Heading2"/>
        <w:spacing w:after="140" w:before="280"/>
      </w:pPr>
      <w:r>
        <w:rPr>
          <w:rFonts w:ascii="Arial" w:cs="Arial" w:eastAsia="Arial" w:hAnsi="Arial"/>
          <w:b/>
          <w:bCs/>
          <w:color w:val="1F4E79"/>
          <w:sz w:val="28"/>
          <w:szCs w:val="28"/>
        </w:rPr>
        <w:t xml:space="preserve">5.1. Visão Geral das Opções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Opção</w:t>
            </w:r>
          </w:p>
        </w:tc>
        <w:tc>
          <w:tcPr>
            <w:tcW w:type="dxa" w:w="24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Indicação principal</w:t>
            </w:r>
          </w:p>
        </w:tc>
        <w:tc>
          <w:tcPr>
            <w:tcW w:type="dxa" w:w="228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Patência mediana</w:t>
            </w:r>
          </w:p>
        </w:tc>
        <w:tc>
          <w:tcPr>
            <w:tcW w:type="dxa" w:w="228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Complicação cardinal</w:t>
            </w:r>
          </w:p>
        </w:tc>
      </w:tr>
      <w:t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Cateter translombar (VCI)</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Oclusão de veias centrais torácicas (ESVA III)</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245–380 dias</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Hematoma retroperitoneal, migração</w:t>
            </w:r>
          </w:p>
        </w:tc>
      </w:tr>
      <w:t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Cateter transhepático</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Oclusão de cava superior E inferior (ESVA IV)</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295–392 dias</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Hemorragia, hemobilia, migração (5–15%)</w:t>
            </w:r>
          </w:p>
        </w:tc>
      </w:tr>
      <w:t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Cateter transrenal</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VCI ocluída no segmento médio (ESVA IV)</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Variável (poucas séries)</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Sangramento renal, perda renal residual</w:t>
            </w:r>
          </w:p>
        </w:tc>
      </w:tr>
      <w:t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HeRO graft</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Oclusão central torácica unilateral (ESVA II) com fluxo arterial preservado</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&gt; 1 ano (patência secundária ~70%)</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Trombose, infecção, isquemia distal</w:t>
            </w:r>
          </w:p>
        </w:tc>
      </w:tr>
      <w:t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Enxerto átrio direito</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ESVA IV–V em paciente com expectativa de vida razoável</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&gt; 1 ano em centros expertos</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Esternotomia, infecção mediastinal</w:t>
            </w:r>
          </w:p>
        </w:tc>
      </w:tr>
      <w:t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Loop arterial-arterial axilo-axilar</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ESVA V — sem qualquer rota venosa</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Limitada (séries pequenas)</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Embolia distal, isquemia membro</w:t>
            </w:r>
          </w:p>
        </w:tc>
      </w:tr>
      <w:t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Diálise peritoneal</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ESVA III–V se peritônio íntegro (sem múltiplas cirurgias prévias)</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Anos (técnica permanente)</w:t>
            </w:r>
          </w:p>
        </w:tc>
        <w:tc>
          <w:tcPr>
            <w:tcW w:type="dxa" w:w="22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Peritonite, falha de ultrafiltração</w:t>
            </w:r>
          </w:p>
        </w:tc>
      </w:tr>
    </w:tbl>
    <w:p>
      <w:pPr>
        <w:spacing w:after="120" w:before="0"/>
      </w:pPr>
    </w:p>
    <w:p>
      <w:pPr>
        <w:pStyle w:val="Heading2"/>
        <w:spacing w:after="140" w:before="280"/>
      </w:pPr>
      <w:r>
        <w:rPr>
          <w:rFonts w:ascii="Arial" w:cs="Arial" w:eastAsia="Arial" w:hAnsi="Arial"/>
          <w:b/>
          <w:bCs/>
          <w:color w:val="1F4E79"/>
          <w:sz w:val="28"/>
          <w:szCs w:val="28"/>
        </w:rPr>
        <w:t xml:space="preserve">5.2. Cateter Translombar de Veia Cava Inferior</w:t>
      </w:r>
    </w:p>
    <w:p>
      <w:pPr>
        <w:spacing w:after="60" w:before="60" w:line="300"/>
        <w:jc w:val="both"/>
      </w:pPr>
      <w:r>
        <w:rPr>
          <w:sz w:val="22"/>
          <w:szCs w:val="22"/>
        </w:rPr>
        <w:t xml:space="preserve">Cateter tunelizado inserido percutaneamente na VCI por via paravertebral direita, no nível L3–L4. Indicado quando subclávias, jugulares e inominadas estão ocluídas, mas a VCI infrarrenal está patente. Procedimento conduzido por radiologia intervencionista sob fluoroscopia + TC ou USG.</w:t>
      </w:r>
    </w:p>
    <w:p>
      <w:pPr>
        <w:pStyle w:val="Heading4"/>
        <w:spacing w:after="90" w:before="180"/>
      </w:pPr>
      <w:r>
        <w:rPr>
          <w:rFonts w:ascii="Arial" w:cs="Arial" w:eastAsia="Arial" w:hAnsi="Arial"/>
          <w:b/>
          <w:bCs/>
          <w:i/>
          <w:iCs/>
          <w:color w:val="595959"/>
          <w:sz w:val="22"/>
          <w:szCs w:val="22"/>
        </w:rPr>
        <w:t xml:space="preserve">Pré-requisitos técnicos:</w:t>
      </w:r>
    </w:p>
    <w:p>
      <w:pPr>
        <w:pStyle w:val="ListParagraph"/>
        <w:numPr>
          <w:ilvl w:val="0"/>
          <w:numId w:val="2"/>
        </w:numPr>
        <w:spacing w:after="40" w:before="40" w:line="280"/>
      </w:pPr>
      <w:r>
        <w:rPr>
          <w:sz w:val="22"/>
          <w:szCs w:val="22"/>
        </w:rPr>
        <w:t xml:space="preserve">Sala de hemodinâmica ou angiografia com fluoroscopia digital.</w:t>
      </w:r>
    </w:p>
    <w:p>
      <w:pPr>
        <w:pStyle w:val="ListParagraph"/>
        <w:numPr>
          <w:ilvl w:val="0"/>
          <w:numId w:val="2"/>
        </w:numPr>
        <w:spacing w:after="40" w:before="40" w:line="280"/>
      </w:pPr>
      <w:r>
        <w:rPr>
          <w:sz w:val="22"/>
          <w:szCs w:val="22"/>
        </w:rPr>
        <w:t xml:space="preserve">TC de abdome com contraste prévia (mapeamento de VCI, descartar trombose).</w:t>
      </w:r>
    </w:p>
    <w:p>
      <w:pPr>
        <w:pStyle w:val="ListParagraph"/>
        <w:numPr>
          <w:ilvl w:val="0"/>
          <w:numId w:val="2"/>
        </w:numPr>
        <w:spacing w:after="40" w:before="40" w:line="280"/>
      </w:pPr>
      <w:r>
        <w:rPr>
          <w:sz w:val="22"/>
          <w:szCs w:val="22"/>
        </w:rPr>
        <w:t xml:space="preserve">Radiologista intervencionista experiente.</w:t>
      </w:r>
    </w:p>
    <w:p>
      <w:pPr>
        <w:pStyle w:val="ListParagraph"/>
        <w:numPr>
          <w:ilvl w:val="0"/>
          <w:numId w:val="2"/>
        </w:numPr>
        <w:spacing w:after="40" w:before="40" w:line="280"/>
      </w:pPr>
      <w:r>
        <w:rPr>
          <w:sz w:val="22"/>
          <w:szCs w:val="22"/>
        </w:rPr>
        <w:t xml:space="preserve">Cateter tunelizado de duplo lúmen (Permcath, Hickman, Tesio) — 35–55 cm.</w:t>
      </w:r>
    </w:p>
    <w:p>
      <w:pPr>
        <w:pStyle w:val="ListParagraph"/>
        <w:numPr>
          <w:ilvl w:val="0"/>
          <w:numId w:val="2"/>
        </w:numPr>
        <w:spacing w:after="40" w:before="40" w:line="280"/>
      </w:pPr>
      <w:r>
        <w:rPr>
          <w:sz w:val="22"/>
          <w:szCs w:val="22"/>
        </w:rPr>
        <w:t xml:space="preserve">Suporte cirúrgico vascular para complicações (hematoma retroperitoneal).</w:t>
      </w:r>
    </w:p>
    <w:p>
      <w:pPr>
        <w:pStyle w:val="Heading4"/>
        <w:spacing w:after="90" w:before="180"/>
      </w:pPr>
      <w:r>
        <w:rPr>
          <w:rFonts w:ascii="Arial" w:cs="Arial" w:eastAsia="Arial" w:hAnsi="Arial"/>
          <w:b/>
          <w:bCs/>
          <w:i/>
          <w:iCs/>
          <w:color w:val="595959"/>
          <w:sz w:val="22"/>
          <w:szCs w:val="22"/>
        </w:rPr>
        <w:t xml:space="preserve">Resultados (Ziapour 2023, meta-análise):</w:t>
      </w:r>
    </w:p>
    <w:p>
      <w:pPr>
        <w:pStyle w:val="ListParagraph"/>
        <w:numPr>
          <w:ilvl w:val="0"/>
          <w:numId w:val="2"/>
        </w:numPr>
        <w:spacing w:after="40" w:before="40" w:line="280"/>
      </w:pPr>
      <w:r>
        <w:rPr>
          <w:sz w:val="22"/>
          <w:szCs w:val="22"/>
        </w:rPr>
        <w:t xml:space="preserve">Sucesso técnico: 95–100%.</w:t>
      </w:r>
    </w:p>
    <w:p>
      <w:pPr>
        <w:pStyle w:val="ListParagraph"/>
        <w:numPr>
          <w:ilvl w:val="0"/>
          <w:numId w:val="2"/>
        </w:numPr>
        <w:spacing w:after="40" w:before="40" w:line="280"/>
      </w:pPr>
      <w:r>
        <w:rPr>
          <w:sz w:val="22"/>
          <w:szCs w:val="22"/>
        </w:rPr>
        <w:t xml:space="preserve">Patência primária mediana: 245 dias.</w:t>
      </w:r>
    </w:p>
    <w:p>
      <w:pPr>
        <w:pStyle w:val="ListParagraph"/>
        <w:numPr>
          <w:ilvl w:val="0"/>
          <w:numId w:val="2"/>
        </w:numPr>
        <w:spacing w:after="40" w:before="40" w:line="280"/>
      </w:pPr>
      <w:r>
        <w:rPr>
          <w:sz w:val="22"/>
          <w:szCs w:val="22"/>
        </w:rPr>
        <w:t xml:space="preserve">Complicações maiores: 5–8% (sangramento, migração).</w:t>
      </w:r>
    </w:p>
    <w:p>
      <w:pPr>
        <w:pStyle w:val="ListParagraph"/>
        <w:numPr>
          <w:ilvl w:val="0"/>
          <w:numId w:val="2"/>
        </w:numPr>
        <w:spacing w:after="40" w:before="40" w:line="280"/>
      </w:pPr>
      <w:r>
        <w:rPr>
          <w:sz w:val="22"/>
          <w:szCs w:val="22"/>
        </w:rPr>
        <w:t xml:space="preserve">Infecção/1000 cateter-dia: 1,2–1,8 (similar ao tunelizado convencional).</w:t>
      </w:r>
    </w:p>
    <w:p>
      <w:pPr>
        <w:spacing w:after="120" w:before="0"/>
      </w:pPr>
    </w:p>
    <w:p>
      <w:pPr>
        <w:pStyle w:val="Heading2"/>
        <w:spacing w:after="140" w:before="280"/>
      </w:pPr>
      <w:r>
        <w:rPr>
          <w:rFonts w:ascii="Arial" w:cs="Arial" w:eastAsia="Arial" w:hAnsi="Arial"/>
          <w:b/>
          <w:bCs/>
          <w:color w:val="1F4E79"/>
          <w:sz w:val="28"/>
          <w:szCs w:val="28"/>
        </w:rPr>
        <w:t xml:space="preserve">5.3. Cateter Transhepático</w:t>
      </w:r>
    </w:p>
    <w:p>
      <w:pPr>
        <w:spacing w:after="60" w:before="60" w:line="300"/>
        <w:jc w:val="both"/>
      </w:pPr>
      <w:r>
        <w:rPr>
          <w:sz w:val="22"/>
          <w:szCs w:val="22"/>
        </w:rPr>
        <w:t xml:space="preserve">Cateter inserido pela veia hepática direita (ou média) acessada percutaneamente sob USG + fluoroscopia, com ponta avançada até a junção VCI–átrio direito. Indicado em ESVA IV (cava superior E inferior comprometidas) ou quando translombar é inviável.</w:t>
      </w:r>
    </w:p>
    <w:p>
      <w:pPr>
        <w:pStyle w:val="Heading4"/>
        <w:spacing w:after="90" w:before="180"/>
      </w:pPr>
      <w:r>
        <w:rPr>
          <w:rFonts w:ascii="Arial" w:cs="Arial" w:eastAsia="Arial" w:hAnsi="Arial"/>
          <w:b/>
          <w:bCs/>
          <w:i/>
          <w:iCs/>
          <w:color w:val="595959"/>
          <w:sz w:val="22"/>
          <w:szCs w:val="22"/>
        </w:rPr>
        <w:t xml:space="preserve">Pré-requisitos:</w:t>
      </w:r>
    </w:p>
    <w:p>
      <w:pPr>
        <w:pStyle w:val="ListParagraph"/>
        <w:numPr>
          <w:ilvl w:val="0"/>
          <w:numId w:val="2"/>
        </w:numPr>
        <w:spacing w:after="40" w:before="40" w:line="280"/>
      </w:pPr>
      <w:r>
        <w:rPr>
          <w:sz w:val="22"/>
          <w:szCs w:val="22"/>
        </w:rPr>
        <w:t xml:space="preserve">Radiologista intervencionista hepático experiente.</w:t>
      </w:r>
    </w:p>
    <w:p>
      <w:pPr>
        <w:pStyle w:val="ListParagraph"/>
        <w:numPr>
          <w:ilvl w:val="0"/>
          <w:numId w:val="2"/>
        </w:numPr>
        <w:spacing w:after="40" w:before="40" w:line="280"/>
      </w:pPr>
      <w:r>
        <w:rPr>
          <w:sz w:val="22"/>
          <w:szCs w:val="22"/>
        </w:rPr>
        <w:t xml:space="preserve">USG de alta resolução + fluoroscopia.</w:t>
      </w:r>
    </w:p>
    <w:p>
      <w:pPr>
        <w:pStyle w:val="ListParagraph"/>
        <w:numPr>
          <w:ilvl w:val="0"/>
          <w:numId w:val="2"/>
        </w:numPr>
        <w:spacing w:after="40" w:before="40" w:line="280"/>
      </w:pPr>
      <w:r>
        <w:rPr>
          <w:sz w:val="22"/>
          <w:szCs w:val="22"/>
        </w:rPr>
        <w:t xml:space="preserve">Coagulopatia controlada (INR &lt; 1,5; plaquetas &gt; 50.000).</w:t>
      </w:r>
    </w:p>
    <w:p>
      <w:pPr>
        <w:pStyle w:val="ListParagraph"/>
        <w:numPr>
          <w:ilvl w:val="0"/>
          <w:numId w:val="2"/>
        </w:numPr>
        <w:spacing w:after="40" w:before="40" w:line="280"/>
      </w:pPr>
      <w:r>
        <w:rPr>
          <w:sz w:val="22"/>
          <w:szCs w:val="22"/>
        </w:rPr>
        <w:t xml:space="preserve">Ascite ausente ou moderada (drenar prévio se grande volume).</w:t>
      </w:r>
    </w:p>
    <w:p>
      <w:pPr>
        <w:pStyle w:val="Heading4"/>
        <w:spacing w:after="90" w:before="180"/>
      </w:pPr>
      <w:r>
        <w:rPr>
          <w:rFonts w:ascii="Arial" w:cs="Arial" w:eastAsia="Arial" w:hAnsi="Arial"/>
          <w:b/>
          <w:bCs/>
          <w:i/>
          <w:iCs/>
          <w:color w:val="595959"/>
          <w:sz w:val="22"/>
          <w:szCs w:val="22"/>
        </w:rPr>
        <w:t xml:space="preserve">Resultados (Khallaf 2019; King Faisal Hospital 2022):</w:t>
      </w:r>
    </w:p>
    <w:p>
      <w:pPr>
        <w:pStyle w:val="ListParagraph"/>
        <w:numPr>
          <w:ilvl w:val="0"/>
          <w:numId w:val="2"/>
        </w:numPr>
        <w:spacing w:after="40" w:before="40" w:line="280"/>
      </w:pPr>
      <w:r>
        <w:rPr>
          <w:sz w:val="22"/>
          <w:szCs w:val="22"/>
        </w:rPr>
        <w:t xml:space="preserve">Sucesso técnico: 100% nas séries publicadas.</w:t>
      </w:r>
    </w:p>
    <w:p>
      <w:pPr>
        <w:pStyle w:val="ListParagraph"/>
        <w:numPr>
          <w:ilvl w:val="0"/>
          <w:numId w:val="2"/>
        </w:numPr>
        <w:spacing w:after="40" w:before="40" w:line="280"/>
      </w:pPr>
      <w:r>
        <w:rPr>
          <w:sz w:val="22"/>
          <w:szCs w:val="22"/>
        </w:rPr>
        <w:t xml:space="preserve">Patência mediana: 295–392 dias.</w:t>
      </w:r>
    </w:p>
    <w:p>
      <w:pPr>
        <w:pStyle w:val="ListParagraph"/>
        <w:numPr>
          <w:ilvl w:val="0"/>
          <w:numId w:val="2"/>
        </w:numPr>
        <w:spacing w:after="40" w:before="40" w:line="280"/>
      </w:pPr>
      <w:r>
        <w:rPr>
          <w:sz w:val="22"/>
          <w:szCs w:val="22"/>
        </w:rPr>
        <w:t xml:space="preserve">Migração: 5–15% (ponta cresce em direção ao fígado conforme respiração).</w:t>
      </w:r>
    </w:p>
    <w:p>
      <w:pPr>
        <w:pStyle w:val="ListParagraph"/>
        <w:numPr>
          <w:ilvl w:val="0"/>
          <w:numId w:val="2"/>
        </w:numPr>
        <w:spacing w:after="40" w:before="40" w:line="280"/>
      </w:pPr>
      <w:r>
        <w:rPr>
          <w:sz w:val="22"/>
          <w:szCs w:val="22"/>
        </w:rPr>
        <w:t xml:space="preserve">Complicações: hemorragia (3–8%), hemobilia, perfuração biliar.</w:t>
      </w:r>
    </w:p>
    <w:p>
      <w:pPr>
        <w:spacing w:after="120" w:before="0"/>
      </w:pPr>
    </w:p>
    <w:p>
      <w:pPr>
        <w:pStyle w:val="Heading2"/>
        <w:spacing w:after="140" w:before="280"/>
      </w:pPr>
      <w:r>
        <w:rPr>
          <w:rFonts w:ascii="Arial" w:cs="Arial" w:eastAsia="Arial" w:hAnsi="Arial"/>
          <w:b/>
          <w:bCs/>
          <w:color w:val="1F4E79"/>
          <w:sz w:val="28"/>
          <w:szCs w:val="28"/>
        </w:rPr>
        <w:t xml:space="preserve">5.4. HeRO Graft (Hemodialysis Reliable Outflow)</w:t>
      </w:r>
    </w:p>
    <w:p>
      <w:pPr>
        <w:spacing w:after="60" w:before="60" w:line="300"/>
        <w:jc w:val="both"/>
      </w:pPr>
      <w:r>
        <w:rPr>
          <w:sz w:val="22"/>
          <w:szCs w:val="22"/>
        </w:rPr>
        <w:t xml:space="preserve">Dispositivo híbrido combinando enxerto arteriovenoso de PTFE com componente venoso de nitinol que atravessa a estenose central até o átrio direito. FDA-aprovado desde 2008. Solução DEFINITIVA para ESVA II–III com inflow arterial preservado.</w:t>
      </w:r>
    </w:p>
    <w:p>
      <w:pPr>
        <w:pStyle w:val="Heading4"/>
        <w:spacing w:after="90" w:before="180"/>
      </w:pPr>
      <w:r>
        <w:rPr>
          <w:rFonts w:ascii="Arial" w:cs="Arial" w:eastAsia="Arial" w:hAnsi="Arial"/>
          <w:b/>
          <w:bCs/>
          <w:i/>
          <w:iCs/>
          <w:color w:val="595959"/>
          <w:sz w:val="22"/>
          <w:szCs w:val="22"/>
        </w:rPr>
        <w:t xml:space="preserve">Componentes:</w:t>
      </w:r>
    </w:p>
    <w:p>
      <w:pPr>
        <w:pStyle w:val="ListParagraph"/>
        <w:numPr>
          <w:ilvl w:val="0"/>
          <w:numId w:val="2"/>
        </w:numPr>
        <w:spacing w:after="40" w:before="40" w:line="280"/>
      </w:pPr>
      <w:r>
        <w:rPr>
          <w:sz w:val="22"/>
          <w:szCs w:val="22"/>
        </w:rPr>
        <w:t xml:space="preserve">Enxerto arterial (6 mm PTFE) — anastomosado em artéria braquial ou axilar.</w:t>
      </w:r>
    </w:p>
    <w:p>
      <w:pPr>
        <w:pStyle w:val="ListParagraph"/>
        <w:numPr>
          <w:ilvl w:val="0"/>
          <w:numId w:val="2"/>
        </w:numPr>
        <w:spacing w:after="40" w:before="40" w:line="280"/>
      </w:pPr>
      <w:r>
        <w:rPr>
          <w:sz w:val="22"/>
          <w:szCs w:val="22"/>
        </w:rPr>
        <w:t xml:space="preserve">Componente venoso (5 mm reforçado com nitinol) — atravessa veia subclávia, inominada e cava superior até o átrio direito.</w:t>
      </w:r>
    </w:p>
    <w:p>
      <w:pPr>
        <w:pStyle w:val="Heading4"/>
        <w:spacing w:after="90" w:before="180"/>
      </w:pPr>
      <w:r>
        <w:rPr>
          <w:rFonts w:ascii="Arial" w:cs="Arial" w:eastAsia="Arial" w:hAnsi="Arial"/>
          <w:b/>
          <w:bCs/>
          <w:i/>
          <w:iCs/>
          <w:color w:val="595959"/>
          <w:sz w:val="22"/>
          <w:szCs w:val="22"/>
        </w:rPr>
        <w:t xml:space="preserve">Resultados (revisão sistemática de Inston 2020):</w:t>
      </w:r>
    </w:p>
    <w:p>
      <w:pPr>
        <w:pStyle w:val="ListParagraph"/>
        <w:numPr>
          <w:ilvl w:val="0"/>
          <w:numId w:val="2"/>
        </w:numPr>
        <w:spacing w:after="40" w:before="40" w:line="280"/>
      </w:pPr>
      <w:r>
        <w:rPr>
          <w:sz w:val="22"/>
          <w:szCs w:val="22"/>
        </w:rPr>
        <w:t xml:space="preserve">Patência primária 1 ano: ~50%; secundária 1 ano: ~70%.</w:t>
      </w:r>
    </w:p>
    <w:p>
      <w:pPr>
        <w:pStyle w:val="ListParagraph"/>
        <w:numPr>
          <w:ilvl w:val="0"/>
          <w:numId w:val="2"/>
        </w:numPr>
        <w:spacing w:after="40" w:before="40" w:line="280"/>
      </w:pPr>
      <w:r>
        <w:rPr>
          <w:sz w:val="22"/>
          <w:szCs w:val="22"/>
        </w:rPr>
        <w:t xml:space="preserve">Bacteremia: 0,7/1000 dias (vs. 2,3/1000 dias em cateter tunelizado).</w:t>
      </w:r>
    </w:p>
    <w:p>
      <w:pPr>
        <w:pStyle w:val="ListParagraph"/>
        <w:numPr>
          <w:ilvl w:val="0"/>
          <w:numId w:val="2"/>
        </w:numPr>
        <w:spacing w:after="40" w:before="40" w:line="280"/>
      </w:pPr>
      <w:r>
        <w:rPr>
          <w:sz w:val="22"/>
          <w:szCs w:val="22"/>
        </w:rPr>
        <w:t xml:space="preserve">Adequação dialítica (Kt/V médio): 1,7.</w:t>
      </w:r>
    </w:p>
    <w:p>
      <w:pPr>
        <w:pStyle w:val="ListParagraph"/>
        <w:numPr>
          <w:ilvl w:val="0"/>
          <w:numId w:val="2"/>
        </w:numPr>
        <w:spacing w:after="40" w:before="40" w:line="280"/>
      </w:pPr>
      <w:r>
        <w:rPr>
          <w:sz w:val="22"/>
          <w:szCs w:val="22"/>
        </w:rPr>
        <w:t xml:space="preserve">Disponibilidade no Brasil: limitada — apenas centros privados ou universitários selecionados, importação cara.</w:t>
      </w:r>
    </w:p>
    <w:p>
      <w:pPr>
        <w:spacing w:after="120" w:before="0"/>
      </w:pPr>
    </w:p>
    <w:p>
      <w:pPr>
        <w:pStyle w:val="Heading2"/>
        <w:spacing w:after="140" w:before="280"/>
      </w:pPr>
      <w:r>
        <w:rPr>
          <w:rFonts w:ascii="Arial" w:cs="Arial" w:eastAsia="Arial" w:hAnsi="Arial"/>
          <w:b/>
          <w:bCs/>
          <w:color w:val="1F4E79"/>
          <w:sz w:val="28"/>
          <w:szCs w:val="28"/>
        </w:rPr>
        <w:t xml:space="preserve">5.5. Outras Opções de Último Recurso</w:t>
      </w:r>
    </w:p>
    <w:p>
      <w:pPr>
        <w:pStyle w:val="Heading3"/>
        <w:spacing w:after="110" w:before="220"/>
      </w:pPr>
      <w:r>
        <w:rPr>
          <w:rFonts w:ascii="Arial" w:cs="Arial" w:eastAsia="Arial" w:hAnsi="Arial"/>
          <w:b/>
          <w:bCs/>
          <w:color w:val="1F4E79"/>
          <w:sz w:val="24"/>
          <w:szCs w:val="24"/>
        </w:rPr>
        <w:t xml:space="preserve">5.5.1. Cateter Transrenal</w:t>
      </w:r>
    </w:p>
    <w:p>
      <w:pPr>
        <w:spacing w:after="60" w:before="60" w:line="300"/>
        <w:jc w:val="both"/>
      </w:pPr>
      <w:r>
        <w:rPr>
          <w:sz w:val="22"/>
          <w:szCs w:val="22"/>
        </w:rPr>
        <w:t xml:space="preserve">Acesso à VCI suprarrenal via parênquima renal, descrito em séries pequenas (Hur 2021 — 6 casos com sucesso). Considerado quando ambos translombar e transhepático são inviáveis. Pressupõe sacrifício parcial da função renal residual — em paciente já anúrico, é trade-off aceitável.</w:t>
      </w:r>
    </w:p>
    <w:p>
      <w:pPr>
        <w:pStyle w:val="Heading3"/>
        <w:spacing w:after="110" w:before="220"/>
      </w:pPr>
      <w:r>
        <w:rPr>
          <w:rFonts w:ascii="Arial" w:cs="Arial" w:eastAsia="Arial" w:hAnsi="Arial"/>
          <w:b/>
          <w:bCs/>
          <w:color w:val="1F4E79"/>
          <w:sz w:val="24"/>
          <w:szCs w:val="24"/>
        </w:rPr>
        <w:t xml:space="preserve">5.5.2. Enxerto Átrio Direito (Right Atrial Graft / Bypass)</w:t>
      </w:r>
    </w:p>
    <w:p>
      <w:pPr>
        <w:spacing w:after="60" w:before="60" w:line="300"/>
        <w:jc w:val="both"/>
      </w:pPr>
      <w:r>
        <w:rPr>
          <w:sz w:val="22"/>
          <w:szCs w:val="22"/>
        </w:rPr>
        <w:t xml:space="preserve">PTFE anastomosado da artéria axilar ao átrio direito via mini-toracotomia ou esternotomia parcial. Solução durável (&gt;1 ano em maioria dos pacientes), porém com morbidade cirúrgica significativa. Indicação: ESVA IV–V com expectativa de vida ≥ 12 meses e sem opção endovascular.</w:t>
      </w:r>
    </w:p>
    <w:p>
      <w:pPr>
        <w:pStyle w:val="Heading3"/>
        <w:spacing w:after="110" w:before="220"/>
      </w:pPr>
      <w:r>
        <w:rPr>
          <w:rFonts w:ascii="Arial" w:cs="Arial" w:eastAsia="Arial" w:hAnsi="Arial"/>
          <w:b/>
          <w:bCs/>
          <w:color w:val="1F4E79"/>
          <w:sz w:val="24"/>
          <w:szCs w:val="24"/>
        </w:rPr>
        <w:t xml:space="preserve">5.5.3. Acesso Arterial-Arterial (Loop Axilo-Axilar ou Femoro-Femoral)</w:t>
      </w:r>
    </w:p>
    <w:p>
      <w:pPr>
        <w:spacing w:after="60" w:before="60" w:line="300"/>
        <w:jc w:val="both"/>
      </w:pPr>
      <w:r>
        <w:rPr>
          <w:sz w:val="22"/>
          <w:szCs w:val="22"/>
        </w:rPr>
        <w:t xml:space="preserve">PTFE em loop conectando artéria axilar a contralateral (ou femoral). Desvantagens: pressão arterial alta no enxerto, risco de embolia distal e isquemia, fluxo limitado. Reservado para casos extremos sem nenhuma rota venosa.</w:t>
      </w:r>
    </w:p>
    <w:p>
      <w:pPr>
        <w:pStyle w:val="Heading3"/>
        <w:spacing w:after="110" w:before="220"/>
      </w:pPr>
      <w:r>
        <w:rPr>
          <w:rFonts w:ascii="Arial" w:cs="Arial" w:eastAsia="Arial" w:hAnsi="Arial"/>
          <w:b/>
          <w:bCs/>
          <w:color w:val="1F4E79"/>
          <w:sz w:val="24"/>
          <w:szCs w:val="24"/>
        </w:rPr>
        <w:t xml:space="preserve">5.5.4. Dispositivo Surfacer (Inside-Out Vascular Access)</w:t>
      </w:r>
    </w:p>
    <w:p>
      <w:pPr>
        <w:spacing w:after="60" w:before="60" w:line="300"/>
        <w:jc w:val="both"/>
      </w:pPr>
      <w:r>
        <w:rPr>
          <w:sz w:val="22"/>
          <w:szCs w:val="22"/>
        </w:rPr>
        <w:t xml:space="preserve">Aprovado pelo FDA em 2020. Permite implantar cateter na região supraclavicular direita em pacientes com oclusão central direita. Sob fluoroscopia, bainha rígida é avançada da veia femoral, atravessando o tecido cervical, criando novo trajeto. Sucesso de 97% em estudo europeu multicêntrico.</w:t>
      </w:r>
    </w:p>
    <w:p>
      <w:pPr>
        <w:spacing w:after="120" w:before="0"/>
      </w:pPr>
    </w:p>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6. Parte IV — Diálise Peritoneal de Emergência ("Acute PD")</w:t>
      </w:r>
    </w:p>
    <w:p>
      <w:pPr>
        <w:spacing w:after="60" w:before="60" w:line="300"/>
        <w:jc w:val="both"/>
      </w:pPr>
      <w:r>
        <w:rPr>
          <w:sz w:val="22"/>
          <w:szCs w:val="22"/>
        </w:rPr>
        <w:t xml:space="preserve">Em ambientes com recurso limitado e ESVA grave, a diálise peritoneal aguda é uma opção SUBUTILIZADA mas potencialmente salva-vidas. ISPD (International Society for Peritoneal Dialysis) publicou em 2020 diretrizes específicas para PD aguda.</w:t>
      </w:r>
    </w:p>
    <w:p>
      <w:pPr>
        <w:pStyle w:val="Heading2"/>
        <w:spacing w:after="140" w:before="280"/>
      </w:pPr>
      <w:r>
        <w:rPr>
          <w:rFonts w:ascii="Arial" w:cs="Arial" w:eastAsia="Arial" w:hAnsi="Arial"/>
          <w:b/>
          <w:bCs/>
          <w:color w:val="1F4E79"/>
          <w:sz w:val="28"/>
          <w:szCs w:val="28"/>
        </w:rPr>
        <w:t xml:space="preserve">6.1. Cenários de Indicação Emergencial</w:t>
      </w:r>
    </w:p>
    <w:p>
      <w:pPr>
        <w:pStyle w:val="ListParagraph"/>
        <w:numPr>
          <w:ilvl w:val="0"/>
          <w:numId w:val="2"/>
        </w:numPr>
        <w:spacing w:after="40" w:before="40" w:line="280"/>
      </w:pPr>
      <w:r>
        <w:rPr>
          <w:sz w:val="22"/>
          <w:szCs w:val="22"/>
        </w:rPr>
        <w:t xml:space="preserve">ESVA III–V sem disponibilidade imediata de acesso vascular alternativo.</w:t>
      </w:r>
    </w:p>
    <w:p>
      <w:pPr>
        <w:pStyle w:val="ListParagraph"/>
        <w:numPr>
          <w:ilvl w:val="0"/>
          <w:numId w:val="2"/>
        </w:numPr>
        <w:spacing w:after="40" w:before="40" w:line="280"/>
      </w:pPr>
      <w:r>
        <w:rPr>
          <w:sz w:val="22"/>
          <w:szCs w:val="22"/>
        </w:rPr>
        <w:t xml:space="preserve">Hipercalemia refratária com instabilidade hemodinâmica.</w:t>
      </w:r>
    </w:p>
    <w:p>
      <w:pPr>
        <w:pStyle w:val="ListParagraph"/>
        <w:numPr>
          <w:ilvl w:val="0"/>
          <w:numId w:val="2"/>
        </w:numPr>
        <w:spacing w:after="40" w:before="40" w:line="280"/>
      </w:pPr>
      <w:r>
        <w:rPr>
          <w:sz w:val="22"/>
          <w:szCs w:val="22"/>
        </w:rPr>
        <w:t xml:space="preserve">Hipervolemia / EAP refratário a medidas farmacológicas.</w:t>
      </w:r>
    </w:p>
    <w:p>
      <w:pPr>
        <w:pStyle w:val="ListParagraph"/>
        <w:numPr>
          <w:ilvl w:val="0"/>
          <w:numId w:val="2"/>
        </w:numPr>
        <w:spacing w:after="40" w:before="40" w:line="280"/>
      </w:pPr>
      <w:r>
        <w:rPr>
          <w:sz w:val="22"/>
          <w:szCs w:val="22"/>
        </w:rPr>
        <w:t xml:space="preserve">Acidose metabólica grave persistente.</w:t>
      </w:r>
    </w:p>
    <w:p>
      <w:pPr>
        <w:pStyle w:val="ListParagraph"/>
        <w:numPr>
          <w:ilvl w:val="0"/>
          <w:numId w:val="2"/>
        </w:numPr>
        <w:spacing w:after="40" w:before="40" w:line="280"/>
      </w:pPr>
      <w:r>
        <w:rPr>
          <w:sz w:val="22"/>
          <w:szCs w:val="22"/>
        </w:rPr>
        <w:t xml:space="preserve">Ponte até obtenção de acesso vascular ou transferência.</w:t>
      </w:r>
    </w:p>
    <w:p>
      <w:pPr>
        <w:pStyle w:val="Heading2"/>
        <w:spacing w:after="140" w:before="280"/>
      </w:pPr>
      <w:r>
        <w:rPr>
          <w:rFonts w:ascii="Arial" w:cs="Arial" w:eastAsia="Arial" w:hAnsi="Arial"/>
          <w:b/>
          <w:bCs/>
          <w:color w:val="1F4E79"/>
          <w:sz w:val="28"/>
          <w:szCs w:val="28"/>
        </w:rPr>
        <w:t xml:space="preserve">6.2. Pré-requisitos Anatômicos / Clínicos</w:t>
      </w:r>
    </w:p>
    <w:p>
      <w:pPr>
        <w:pStyle w:val="ListParagraph"/>
        <w:numPr>
          <w:ilvl w:val="0"/>
          <w:numId w:val="2"/>
        </w:numPr>
        <w:spacing w:after="40" w:before="40" w:line="280"/>
      </w:pPr>
      <w:r>
        <w:rPr>
          <w:sz w:val="22"/>
          <w:szCs w:val="22"/>
        </w:rPr>
        <w:t xml:space="preserve">Cavidade peritoneal íntegra (sem múltiplas cirurgias abdominais prévias com aderências extensas).</w:t>
      </w:r>
    </w:p>
    <w:p>
      <w:pPr>
        <w:pStyle w:val="ListParagraph"/>
        <w:numPr>
          <w:ilvl w:val="0"/>
          <w:numId w:val="2"/>
        </w:numPr>
        <w:spacing w:after="40" w:before="40" w:line="280"/>
      </w:pPr>
      <w:r>
        <w:rPr>
          <w:sz w:val="22"/>
          <w:szCs w:val="22"/>
        </w:rPr>
        <w:t xml:space="preserve">Ausência de hérnia abdominal grande não corrigida.</w:t>
      </w:r>
    </w:p>
    <w:p>
      <w:pPr>
        <w:pStyle w:val="ListParagraph"/>
        <w:numPr>
          <w:ilvl w:val="0"/>
          <w:numId w:val="2"/>
        </w:numPr>
        <w:spacing w:after="40" w:before="40" w:line="280"/>
      </w:pPr>
      <w:r>
        <w:rPr>
          <w:sz w:val="22"/>
          <w:szCs w:val="22"/>
        </w:rPr>
        <w:t xml:space="preserve">Ausência de infecção de parede abdominal ativa.</w:t>
      </w:r>
    </w:p>
    <w:p>
      <w:pPr>
        <w:pStyle w:val="ListParagraph"/>
        <w:numPr>
          <w:ilvl w:val="0"/>
          <w:numId w:val="2"/>
        </w:numPr>
        <w:spacing w:after="40" w:before="40" w:line="280"/>
      </w:pPr>
      <w:r>
        <w:rPr>
          <w:sz w:val="22"/>
          <w:szCs w:val="22"/>
        </w:rPr>
        <w:t xml:space="preserve">Cooperação do paciente / acompanhante (técnica manual).</w:t>
      </w:r>
    </w:p>
    <w:p>
      <w:pPr>
        <w:pStyle w:val="Heading2"/>
        <w:spacing w:after="140" w:before="280"/>
      </w:pPr>
      <w:r>
        <w:rPr>
          <w:rFonts w:ascii="Arial" w:cs="Arial" w:eastAsia="Arial" w:hAnsi="Arial"/>
          <w:b/>
          <w:bCs/>
          <w:color w:val="1F4E79"/>
          <w:sz w:val="28"/>
          <w:szCs w:val="28"/>
        </w:rPr>
        <w:t xml:space="preserve">6.3. Quando Não Há Cateter de Tenckhoff Disponível — Improvisação Segura</w:t>
      </w:r>
    </w:p>
    <w:p>
      <w:pPr>
        <w:spacing w:after="60" w:before="60" w:line="300"/>
        <w:jc w:val="both"/>
      </w:pPr>
      <w:r>
        <w:rPr>
          <w:sz w:val="22"/>
          <w:szCs w:val="22"/>
        </w:rPr>
        <w:t xml:space="preserve">Em emergência, quando o cateter de Tenckhoff convencional não está disponível, a literatura (Ranganathan 2009; Cullis 2014; ISPD 2020) descreve alternativas. Atenção: SEMPRE a opção é trade-off entre risco de peritonite/perfuração vs. morte por uremia. Documentar tudo, consentimento informado, e se possível discutir com nefrologia central via telemedicina.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Opção improvisada</w:t>
            </w:r>
          </w:p>
        </w:tc>
        <w:tc>
          <w:tcPr>
            <w:tcW w:type="dxa" w:w="338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Como obter / inserir</w:t>
            </w:r>
          </w:p>
        </w:tc>
        <w:tc>
          <w:tcPr>
            <w:tcW w:type="dxa" w:w="338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Limitações</w:t>
            </w:r>
          </w:p>
        </w:tc>
      </w:tr>
      <w:tr>
        <w:tc>
          <w:tcPr>
            <w:tcW w:type="dxa" w:w="2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Cateter rígido de PD agudo (estilete)</w:t>
            </w:r>
          </w:p>
        </w:tc>
        <w:tc>
          <w:tcPr>
            <w:tcW w:type="dxa" w:w="33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Stocked em alguns centros; inserção à beira-leito sob anestesia local, infraumbilical, com punção e progressão até pelve</w:t>
            </w:r>
          </w:p>
        </w:tc>
        <w:tc>
          <w:tcPr>
            <w:tcW w:type="dxa" w:w="33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Permanência limitada a 72 h; alto risco de peritonite após 3 dias; pequeno fluxo</w:t>
            </w:r>
          </w:p>
        </w:tc>
      </w:tr>
      <w:tr>
        <w:tc>
          <w:tcPr>
            <w:tcW w:type="dxa" w:w="2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Dreno torácico (Argyle / pig-tail)</w:t>
            </w:r>
          </w:p>
        </w:tc>
        <w:tc>
          <w:tcPr>
            <w:tcW w:type="dxa" w:w="33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Inserção percutânea em pelve sob USG, técnica de Seldinger; cateter 16–24 Fr</w:t>
            </w:r>
          </w:p>
        </w:tc>
        <w:tc>
          <w:tcPr>
            <w:tcW w:type="dxa" w:w="33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Uso temporário (24–72 h); risco de perfuração visceral e peritonite</w:t>
            </w:r>
          </w:p>
        </w:tc>
      </w:tr>
      <w:tr>
        <w:tc>
          <w:tcPr>
            <w:tcW w:type="dxa" w:w="2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Cateter venoso central de duplo lúmen (improvisado)</w:t>
            </w:r>
          </w:p>
        </w:tc>
        <w:tc>
          <w:tcPr>
            <w:tcW w:type="dxa" w:w="33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Inserção percutânea sob USG na pelve; usado para infusão e drenagem alternada</w:t>
            </w:r>
          </w:p>
        </w:tc>
        <w:tc>
          <w:tcPr>
            <w:tcW w:type="dxa" w:w="33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Fluxo muito baixo, risco alto de obstrução e infecção</w:t>
            </w:r>
          </w:p>
        </w:tc>
      </w:tr>
      <w:tr>
        <w:tc>
          <w:tcPr>
            <w:tcW w:type="dxa" w:w="26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Inserção cirúrgica de Tenckhoff à beira-leito</w:t>
            </w:r>
          </w:p>
        </w:tc>
        <w:tc>
          <w:tcPr>
            <w:tcW w:type="dxa" w:w="33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Mini-laparotomia infraumbilical (3–4 cm), inserção sob visão direta, túnel subcutâneo</w:t>
            </w:r>
          </w:p>
        </w:tc>
        <w:tc>
          <w:tcPr>
            <w:tcW w:type="dxa" w:w="338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Requer cirurgião disponível e bloco/sala adequada; melhor opção se viável</w:t>
            </w:r>
          </w:p>
        </w:tc>
      </w:tr>
    </w:tbl>
    <w:p>
      <w:pPr>
        <w:pStyle w:val="Heading2"/>
        <w:spacing w:after="140" w:before="280"/>
      </w:pPr>
      <w:r>
        <w:rPr>
          <w:rFonts w:ascii="Arial" w:cs="Arial" w:eastAsia="Arial" w:hAnsi="Arial"/>
          <w:b/>
          <w:bCs/>
          <w:color w:val="1F4E79"/>
          <w:sz w:val="28"/>
          <w:szCs w:val="28"/>
        </w:rPr>
        <w:t xml:space="preserve">6.4. Prescrição de PD Aguda — Esquema Inicial</w:t>
      </w:r>
    </w:p>
    <w:p>
      <w:pPr>
        <w:pStyle w:val="ListParagraph"/>
        <w:numPr>
          <w:ilvl w:val="0"/>
          <w:numId w:val="2"/>
        </w:numPr>
        <w:spacing w:after="40" w:before="40" w:line="280"/>
      </w:pPr>
      <w:r>
        <w:rPr>
          <w:sz w:val="22"/>
          <w:szCs w:val="22"/>
        </w:rPr>
        <w:t xml:space="preserve">Solução: dianeal 1,5% (glicose) — preferida; 2,5% se necessário maior UF; 4,25% pontual em hipervolemia grave (cuidado: hipernatremia, hiperglicemia).</w:t>
      </w:r>
    </w:p>
    <w:p>
      <w:pPr>
        <w:pStyle w:val="ListParagraph"/>
        <w:numPr>
          <w:ilvl w:val="0"/>
          <w:numId w:val="2"/>
        </w:numPr>
        <w:spacing w:after="40" w:before="40" w:line="280"/>
      </w:pPr>
      <w:r>
        <w:rPr>
          <w:sz w:val="22"/>
          <w:szCs w:val="22"/>
        </w:rPr>
        <w:t xml:space="preserve">Volume infundido: 1.000–2.000 mL por troca (10–20 mL/kg) em adulto; iniciar com volumes menores (1.000 mL) e aumentar em 24 h.</w:t>
      </w:r>
    </w:p>
    <w:p>
      <w:pPr>
        <w:pStyle w:val="ListParagraph"/>
        <w:numPr>
          <w:ilvl w:val="0"/>
          <w:numId w:val="2"/>
        </w:numPr>
        <w:spacing w:after="40" w:before="40" w:line="280"/>
      </w:pPr>
      <w:r>
        <w:rPr>
          <w:sz w:val="22"/>
          <w:szCs w:val="22"/>
        </w:rPr>
        <w:t xml:space="preserve">Tempo de permanência (dwell): 30–60 min em PD aguda manual; 1–2 h se contínua.</w:t>
      </w:r>
    </w:p>
    <w:p>
      <w:pPr>
        <w:pStyle w:val="ListParagraph"/>
        <w:numPr>
          <w:ilvl w:val="0"/>
          <w:numId w:val="2"/>
        </w:numPr>
        <w:spacing w:after="40" w:before="40" w:line="280"/>
      </w:pPr>
      <w:r>
        <w:rPr>
          <w:sz w:val="22"/>
          <w:szCs w:val="22"/>
        </w:rPr>
        <w:t xml:space="preserve">Frequência: 24 trocas / dia em PD aguda manual (a cada hora) OU PD automatizada (cycler) com 8–12 trocas durante 8–10 h.</w:t>
      </w:r>
    </w:p>
    <w:p>
      <w:pPr>
        <w:pStyle w:val="ListParagraph"/>
        <w:numPr>
          <w:ilvl w:val="0"/>
          <w:numId w:val="2"/>
        </w:numPr>
        <w:spacing w:after="40" w:before="40" w:line="280"/>
      </w:pPr>
      <w:r>
        <w:rPr>
          <w:sz w:val="22"/>
          <w:szCs w:val="22"/>
        </w:rPr>
        <w:t xml:space="preserve">Adicionar heparina 500–1.000 UI/L à solução nas primeiras 24–48 h para prevenir obstrução por fibrina.</w:t>
      </w:r>
    </w:p>
    <w:p>
      <w:pPr>
        <w:pStyle w:val="ListParagraph"/>
        <w:numPr>
          <w:ilvl w:val="0"/>
          <w:numId w:val="2"/>
        </w:numPr>
        <w:spacing w:after="40" w:before="40" w:line="280"/>
      </w:pPr>
      <w:r>
        <w:rPr>
          <w:sz w:val="22"/>
          <w:szCs w:val="22"/>
        </w:rPr>
        <w:t xml:space="preserve">Adicionar potássio 4 mEq/L se K sérico &lt; 3,5; remover se K &gt; 5,0.</w:t>
      </w:r>
    </w:p>
    <w:p>
      <w:pPr>
        <w:pStyle w:val="Heading2"/>
        <w:spacing w:after="140" w:before="280"/>
      </w:pPr>
      <w:r>
        <w:rPr>
          <w:rFonts w:ascii="Arial" w:cs="Arial" w:eastAsia="Arial" w:hAnsi="Arial"/>
          <w:b/>
          <w:bCs/>
          <w:color w:val="1F4E79"/>
          <w:sz w:val="28"/>
          <w:szCs w:val="28"/>
        </w:rPr>
        <w:t xml:space="preserve">6.5. Monitorização Durante PD Aguda</w:t>
      </w:r>
    </w:p>
    <w:p>
      <w:pPr>
        <w:pStyle w:val="ListParagraph"/>
        <w:numPr>
          <w:ilvl w:val="0"/>
          <w:numId w:val="2"/>
        </w:numPr>
        <w:spacing w:after="40" w:before="40" w:line="280"/>
      </w:pPr>
      <w:r>
        <w:rPr>
          <w:sz w:val="22"/>
          <w:szCs w:val="22"/>
        </w:rPr>
        <w:t xml:space="preserve">Balanço hídrico rigoroso: volume infundido vs. drenado a cada troca.</w:t>
      </w:r>
    </w:p>
    <w:p>
      <w:pPr>
        <w:pStyle w:val="ListParagraph"/>
        <w:numPr>
          <w:ilvl w:val="0"/>
          <w:numId w:val="2"/>
        </w:numPr>
        <w:spacing w:after="40" w:before="40" w:line="280"/>
      </w:pPr>
      <w:r>
        <w:rPr>
          <w:sz w:val="22"/>
          <w:szCs w:val="22"/>
        </w:rPr>
        <w:t xml:space="preserve">Glicemia capilar 4/4h (absorção peritoneal de glicose).</w:t>
      </w:r>
    </w:p>
    <w:p>
      <w:pPr>
        <w:pStyle w:val="ListParagraph"/>
        <w:numPr>
          <w:ilvl w:val="0"/>
          <w:numId w:val="2"/>
        </w:numPr>
        <w:spacing w:after="40" w:before="40" w:line="280"/>
      </w:pPr>
      <w:r>
        <w:rPr>
          <w:sz w:val="22"/>
          <w:szCs w:val="22"/>
        </w:rPr>
        <w:t xml:space="preserve">Eletrólitos (K, Na, Mg, P) e gasometria 12/12h até estabilização.</w:t>
      </w:r>
    </w:p>
    <w:p>
      <w:pPr>
        <w:pStyle w:val="ListParagraph"/>
        <w:numPr>
          <w:ilvl w:val="0"/>
          <w:numId w:val="2"/>
        </w:numPr>
        <w:spacing w:after="40" w:before="40" w:line="280"/>
      </w:pPr>
      <w:r>
        <w:rPr>
          <w:sz w:val="22"/>
          <w:szCs w:val="22"/>
        </w:rPr>
        <w:t xml:space="preserve">Aspecto do líquido drenado: cristalino → bom; turvo → suspeitar peritonite (cultura, contagem celular &gt; 100/mm³ com &gt;50% PMN).</w:t>
      </w:r>
    </w:p>
    <w:p>
      <w:pPr>
        <w:pStyle w:val="ListParagraph"/>
        <w:numPr>
          <w:ilvl w:val="0"/>
          <w:numId w:val="2"/>
        </w:numPr>
        <w:spacing w:after="40" w:before="40" w:line="280"/>
      </w:pPr>
      <w:r>
        <w:rPr>
          <w:sz w:val="22"/>
          <w:szCs w:val="22"/>
        </w:rPr>
        <w:t xml:space="preserve">Ureia e creatinina diárias para acompanhar adequação.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8"/>
              <w:left w:val="single" w:color="C00000" w:sz="18"/>
              <w:bottom w:val="single" w:color="C00000" w:sz="18"/>
              <w:right w:val="single" w:color="C00000" w:sz="18"/>
            </w:tcBorders>
            <w:shd w:fill="FFE6E6" w:val="clear"/>
            <w:tcMar>
              <w:top w:type="dxa" w:w="160"/>
              <w:left w:type="dxa" w:w="200"/>
              <w:bottom w:type="dxa" w:w="160"/>
              <w:right w:type="dxa" w:w="200"/>
            </w:tcMar>
          </w:tcPr>
          <w:p>
            <w:pPr>
              <w:spacing w:after="80"/>
            </w:pPr>
            <w:r>
              <w:rPr>
                <w:b/>
                <w:bCs/>
                <w:color w:val="C00000"/>
                <w:sz w:val="24"/>
                <w:szCs w:val="24"/>
              </w:rPr>
              <w:t xml:space="preserve">ATENÇÃO — Peritonite em PD Aguda</w:t>
            </w:r>
          </w:p>
          <w:p>
            <w:pPr>
              <w:jc w:val="both"/>
            </w:pPr>
            <w:r>
              <w:rPr>
                <w:sz w:val="22"/>
                <w:szCs w:val="22"/>
              </w:rPr>
              <w:t xml:space="preserve">Risco de peritonite em PD aguda com cateter rígido pode chegar a 25–40% após 72h. Sempre cobertura antibiótica empírica intraperitoneal (cefazolina 1g + ceftazidima 1g/dia OU vancomicina 30 mg/kg + ceftazidima 1g/dia) ao primeiro sinal: dor abdominal, febre, líquido turvo, contagem celular elevada. Coletar cultura ANTES do antibiótico, se possível.</w:t>
            </w:r>
          </w:p>
        </w:tc>
      </w:tr>
    </w:tbl>
    <w:p>
      <w:pPr>
        <w:spacing w:after="120" w:before="0"/>
      </w:pPr>
    </w:p>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7. Parte V — Algoritmo Operacional Integrado</w:t>
      </w:r>
    </w:p>
    <w:p>
      <w:pPr>
        <w:spacing w:after="60" w:before="60" w:line="300"/>
        <w:jc w:val="both"/>
      </w:pPr>
      <w:r>
        <w:rPr>
          <w:sz w:val="22"/>
          <w:szCs w:val="22"/>
        </w:rPr>
        <w:t xml:space="preserve">Sequência prática a ser seguida em ordem, a partir do momento do reconhecimento do paciente em ESVA com falência de TRS:</w:t>
      </w:r>
    </w:p>
    <w:p>
      <w:pPr>
        <w:pStyle w:val="Heading3"/>
        <w:spacing w:after="110" w:before="220"/>
      </w:pPr>
      <w:r>
        <w:rPr>
          <w:rFonts w:ascii="Arial" w:cs="Arial" w:eastAsia="Arial" w:hAnsi="Arial"/>
          <w:b/>
          <w:bCs/>
          <w:color w:val="1F4E79"/>
          <w:sz w:val="24"/>
          <w:szCs w:val="24"/>
        </w:rPr>
        <w:t xml:space="preserve">Hora 0 (admissão)</w:t>
      </w:r>
    </w:p>
    <w:p>
      <w:pPr>
        <w:pStyle w:val="ListParagraph"/>
        <w:numPr>
          <w:ilvl w:val="0"/>
          <w:numId w:val="3"/>
        </w:numPr>
        <w:spacing w:after="50" w:before="50" w:line="280"/>
      </w:pPr>
      <w:r>
        <w:rPr>
          <w:sz w:val="22"/>
          <w:szCs w:val="22"/>
        </w:rPr>
        <w:t xml:space="preserve">ABCDE + monitorização cardíaca + acesso periférico em veia preservada.</w:t>
      </w:r>
    </w:p>
    <w:p>
      <w:pPr>
        <w:pStyle w:val="ListParagraph"/>
        <w:numPr>
          <w:ilvl w:val="0"/>
          <w:numId w:val="3"/>
        </w:numPr>
        <w:spacing w:after="50" w:before="50" w:line="280"/>
      </w:pPr>
      <w:r>
        <w:rPr>
          <w:sz w:val="22"/>
          <w:szCs w:val="22"/>
        </w:rPr>
        <w:t xml:space="preserve">ECG 12 derivações + bundle de hipercalemia se K ≥ 6,0 OU ECG anormal.</w:t>
      </w:r>
    </w:p>
    <w:p>
      <w:pPr>
        <w:pStyle w:val="ListParagraph"/>
        <w:numPr>
          <w:ilvl w:val="0"/>
          <w:numId w:val="3"/>
        </w:numPr>
        <w:spacing w:after="50" w:before="50" w:line="280"/>
      </w:pPr>
      <w:r>
        <w:rPr>
          <w:sz w:val="22"/>
          <w:szCs w:val="22"/>
        </w:rPr>
        <w:t xml:space="preserve">Coleta laboratorial completa + gasometria + hemoculturas se febre.</w:t>
      </w:r>
    </w:p>
    <w:p>
      <w:pPr>
        <w:pStyle w:val="ListParagraph"/>
        <w:numPr>
          <w:ilvl w:val="0"/>
          <w:numId w:val="3"/>
        </w:numPr>
        <w:spacing w:after="50" w:before="50" w:line="280"/>
      </w:pPr>
      <w:r>
        <w:rPr>
          <w:sz w:val="22"/>
          <w:szCs w:val="22"/>
        </w:rPr>
        <w:t xml:space="preserve">POCUS: VCI, B-lines, FE, derrame pericárdico, mapeamento Doppler venoso.</w:t>
      </w:r>
    </w:p>
    <w:p>
      <w:pPr>
        <w:pStyle w:val="ListParagraph"/>
        <w:numPr>
          <w:ilvl w:val="0"/>
          <w:numId w:val="3"/>
        </w:numPr>
        <w:spacing w:after="50" w:before="50" w:line="280"/>
      </w:pPr>
      <w:r>
        <w:rPr>
          <w:sz w:val="22"/>
          <w:szCs w:val="22"/>
        </w:rPr>
        <w:t xml:space="preserve">Comunicação imediata: nefrologia local, regulação SAMU, vascular se houver, equipe receptora terciária.</w:t>
      </w:r>
    </w:p>
    <w:p>
      <w:pPr>
        <w:pStyle w:val="Heading3"/>
        <w:spacing w:after="110" w:before="220"/>
      </w:pPr>
      <w:r>
        <w:rPr>
          <w:rFonts w:ascii="Arial" w:cs="Arial" w:eastAsia="Arial" w:hAnsi="Arial"/>
          <w:b/>
          <w:bCs/>
          <w:color w:val="1F4E79"/>
          <w:sz w:val="24"/>
          <w:szCs w:val="24"/>
        </w:rPr>
        <w:t xml:space="preserve">Hora 0–6</w:t>
      </w:r>
    </w:p>
    <w:p>
      <w:pPr>
        <w:pStyle w:val="ListParagraph"/>
        <w:numPr>
          <w:ilvl w:val="0"/>
          <w:numId w:val="3"/>
        </w:numPr>
        <w:spacing w:after="50" w:before="50" w:line="280"/>
      </w:pPr>
      <w:r>
        <w:rPr>
          <w:sz w:val="22"/>
          <w:szCs w:val="22"/>
        </w:rPr>
        <w:t xml:space="preserve">Estabilização farmacológica completa (hipercalemia, hipervolemia, acidose, uremia).</w:t>
      </w:r>
    </w:p>
    <w:p>
      <w:pPr>
        <w:pStyle w:val="ListParagraph"/>
        <w:numPr>
          <w:ilvl w:val="0"/>
          <w:numId w:val="3"/>
        </w:numPr>
        <w:spacing w:after="50" w:before="50" w:line="280"/>
      </w:pPr>
      <w:r>
        <w:rPr>
          <w:sz w:val="22"/>
          <w:szCs w:val="22"/>
        </w:rPr>
        <w:t xml:space="preserve">Inventário do capital vascular: revisão de prontuário + Doppler completo + USG cervical e abdominal.</w:t>
      </w:r>
    </w:p>
    <w:p>
      <w:pPr>
        <w:pStyle w:val="ListParagraph"/>
        <w:numPr>
          <w:ilvl w:val="0"/>
          <w:numId w:val="3"/>
        </w:numPr>
        <w:spacing w:after="50" w:before="50" w:line="280"/>
      </w:pPr>
      <w:r>
        <w:rPr>
          <w:sz w:val="22"/>
          <w:szCs w:val="22"/>
        </w:rPr>
        <w:t xml:space="preserve">Tentativa de resgate de acesso prévio (cateter trombolisado, FAV trombectomizada se vascular disponível).</w:t>
      </w:r>
    </w:p>
    <w:p>
      <w:pPr>
        <w:pStyle w:val="ListParagraph"/>
        <w:numPr>
          <w:ilvl w:val="0"/>
          <w:numId w:val="3"/>
        </w:numPr>
        <w:spacing w:after="50" w:before="50" w:line="280"/>
      </w:pPr>
      <w:r>
        <w:rPr>
          <w:sz w:val="22"/>
          <w:szCs w:val="22"/>
        </w:rPr>
        <w:t xml:space="preserve">Decisão: paciente estabilizado para transferência? OU necessita de TRS local emergencial?</w:t>
      </w:r>
    </w:p>
    <w:p>
      <w:pPr>
        <w:pStyle w:val="Heading3"/>
        <w:spacing w:after="110" w:before="220"/>
      </w:pPr>
      <w:r>
        <w:rPr>
          <w:rFonts w:ascii="Arial" w:cs="Arial" w:eastAsia="Arial" w:hAnsi="Arial"/>
          <w:b/>
          <w:bCs/>
          <w:color w:val="1F4E79"/>
          <w:sz w:val="24"/>
          <w:szCs w:val="24"/>
        </w:rPr>
        <w:t xml:space="preserve">Hora 6–24</w:t>
      </w:r>
    </w:p>
    <w:p>
      <w:pPr>
        <w:pStyle w:val="ListParagraph"/>
        <w:numPr>
          <w:ilvl w:val="0"/>
          <w:numId w:val="3"/>
        </w:numPr>
        <w:spacing w:after="50" w:before="50" w:line="280"/>
      </w:pPr>
      <w:r>
        <w:rPr>
          <w:sz w:val="22"/>
          <w:szCs w:val="22"/>
        </w:rPr>
        <w:t xml:space="preserve">Se transferência viável e paciente estável: TRANSFERIR para centro com radiologia intervencionista vascular.</w:t>
      </w:r>
    </w:p>
    <w:p>
      <w:pPr>
        <w:pStyle w:val="ListParagraph"/>
        <w:numPr>
          <w:ilvl w:val="0"/>
          <w:numId w:val="3"/>
        </w:numPr>
        <w:spacing w:after="50" w:before="50" w:line="280"/>
      </w:pPr>
      <w:r>
        <w:rPr>
          <w:sz w:val="22"/>
          <w:szCs w:val="22"/>
        </w:rPr>
        <w:t xml:space="preserve">Se transferência não viável OU instabilidade: considerar PD aguda local (Tenckhoff cirúrgico ou improvisado).</w:t>
      </w:r>
    </w:p>
    <w:p>
      <w:pPr>
        <w:pStyle w:val="ListParagraph"/>
        <w:numPr>
          <w:ilvl w:val="0"/>
          <w:numId w:val="3"/>
        </w:numPr>
        <w:spacing w:after="50" w:before="50" w:line="280"/>
      </w:pPr>
      <w:r>
        <w:rPr>
          <w:sz w:val="22"/>
          <w:szCs w:val="22"/>
        </w:rPr>
        <w:t xml:space="preserve">Repetir bundle de hipercalemia conforme K e ECG (manter K &lt; 6,0).</w:t>
      </w:r>
    </w:p>
    <w:p>
      <w:pPr>
        <w:pStyle w:val="ListParagraph"/>
        <w:numPr>
          <w:ilvl w:val="0"/>
          <w:numId w:val="3"/>
        </w:numPr>
        <w:spacing w:after="50" w:before="50" w:line="280"/>
      </w:pPr>
      <w:r>
        <w:rPr>
          <w:sz w:val="22"/>
          <w:szCs w:val="22"/>
        </w:rPr>
        <w:t xml:space="preserve">Iniciar quelante de potássio oral (patiromer / SZC) e dieta zero K.</w:t>
      </w:r>
    </w:p>
    <w:p>
      <w:pPr>
        <w:pStyle w:val="Heading3"/>
        <w:spacing w:after="110" w:before="220"/>
      </w:pPr>
      <w:r>
        <w:rPr>
          <w:rFonts w:ascii="Arial" w:cs="Arial" w:eastAsia="Arial" w:hAnsi="Arial"/>
          <w:b/>
          <w:bCs/>
          <w:color w:val="1F4E79"/>
          <w:sz w:val="24"/>
          <w:szCs w:val="24"/>
        </w:rPr>
        <w:t xml:space="preserve">Hora 24–72</w:t>
      </w:r>
    </w:p>
    <w:p>
      <w:pPr>
        <w:pStyle w:val="ListParagraph"/>
        <w:numPr>
          <w:ilvl w:val="0"/>
          <w:numId w:val="3"/>
        </w:numPr>
        <w:spacing w:after="50" w:before="50" w:line="280"/>
      </w:pPr>
      <w:r>
        <w:rPr>
          <w:sz w:val="22"/>
          <w:szCs w:val="22"/>
        </w:rPr>
        <w:t xml:space="preserve">No centro de referência: implante de acesso de último recurso (translombar / transhepático / HeRO conforme ESVA estágio).</w:t>
      </w:r>
    </w:p>
    <w:p>
      <w:pPr>
        <w:pStyle w:val="ListParagraph"/>
        <w:numPr>
          <w:ilvl w:val="0"/>
          <w:numId w:val="3"/>
        </w:numPr>
        <w:spacing w:after="50" w:before="50" w:line="280"/>
      </w:pPr>
      <w:r>
        <w:rPr>
          <w:sz w:val="22"/>
          <w:szCs w:val="22"/>
        </w:rPr>
        <w:t xml:space="preserve">Iniciar TRS de manutenção pelo novo acesso.</w:t>
      </w:r>
    </w:p>
    <w:p>
      <w:pPr>
        <w:pStyle w:val="ListParagraph"/>
        <w:numPr>
          <w:ilvl w:val="0"/>
          <w:numId w:val="3"/>
        </w:numPr>
        <w:spacing w:after="50" w:before="50" w:line="280"/>
      </w:pPr>
      <w:r>
        <w:rPr>
          <w:sz w:val="22"/>
          <w:szCs w:val="22"/>
        </w:rPr>
        <w:t xml:space="preserve">Avaliar candidato a transplante renal (única solução definitiva para ESVA — referenciar ao centro transplantador).</w:t>
      </w:r>
    </w:p>
    <w:p>
      <w:pPr>
        <w:spacing w:after="120" w:before="0"/>
      </w:pPr>
    </w:p>
    <w:p>
      <w:pPr>
        <w:pStyle w:val="Heading1"/>
        <w:pBdr>
          <w:bottom w:val="single" w:color="8B0000" w:sz="12" w:space="4"/>
        </w:pBdr>
        <w:spacing w:after="180" w:before="360"/>
      </w:pPr>
      <w:r>
        <w:rPr>
          <w:rFonts w:ascii="Arial" w:cs="Arial" w:eastAsia="Arial" w:hAnsi="Arial"/>
          <w:b/>
          <w:bCs/>
          <w:color w:val="8B0000"/>
          <w:sz w:val="32"/>
          <w:szCs w:val="32"/>
        </w:rPr>
        <w:t xml:space="preserve">8. Parte VI — Recursos Necessários para Implantação dos Acessos</w:t>
      </w:r>
    </w:p>
    <w:p>
      <w:pPr>
        <w:pStyle w:val="Heading2"/>
        <w:spacing w:after="140" w:before="280"/>
      </w:pPr>
      <w:r>
        <w:rPr>
          <w:rFonts w:ascii="Arial" w:cs="Arial" w:eastAsia="Arial" w:hAnsi="Arial"/>
          <w:b/>
          <w:bCs/>
          <w:color w:val="1F4E79"/>
          <w:sz w:val="28"/>
          <w:szCs w:val="28"/>
        </w:rPr>
        <w:t xml:space="preserve">8.1. Recursos para Centro Local (Sobral / Hospital Regional / Santa Casa)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Categoria</w:t>
            </w:r>
          </w:p>
        </w:tc>
        <w:tc>
          <w:tcPr>
            <w:tcW w:type="dxa" w:w="624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Itens essenciais</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Recursos humanos</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Intensivista treinado em POCUS, nefrologista de plantão (ou via telemedicina), enfermeiro nefrológico, cirurgião geral disponível 24h</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Equipamento de ultrassonografia</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USG portátil com transdutor linear (5–13 MHz) e convexo (2–5 MHz); Doppler colorido; idealmente POCUS dedicado em UTI (Butterfly iQ3 / Mindray TE Air / GE Vscan)</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Material para acesso</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Cateteres tunelizados duplo-lúmen (Permcath 14,5 Fr, comprimentos 19/24/28 cm); cateteres não tunelizados temporários; fios-guia hidrofílicos; bainhas peel-away</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Material para PD aguda</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Cateter Tenckhoff swan-neck duplo cuff; cateter rígido com estilete (PD emergencial); soluções de PD (1,5% / 2,5% / 4,25%); equipos e bolsas; cycler (PD automatizada) se disponível</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Farmacologia</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Gluconato de cálcio 10%, insulina regular, glicose hipertônica, salbutamol nebulizado, bicarbonato 8,4%, patiromer/SZC, sorcal, alteplase, vancomicina, ceftazidima, cefazolina (intraperitoneal)</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Suporte hemodinâmico</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VNI / BiPAP, drogas vasoativas (nora, nitro, nitroprussiato), monitorização cardíaca contínua, ECG seriado, gasometria à beira-leito (point-of-care)</w:t>
            </w:r>
          </w:p>
        </w:tc>
      </w:tr>
      <w:tr>
        <w:tc>
          <w:tcPr>
            <w:tcW w:type="dxa" w:w="312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vAlign w:val="center"/>
          </w:tcPr>
          <w:p>
            <w:pPr>
              <w:spacing w:after="40" w:before="40" w:line="260"/>
              <w:jc w:val="left"/>
            </w:pPr>
            <w:r>
              <w:rPr>
                <w:b/>
                <w:bCs/>
                <w:sz w:val="20"/>
                <w:szCs w:val="20"/>
              </w:rPr>
              <w:t xml:space="preserve">Comunicação e regulação</w:t>
            </w:r>
          </w:p>
        </w:tc>
        <w:tc>
          <w:tcPr>
            <w:tcW w:type="dxa" w:w="624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Linha direta com Central de Regulação Estadual (Ceará — CRESUS / SAMU 192); telemedicina com nefrologia terciária (HUWC, HGF, HSC); ambulância UTI para transferência</w:t>
            </w:r>
          </w:p>
        </w:tc>
      </w:tr>
    </w:tbl>
    <w:p>
      <w:pPr>
        <w:pStyle w:val="Heading2"/>
        <w:spacing w:after="140" w:before="280"/>
      </w:pPr>
      <w:r>
        <w:rPr>
          <w:rFonts w:ascii="Arial" w:cs="Arial" w:eastAsia="Arial" w:hAnsi="Arial"/>
          <w:b/>
          <w:bCs/>
          <w:color w:val="1F4E79"/>
          <w:sz w:val="28"/>
          <w:szCs w:val="28"/>
        </w:rPr>
        <w:t xml:space="preserve">8.2. Recursos do Centro Terciário (Fortaleza / Outro)</w:t>
      </w:r>
    </w:p>
    <w:p>
      <w:pPr>
        <w:pStyle w:val="ListParagraph"/>
        <w:numPr>
          <w:ilvl w:val="0"/>
          <w:numId w:val="2"/>
        </w:numPr>
        <w:spacing w:after="40" w:before="40" w:line="280"/>
      </w:pPr>
      <w:r>
        <w:rPr>
          <w:sz w:val="22"/>
          <w:szCs w:val="22"/>
        </w:rPr>
        <w:t xml:space="preserve">Sala de hemodinâmica / angiografia digital com fluoroscopia.</w:t>
      </w:r>
    </w:p>
    <w:p>
      <w:pPr>
        <w:pStyle w:val="ListParagraph"/>
        <w:numPr>
          <w:ilvl w:val="0"/>
          <w:numId w:val="2"/>
        </w:numPr>
        <w:spacing w:after="40" w:before="40" w:line="280"/>
      </w:pPr>
      <w:r>
        <w:rPr>
          <w:sz w:val="22"/>
          <w:szCs w:val="22"/>
        </w:rPr>
        <w:t xml:space="preserve">TC com contraste e ressonância (mapeamento vascular).</w:t>
      </w:r>
    </w:p>
    <w:p>
      <w:pPr>
        <w:pStyle w:val="ListParagraph"/>
        <w:numPr>
          <w:ilvl w:val="0"/>
          <w:numId w:val="2"/>
        </w:numPr>
        <w:spacing w:after="40" w:before="40" w:line="280"/>
      </w:pPr>
      <w:r>
        <w:rPr>
          <w:sz w:val="22"/>
          <w:szCs w:val="22"/>
        </w:rPr>
        <w:t xml:space="preserve">Radiologia intervencionista vascular treinada em acessos não convencionais (translombar, transhepático).</w:t>
      </w:r>
    </w:p>
    <w:p>
      <w:pPr>
        <w:pStyle w:val="ListParagraph"/>
        <w:numPr>
          <w:ilvl w:val="0"/>
          <w:numId w:val="2"/>
        </w:numPr>
        <w:spacing w:after="40" w:before="40" w:line="280"/>
      </w:pPr>
      <w:r>
        <w:rPr>
          <w:sz w:val="22"/>
          <w:szCs w:val="22"/>
        </w:rPr>
        <w:t xml:space="preserve">Cirurgia vascular avançada (HeRO, enxerto átrio direito, axilo-axilar).</w:t>
      </w:r>
    </w:p>
    <w:p>
      <w:pPr>
        <w:pStyle w:val="ListParagraph"/>
        <w:numPr>
          <w:ilvl w:val="0"/>
          <w:numId w:val="2"/>
        </w:numPr>
        <w:spacing w:after="40" w:before="40" w:line="280"/>
      </w:pPr>
      <w:r>
        <w:rPr>
          <w:sz w:val="22"/>
          <w:szCs w:val="22"/>
        </w:rPr>
        <w:t xml:space="preserve">Programa de transplante renal (única solução definitiva para ESVA).</w:t>
      </w:r>
    </w:p>
    <w:p>
      <w:pPr>
        <w:spacing w:after="120" w:before="0"/>
      </w:pPr>
    </w:p>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9. Parte VII — Síntese de Todas as Vias Disponíveis para Diálise</w:t>
      </w:r>
    </w:p>
    <w:p>
      <w:pPr>
        <w:pStyle w:val="Heading2"/>
        <w:spacing w:after="140" w:before="280"/>
      </w:pPr>
      <w:r>
        <w:rPr>
          <w:rFonts w:ascii="Arial" w:cs="Arial" w:eastAsia="Arial" w:hAnsi="Arial"/>
          <w:b/>
          <w:bCs/>
          <w:color w:val="1F4E79"/>
          <w:sz w:val="28"/>
          <w:szCs w:val="28"/>
        </w:rPr>
        <w:t xml:space="preserve">9.1. Vias Vasculares para Hemodiálise — Hierarquia KDOQI 2019</w:t>
      </w:r>
    </w:p>
    <w:p>
      <w:pPr>
        <w:spacing w:after="60" w:before="60" w:line="300"/>
        <w:jc w:val="both"/>
      </w:pPr>
      <w:r>
        <w:rPr>
          <w:sz w:val="22"/>
          <w:szCs w:val="22"/>
        </w:rPr>
        <w:t xml:space="preserve">A hierarquia tradicional "Fistula First, Catheter Last" foi atualizada em 2019 pelo KDOQI para o conceito P-L-A-N (Patient Life-Plan Access Needs), enfatizando individualização. Em termos de durabilidade e morbimortalidade, a ordem de preferência permanece: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2200"/>
        <w:gridCol w:w="1800"/>
        <w:gridCol w:w="1860"/>
      </w:tblGrid>
      <w:tr>
        <w:trPr>
          <w:tblHeader/>
        </w:trPr>
        <w:tc>
          <w:tcPr>
            <w:tcW w:type="dxa" w:w="8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Ordem</w:t>
            </w:r>
          </w:p>
        </w:tc>
        <w:tc>
          <w:tcPr>
            <w:tcW w:type="dxa" w:w="27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Tipo de acesso</w:t>
            </w:r>
          </w:p>
        </w:tc>
        <w:tc>
          <w:tcPr>
            <w:tcW w:type="dxa" w:w="22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Local</w:t>
            </w:r>
          </w:p>
        </w:tc>
        <w:tc>
          <w:tcPr>
            <w:tcW w:type="dxa" w:w="180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Fluxo (mL/min)</w:t>
            </w:r>
          </w:p>
        </w:tc>
        <w:tc>
          <w:tcPr>
            <w:tcW w:type="dxa" w:w="1860"/>
            <w:tcBorders>
              <w:top w:val="single" w:color="BFBFBF" w:sz="6"/>
              <w:left w:val="single" w:color="BFBFBF" w:sz="6"/>
              <w:bottom w:val="single" w:color="BFBFBF" w:sz="6"/>
              <w:right w:val="single" w:color="BFBFBF" w:sz="6"/>
            </w:tcBorders>
            <w:shd w:fill="1F4E79" w:val="clear"/>
            <w:tcMar>
              <w:top w:type="dxa" w:w="120"/>
              <w:left w:type="dxa" w:w="140"/>
              <w:bottom w:type="dxa" w:w="120"/>
              <w:right w:type="dxa" w:w="140"/>
            </w:tcMar>
            <w:vAlign w:val="center"/>
          </w:tcPr>
          <w:p>
            <w:pPr>
              <w:jc w:val="center"/>
            </w:pPr>
            <w:r>
              <w:rPr>
                <w:b/>
                <w:bCs/>
                <w:color w:val="FFFFFF"/>
                <w:sz w:val="22"/>
                <w:szCs w:val="22"/>
              </w:rPr>
              <w:t xml:space="preserve">Patência 1 ano</w:t>
            </w:r>
          </w:p>
        </w:tc>
      </w:tr>
      <w:tr>
        <w:tc>
          <w:tcPr>
            <w:tcW w:type="dxa" w:w="800"/>
            <w:tcBorders>
              <w:top w:val="single" w:color="BFBFBF" w:sz="6"/>
              <w:left w:val="single" w:color="BFBFBF" w:sz="6"/>
              <w:bottom w:val="single" w:color="BFBFBF" w:sz="6"/>
              <w:right w:val="single" w:color="BFBFBF" w:sz="6"/>
            </w:tcBorders>
            <w:shd w:fill="E8F5E9" w:val="clear"/>
            <w:tcMar>
              <w:top w:type="dxa" w:w="100"/>
              <w:left w:type="dxa" w:w="140"/>
              <w:bottom w:type="dxa" w:w="100"/>
              <w:right w:type="dxa" w:w="140"/>
            </w:tcMar>
            <w:vAlign w:val="center"/>
          </w:tcPr>
          <w:p>
            <w:pPr>
              <w:spacing w:after="40" w:before="40" w:line="260"/>
              <w:jc w:val="center"/>
            </w:pPr>
            <w:r>
              <w:rPr>
                <w:b/>
                <w:bCs/>
                <w:sz w:val="20"/>
                <w:szCs w:val="20"/>
              </w:rPr>
              <w:t xml:space="preserve">1ª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FAV radiocefálica (Brescia-Cimino)</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Punho não-dominante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 600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60–80%</w:t>
            </w:r>
          </w:p>
        </w:tc>
      </w:tr>
      <w:tr>
        <w:tc>
          <w:tcPr>
            <w:tcW w:type="dxa" w:w="800"/>
            <w:tcBorders>
              <w:top w:val="single" w:color="BFBFBF" w:sz="6"/>
              <w:left w:val="single" w:color="BFBFBF" w:sz="6"/>
              <w:bottom w:val="single" w:color="BFBFBF" w:sz="6"/>
              <w:right w:val="single" w:color="BFBFBF" w:sz="6"/>
            </w:tcBorders>
            <w:shd w:fill="E8F5E9" w:val="clear"/>
            <w:tcMar>
              <w:top w:type="dxa" w:w="100"/>
              <w:left w:type="dxa" w:w="140"/>
              <w:bottom w:type="dxa" w:w="100"/>
              <w:right w:type="dxa" w:w="140"/>
            </w:tcMar>
            <w:vAlign w:val="center"/>
          </w:tcPr>
          <w:p>
            <w:pPr>
              <w:spacing w:after="40" w:before="40" w:line="260"/>
              <w:jc w:val="center"/>
            </w:pPr>
            <w:r>
              <w:rPr>
                <w:b/>
                <w:bCs/>
                <w:sz w:val="20"/>
                <w:szCs w:val="20"/>
              </w:rPr>
              <w:t xml:space="preserve">2ª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FAV braquiocefálica</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Antebraço/cotovelo</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 800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65–80%</w:t>
            </w:r>
          </w:p>
        </w:tc>
      </w:tr>
      <w:tr>
        <w:tc>
          <w:tcPr>
            <w:tcW w:type="dxa" w:w="800"/>
            <w:tcBorders>
              <w:top w:val="single" w:color="BFBFBF" w:sz="6"/>
              <w:left w:val="single" w:color="BFBFBF" w:sz="6"/>
              <w:bottom w:val="single" w:color="BFBFBF" w:sz="6"/>
              <w:right w:val="single" w:color="BFBFBF" w:sz="6"/>
            </w:tcBorders>
            <w:shd w:fill="E8F5E9" w:val="clear"/>
            <w:tcMar>
              <w:top w:type="dxa" w:w="100"/>
              <w:left w:type="dxa" w:w="140"/>
              <w:bottom w:type="dxa" w:w="100"/>
              <w:right w:type="dxa" w:w="140"/>
            </w:tcMar>
            <w:vAlign w:val="center"/>
          </w:tcPr>
          <w:p>
            <w:pPr>
              <w:spacing w:after="40" w:before="40" w:line="260"/>
              <w:jc w:val="center"/>
            </w:pPr>
            <w:r>
              <w:rPr>
                <w:b/>
                <w:bCs/>
                <w:sz w:val="20"/>
                <w:szCs w:val="20"/>
              </w:rPr>
              <w:t xml:space="preserve">3ª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FAV braquiobasílica (transposta)</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Braço</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 800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60–75%</w:t>
            </w:r>
          </w:p>
        </w:tc>
      </w:tr>
      <w:tr>
        <w:tc>
          <w:tcPr>
            <w:tcW w:type="dxa" w:w="800"/>
            <w:tcBorders>
              <w:top w:val="single" w:color="BFBFBF" w:sz="6"/>
              <w:left w:val="single" w:color="BFBFBF" w:sz="6"/>
              <w:bottom w:val="single" w:color="BFBFBF" w:sz="6"/>
              <w:right w:val="single" w:color="BFBFBF" w:sz="6"/>
            </w:tcBorders>
            <w:shd w:fill="FFF4E6" w:val="clear"/>
            <w:tcMar>
              <w:top w:type="dxa" w:w="100"/>
              <w:left w:type="dxa" w:w="140"/>
              <w:bottom w:type="dxa" w:w="100"/>
              <w:right w:type="dxa" w:w="140"/>
            </w:tcMar>
            <w:vAlign w:val="center"/>
          </w:tcPr>
          <w:p>
            <w:pPr>
              <w:spacing w:after="40" w:before="40" w:line="260"/>
              <w:jc w:val="center"/>
            </w:pPr>
            <w:r>
              <w:rPr>
                <w:b/>
                <w:bCs/>
                <w:sz w:val="20"/>
                <w:szCs w:val="20"/>
              </w:rPr>
              <w:t xml:space="preserve">4ª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Enxerto AV PTFE (loop antebraço, braço, coxa)</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MMSS ou MMII</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 600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50–60%</w:t>
            </w:r>
          </w:p>
        </w:tc>
      </w:tr>
      <w:tr>
        <w:tc>
          <w:tcPr>
            <w:tcW w:type="dxa" w:w="800"/>
            <w:tcBorders>
              <w:top w:val="single" w:color="BFBFBF" w:sz="6"/>
              <w:left w:val="single" w:color="BFBFBF" w:sz="6"/>
              <w:bottom w:val="single" w:color="BFBFBF" w:sz="6"/>
              <w:right w:val="single" w:color="BFBFBF" w:sz="6"/>
            </w:tcBorders>
            <w:shd w:fill="FFF4E6" w:val="clear"/>
            <w:tcMar>
              <w:top w:type="dxa" w:w="100"/>
              <w:left w:type="dxa" w:w="140"/>
              <w:bottom w:type="dxa" w:w="100"/>
              <w:right w:type="dxa" w:w="140"/>
            </w:tcMar>
            <w:vAlign w:val="center"/>
          </w:tcPr>
          <w:p>
            <w:pPr>
              <w:spacing w:after="40" w:before="40" w:line="260"/>
              <w:jc w:val="center"/>
            </w:pPr>
            <w:r>
              <w:rPr>
                <w:b/>
                <w:bCs/>
                <w:sz w:val="20"/>
                <w:szCs w:val="20"/>
              </w:rPr>
              <w:t xml:space="preserve">5ª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Cateter tunelizado de longa permanência</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Jugular interna direita &gt; esquerda</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300–400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60–70%</w:t>
            </w:r>
          </w:p>
        </w:tc>
      </w:tr>
      <w:tr>
        <w:tc>
          <w:tcPr>
            <w:tcW w:type="dxa" w:w="80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center"/>
            </w:pPr>
            <w:r>
              <w:rPr>
                <w:b/>
                <w:bCs/>
                <w:sz w:val="20"/>
                <w:szCs w:val="20"/>
              </w:rPr>
              <w:t xml:space="preserve">6ª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Cateter tunelizado em sítios alternativos</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Femoral, supraclavicular (Surfacer)</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250–350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40–60%</w:t>
            </w:r>
          </w:p>
        </w:tc>
      </w:tr>
      <w:tr>
        <w:tc>
          <w:tcPr>
            <w:tcW w:type="dxa" w:w="80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center"/>
            </w:pPr>
            <w:r>
              <w:rPr>
                <w:b/>
                <w:bCs/>
                <w:sz w:val="20"/>
                <w:szCs w:val="20"/>
              </w:rPr>
              <w:t xml:space="preserve">7ª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Cateter translombar / transhepático / transrenal</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VCI / veia hepática / via parênquima renal</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250–350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Variável</w:t>
            </w:r>
          </w:p>
        </w:tc>
      </w:tr>
      <w:tr>
        <w:tc>
          <w:tcPr>
            <w:tcW w:type="dxa" w:w="80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center"/>
            </w:pPr>
            <w:r>
              <w:rPr>
                <w:b/>
                <w:bCs/>
                <w:sz w:val="20"/>
                <w:szCs w:val="20"/>
              </w:rPr>
              <w:t xml:space="preserve">8ª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HeRO graft</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Braquial-átrio direito</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 600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50–70%</w:t>
            </w:r>
          </w:p>
        </w:tc>
      </w:tr>
      <w:tr>
        <w:tc>
          <w:tcPr>
            <w:tcW w:type="dxa" w:w="80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center"/>
            </w:pPr>
            <w:r>
              <w:rPr>
                <w:b/>
                <w:bCs/>
                <w:sz w:val="20"/>
                <w:szCs w:val="20"/>
              </w:rPr>
              <w:t xml:space="preserve">9ª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Enxerto átrio direito (cirúrgico)</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Axilar-átrio direito</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 600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&gt; 70% (centros expertos)</w:t>
            </w:r>
          </w:p>
        </w:tc>
      </w:tr>
      <w:tr>
        <w:tc>
          <w:tcPr>
            <w:tcW w:type="dxa" w:w="800"/>
            <w:tcBorders>
              <w:top w:val="single" w:color="BFBFBF" w:sz="6"/>
              <w:left w:val="single" w:color="BFBFBF" w:sz="6"/>
              <w:bottom w:val="single" w:color="BFBFBF" w:sz="6"/>
              <w:right w:val="single" w:color="BFBFBF" w:sz="6"/>
            </w:tcBorders>
            <w:shd w:fill="FFE6E6" w:val="clear"/>
            <w:tcMar>
              <w:top w:type="dxa" w:w="100"/>
              <w:left w:type="dxa" w:w="140"/>
              <w:bottom w:type="dxa" w:w="100"/>
              <w:right w:type="dxa" w:w="140"/>
            </w:tcMar>
            <w:vAlign w:val="center"/>
          </w:tcPr>
          <w:p>
            <w:pPr>
              <w:spacing w:after="40" w:before="40" w:line="260"/>
              <w:jc w:val="center"/>
            </w:pPr>
            <w:r>
              <w:rPr>
                <w:b/>
                <w:bCs/>
                <w:sz w:val="20"/>
                <w:szCs w:val="20"/>
              </w:rPr>
              <w:t xml:space="preserve">10ª</w:t>
            </w:r>
          </w:p>
        </w:tc>
        <w:tc>
          <w:tcPr>
            <w:tcW w:type="dxa" w:w="27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Loop arterial-arterial (axilo-axilar)</w:t>
            </w:r>
          </w:p>
        </w:tc>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left"/>
            </w:pPr>
            <w:r>
              <w:rPr>
                <w:sz w:val="20"/>
                <w:szCs w:val="20"/>
              </w:rPr>
              <w:t xml:space="preserve">Membros superiores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400–600</w:t>
            </w:r>
          </w:p>
        </w:tc>
        <w:tc>
          <w:tcPr>
            <w:tcW w:type="dxa" w:w="1860"/>
            <w:tcBorders>
              <w:top w:val="single" w:color="BFBFBF" w:sz="6"/>
              <w:left w:val="single" w:color="BFBFBF" w:sz="6"/>
              <w:bottom w:val="single" w:color="BFBFBF" w:sz="6"/>
              <w:right w:val="single" w:color="BFBFBF" w:sz="6"/>
            </w:tcBorders>
            <w:tcMar>
              <w:top w:type="dxa" w:w="100"/>
              <w:left w:type="dxa" w:w="140"/>
              <w:bottom w:type="dxa" w:w="100"/>
              <w:right w:type="dxa" w:w="140"/>
            </w:tcMar>
            <w:vAlign w:val="center"/>
          </w:tcPr>
          <w:p>
            <w:pPr>
              <w:spacing w:after="40" w:before="40" w:line="260"/>
              <w:jc w:val="center"/>
            </w:pPr>
            <w:r>
              <w:rPr>
                <w:sz w:val="20"/>
                <w:szCs w:val="20"/>
              </w:rPr>
              <w:t xml:space="preserve">Limitada</w:t>
            </w:r>
          </w:p>
        </w:tc>
      </w:tr>
    </w:tbl>
    <w:p>
      <w:pPr>
        <w:pStyle w:val="Heading2"/>
        <w:spacing w:after="140" w:before="280"/>
      </w:pPr>
      <w:r>
        <w:rPr>
          <w:rFonts w:ascii="Arial" w:cs="Arial" w:eastAsia="Arial" w:hAnsi="Arial"/>
          <w:b/>
          <w:bCs/>
          <w:color w:val="1F4E79"/>
          <w:sz w:val="28"/>
          <w:szCs w:val="28"/>
        </w:rPr>
        <w:t xml:space="preserve">9.2. Vias Não-Vasculares — Diálise Peritoneal</w:t>
      </w:r>
    </w:p>
    <w:p>
      <w:pPr>
        <w:pStyle w:val="ListParagraph"/>
        <w:numPr>
          <w:ilvl w:val="0"/>
          <w:numId w:val="2"/>
        </w:numPr>
        <w:spacing w:after="40" w:before="40" w:line="280"/>
      </w:pPr>
      <w:r>
        <w:rPr>
          <w:sz w:val="22"/>
          <w:szCs w:val="22"/>
        </w:rPr>
        <w:t xml:space="preserve">DP contínua ambulatorial (CAPD): 4 trocas manuais ao dia, 2L cada — modalidade ambulatorial padrão.</w:t>
      </w:r>
    </w:p>
    <w:p>
      <w:pPr>
        <w:pStyle w:val="ListParagraph"/>
        <w:numPr>
          <w:ilvl w:val="0"/>
          <w:numId w:val="2"/>
        </w:numPr>
        <w:spacing w:after="40" w:before="40" w:line="280"/>
      </w:pPr>
      <w:r>
        <w:rPr>
          <w:sz w:val="22"/>
          <w:szCs w:val="22"/>
        </w:rPr>
        <w:t xml:space="preserve">DP automatizada (APD / cycler): 8–10h noturnas, ideal para pacientes com vida ativa.</w:t>
      </w:r>
    </w:p>
    <w:p>
      <w:pPr>
        <w:pStyle w:val="ListParagraph"/>
        <w:numPr>
          <w:ilvl w:val="0"/>
          <w:numId w:val="2"/>
        </w:numPr>
        <w:spacing w:after="40" w:before="40" w:line="280"/>
      </w:pPr>
      <w:r>
        <w:rPr>
          <w:sz w:val="22"/>
          <w:szCs w:val="22"/>
        </w:rPr>
        <w:t xml:space="preserve">DP aguda intermitente (manual ou cycler): 24–72h em emergência sem acesso vascular.</w:t>
      </w:r>
    </w:p>
    <w:p>
      <w:pPr>
        <w:pStyle w:val="ListParagraph"/>
        <w:numPr>
          <w:ilvl w:val="0"/>
          <w:numId w:val="2"/>
        </w:numPr>
        <w:spacing w:after="40" w:before="40" w:line="280"/>
      </w:pPr>
      <w:r>
        <w:rPr>
          <w:sz w:val="22"/>
          <w:szCs w:val="22"/>
        </w:rPr>
        <w:t xml:space="preserve">DP tidal: variante para pacientes com baixo permeabilidade peritoneal.</w:t>
      </w:r>
    </w:p>
    <w:p>
      <w:pPr>
        <w:pStyle w:val="Heading2"/>
        <w:spacing w:after="140" w:before="280"/>
      </w:pPr>
      <w:r>
        <w:rPr>
          <w:rFonts w:ascii="Arial" w:cs="Arial" w:eastAsia="Arial" w:hAnsi="Arial"/>
          <w:b/>
          <w:bCs/>
          <w:color w:val="1F4E79"/>
          <w:sz w:val="28"/>
          <w:szCs w:val="28"/>
        </w:rPr>
        <w:t xml:space="preserve">9.3. Transplante Renal — Solução Definitiva</w:t>
      </w:r>
    </w:p>
    <w:p>
      <w:pPr>
        <w:spacing w:after="60" w:before="60" w:line="300"/>
        <w:jc w:val="both"/>
      </w:pPr>
      <w:r>
        <w:rPr>
          <w:sz w:val="22"/>
          <w:szCs w:val="22"/>
        </w:rPr>
        <w:t xml:space="preserve">É a ÚNICA terapia que resolve definitivamente o problema do acesso. Em paciente com ESVA, o transplante deve ser priorizado e a equipe transplantadora acionada precocemente. Doador vivo HLA-compatível, doador falecido com critério expandido, transplante ABO-incompatível e dessensibilização são modalidades disponíveis em centros como Hospital São Lucas (PUC-RS), Albert Einstein (SP), HC-FMUSP, e em Fortaleza no HUWC e Hospital Geral de Fortaleza.</w:t>
      </w:r>
    </w:p>
    <w:p>
      <w:pPr>
        <w:spacing w:after="120" w:before="0"/>
      </w:pPr>
    </w:p>
    <w:p>
      <w:pPr>
        <w:pStyle w:val="Heading1"/>
        <w:pBdr>
          <w:bottom w:val="single" w:color="8B0000" w:sz="12" w:space="4"/>
        </w:pBdr>
        <w:spacing w:after="180" w:before="360"/>
      </w:pPr>
      <w:r>
        <w:rPr>
          <w:rFonts w:ascii="Arial" w:cs="Arial" w:eastAsia="Arial" w:hAnsi="Arial"/>
          <w:b/>
          <w:bCs/>
          <w:color w:val="8B0000"/>
          <w:sz w:val="32"/>
          <w:szCs w:val="32"/>
        </w:rPr>
        <w:t xml:space="preserve">10. Parte VIII — Considerações Éticas e de Cuidado Paliativo</w:t>
      </w:r>
    </w:p>
    <w:p>
      <w:pPr>
        <w:spacing w:after="60" w:before="60" w:line="300"/>
        <w:jc w:val="both"/>
      </w:pPr>
      <w:r>
        <w:rPr>
          <w:sz w:val="22"/>
          <w:szCs w:val="22"/>
        </w:rPr>
        <w:t xml:space="preserve">Em paciente com ESVA absoluto (estágio V), idoso, comorbidades graves, baixa expectativa de vida, é eticamente imperativo discutir limites terapêuticos. KDIGO recomenda "shared decision making" envolvendo paciente, família e equipe (incluindo psicologia e cuidados paliativos).</w:t>
      </w:r>
    </w:p>
    <w:p>
      <w:pPr>
        <w:pStyle w:val="ListParagraph"/>
        <w:numPr>
          <w:ilvl w:val="0"/>
          <w:numId w:val="2"/>
        </w:numPr>
        <w:spacing w:after="40" w:before="40" w:line="280"/>
      </w:pPr>
      <w:r>
        <w:rPr>
          <w:sz w:val="22"/>
          <w:szCs w:val="22"/>
        </w:rPr>
        <w:t xml:space="preserve">Tratamento conservador da DRC sem TRS: manejo sintomático (anti-eméticos, analgésicos opióides em dose adaptada à DRC, sedação paliativa).</w:t>
      </w:r>
    </w:p>
    <w:p>
      <w:pPr>
        <w:pStyle w:val="ListParagraph"/>
        <w:numPr>
          <w:ilvl w:val="0"/>
          <w:numId w:val="2"/>
        </w:numPr>
        <w:spacing w:after="40" w:before="40" w:line="280"/>
      </w:pPr>
      <w:r>
        <w:rPr>
          <w:sz w:val="22"/>
          <w:szCs w:val="22"/>
        </w:rPr>
        <w:t xml:space="preserve">Manejo do potássio com quelantes orais e dieta — pode prolongar sobrevida em semanas a meses sem diálise se função residual mínima.</w:t>
      </w:r>
    </w:p>
    <w:p>
      <w:pPr>
        <w:pStyle w:val="ListParagraph"/>
        <w:numPr>
          <w:ilvl w:val="0"/>
          <w:numId w:val="2"/>
        </w:numPr>
        <w:spacing w:after="40" w:before="40" w:line="280"/>
      </w:pPr>
      <w:r>
        <w:rPr>
          <w:sz w:val="22"/>
          <w:szCs w:val="22"/>
        </w:rPr>
        <w:t xml:space="preserve">Discussão clara sobre prognóstico, ortotanásia, ordem de não-reanimação, conforto.</w:t>
      </w:r>
    </w:p>
    <w:p>
      <w:pPr>
        <w:pStyle w:val="ListParagraph"/>
        <w:numPr>
          <w:ilvl w:val="0"/>
          <w:numId w:val="2"/>
        </w:numPr>
        <w:spacing w:after="40" w:before="40" w:line="280"/>
      </w:pPr>
      <w:r>
        <w:rPr>
          <w:sz w:val="22"/>
          <w:szCs w:val="22"/>
        </w:rPr>
        <w:t xml:space="preserve">Apoio psicossocial e espiritual à família.</w:t>
      </w:r>
    </w:p>
    <w:p>
      <w:pPr>
        <w:spacing w:after="120" w:before="0"/>
      </w:pPr>
    </w:p>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11. Bibliografia (Evidência Máxima Disponível)</w:t>
      </w:r>
    </w:p>
    <w:p>
      <w:pPr>
        <w:spacing w:after="60" w:before="60" w:line="300"/>
        <w:jc w:val="both"/>
      </w:pPr>
      <w:r>
        <w:rPr>
          <w:b/>
          <w:bCs/>
          <w:sz w:val="22"/>
          <w:szCs w:val="22"/>
        </w:rPr>
        <w:t xml:space="preserve">Diretrizes e revisões sistemáticas que sustentam este protocolo:</w:t>
      </w:r>
    </w:p>
    <w:p>
      <w:pPr>
        <w:spacing w:after="60" w:before="60" w:line="280"/>
        <w:ind w:left="360" w:hanging="360"/>
      </w:pPr>
      <w:r>
        <w:rPr>
          <w:b/>
          <w:bCs/>
          <w:color w:val="1F4E79"/>
          <w:sz w:val="20"/>
          <w:szCs w:val="20"/>
        </w:rPr>
        <w:t xml:space="preserve">1. </w:t>
      </w:r>
      <w:r>
        <w:rPr>
          <w:sz w:val="20"/>
          <w:szCs w:val="20"/>
        </w:rPr>
        <w:t xml:space="preserve">Lok CE, Huber TS, Lee T, et al. KDOQI Clinical Practice Guideline for Vascular Access: 2019 Update. Am J Kidney Dis. 2020;75(4 Suppl 2):S1-S164.</w:t>
      </w:r>
    </w:p>
    <w:p>
      <w:pPr>
        <w:spacing w:after="60" w:before="60" w:line="280"/>
        <w:ind w:left="360" w:hanging="360"/>
      </w:pPr>
      <w:r>
        <w:rPr>
          <w:b/>
          <w:bCs/>
          <w:color w:val="1F4E79"/>
          <w:sz w:val="20"/>
          <w:szCs w:val="20"/>
        </w:rPr>
        <w:t xml:space="preserve">2. </w:t>
      </w:r>
      <w:r>
        <w:rPr>
          <w:sz w:val="20"/>
          <w:szCs w:val="20"/>
        </w:rPr>
        <w:t xml:space="preserve">Vachharajani TJ, Agarwal AK, Asif A. Vascular access of last resort. Kidney Int. 2018;93(4):797-802.</w:t>
      </w:r>
    </w:p>
    <w:p>
      <w:pPr>
        <w:spacing w:after="60" w:before="60" w:line="280"/>
        <w:ind w:left="360" w:hanging="360"/>
      </w:pPr>
      <w:r>
        <w:rPr>
          <w:b/>
          <w:bCs/>
          <w:color w:val="1F4E79"/>
          <w:sz w:val="20"/>
          <w:szCs w:val="20"/>
        </w:rPr>
        <w:t xml:space="preserve">3. </w:t>
      </w:r>
      <w:r>
        <w:rPr>
          <w:sz w:val="20"/>
          <w:szCs w:val="20"/>
        </w:rPr>
        <w:t xml:space="preserve">Inston N, Khawaja A, Mistry H, et al. Options for end stage vascular access: Translumbar catheter, arterial-arterial access or right atrial graft? J Vasc Access. 2020;21(1):7-18.</w:t>
      </w:r>
    </w:p>
    <w:p>
      <w:pPr>
        <w:spacing w:after="60" w:before="60" w:line="280"/>
        <w:ind w:left="360" w:hanging="360"/>
      </w:pPr>
      <w:r>
        <w:rPr>
          <w:b/>
          <w:bCs/>
          <w:color w:val="1F4E79"/>
          <w:sz w:val="20"/>
          <w:szCs w:val="20"/>
        </w:rPr>
        <w:t xml:space="preserve">4. </w:t>
      </w:r>
      <w:r>
        <w:rPr>
          <w:sz w:val="20"/>
          <w:szCs w:val="20"/>
        </w:rPr>
        <w:t xml:space="preserve">Lok CE, Yuo T, Lee T. Hemodialysis Vascular Access: Core Curriculum 2025. Am J Kidney Dis. 2025;85(1):104-120.</w:t>
      </w:r>
    </w:p>
    <w:p>
      <w:pPr>
        <w:spacing w:after="60" w:before="60" w:line="280"/>
        <w:ind w:left="360" w:hanging="360"/>
      </w:pPr>
      <w:r>
        <w:rPr>
          <w:b/>
          <w:bCs/>
          <w:color w:val="1F4E79"/>
          <w:sz w:val="20"/>
          <w:szCs w:val="20"/>
        </w:rPr>
        <w:t xml:space="preserve">5. </w:t>
      </w:r>
      <w:r>
        <w:rPr>
          <w:sz w:val="20"/>
          <w:szCs w:val="20"/>
        </w:rPr>
        <w:t xml:space="preserve">Ziapour B, Iafrati MD, Indes JE, Choi JC, Salehi P. Safety and efficacy of percutaneous translumbar inferior vena cava catheters: a systematic review and meta-analysis. J Vasc Interv Radiol. 2023;34(6):1075-1086.</w:t>
      </w:r>
    </w:p>
    <w:p>
      <w:pPr>
        <w:spacing w:after="60" w:before="60" w:line="280"/>
        <w:ind w:left="360" w:hanging="360"/>
      </w:pPr>
      <w:r>
        <w:rPr>
          <w:b/>
          <w:bCs/>
          <w:color w:val="1F4E79"/>
          <w:sz w:val="20"/>
          <w:szCs w:val="20"/>
        </w:rPr>
        <w:t xml:space="preserve">6. </w:t>
      </w:r>
      <w:r>
        <w:rPr>
          <w:sz w:val="20"/>
          <w:szCs w:val="20"/>
        </w:rPr>
        <w:t xml:space="preserve">Raskin D, Kirksey L, Bergen M, et al. Translumbar and Transhepatic Tunneled Dialysis Catheter Placements in the End Stage Renal Disease Population. Int J Cardiovasc Imaging. 2025;41:339-346.</w:t>
      </w:r>
    </w:p>
    <w:p>
      <w:pPr>
        <w:spacing w:after="60" w:before="60" w:line="280"/>
        <w:ind w:left="360" w:hanging="360"/>
      </w:pPr>
      <w:r>
        <w:rPr>
          <w:b/>
          <w:bCs/>
          <w:color w:val="1F4E79"/>
          <w:sz w:val="20"/>
          <w:szCs w:val="20"/>
        </w:rPr>
        <w:t xml:space="preserve">7. </w:t>
      </w:r>
      <w:r>
        <w:rPr>
          <w:sz w:val="20"/>
          <w:szCs w:val="20"/>
        </w:rPr>
        <w:t xml:space="preserve">Tabriz DM, Arslan B. HeRO Graft: Indications, Technique, Outcomes, and Secondary Intervention. Semin Intervent Radiol. 2022;39(1):82-89.</w:t>
      </w:r>
    </w:p>
    <w:p>
      <w:pPr>
        <w:spacing w:after="60" w:before="60" w:line="280"/>
        <w:ind w:left="360" w:hanging="360"/>
      </w:pPr>
      <w:r>
        <w:rPr>
          <w:b/>
          <w:bCs/>
          <w:color w:val="1F4E79"/>
          <w:sz w:val="20"/>
          <w:szCs w:val="20"/>
        </w:rPr>
        <w:t xml:space="preserve">8. </w:t>
      </w:r>
      <w:r>
        <w:rPr>
          <w:sz w:val="20"/>
          <w:szCs w:val="20"/>
        </w:rPr>
        <w:t xml:space="preserve">Khallaf OAN, et al. Percutaneous transhepatic hemodialysis catheters in chronic hemodialysis patients: technique, functional outcome, and complications. Egypt J Radiol Nucl Med. 2019;50:1-7.</w:t>
      </w:r>
    </w:p>
    <w:p>
      <w:pPr>
        <w:spacing w:after="60" w:before="60" w:line="280"/>
        <w:ind w:left="360" w:hanging="360"/>
      </w:pPr>
      <w:r>
        <w:rPr>
          <w:b/>
          <w:bCs/>
          <w:color w:val="1F4E79"/>
          <w:sz w:val="20"/>
          <w:szCs w:val="20"/>
        </w:rPr>
        <w:t xml:space="preserve">9. </w:t>
      </w:r>
      <w:r>
        <w:rPr>
          <w:sz w:val="20"/>
          <w:szCs w:val="20"/>
        </w:rPr>
        <w:t xml:space="preserve">Hur S, et al. Transrenal Hemodialysis Catheter Insertion and Replacement in Patients with Upper Extremity Central Venous Access Exhaustion. Cardiovasc Intervent Radiol. 2021.</w:t>
      </w:r>
    </w:p>
    <w:p>
      <w:pPr>
        <w:spacing w:after="60" w:before="60" w:line="280"/>
        <w:ind w:left="360" w:hanging="360"/>
      </w:pPr>
      <w:r>
        <w:rPr>
          <w:b/>
          <w:bCs/>
          <w:color w:val="1F4E79"/>
          <w:sz w:val="20"/>
          <w:szCs w:val="20"/>
        </w:rPr>
        <w:t xml:space="preserve">10. </w:t>
      </w:r>
      <w:r>
        <w:rPr>
          <w:sz w:val="20"/>
          <w:szCs w:val="20"/>
        </w:rPr>
        <w:t xml:space="preserve">Sociedade Brasileira de Angiologia e Cirurgia Vascular (SBACV). Diretriz brasileira de acesso vascular para hemodiálise. J Vasc Bras. 2023.</w:t>
      </w:r>
    </w:p>
    <w:p>
      <w:pPr>
        <w:spacing w:after="60" w:before="60" w:line="280"/>
        <w:ind w:left="360" w:hanging="360"/>
      </w:pPr>
      <w:r>
        <w:rPr>
          <w:b/>
          <w:bCs/>
          <w:color w:val="1F4E79"/>
          <w:sz w:val="20"/>
          <w:szCs w:val="20"/>
        </w:rPr>
        <w:t xml:space="preserve">11. </w:t>
      </w:r>
      <w:r>
        <w:rPr>
          <w:sz w:val="20"/>
          <w:szCs w:val="20"/>
        </w:rPr>
        <w:t xml:space="preserve">Sociedade Brasileira de Nefrologia (SBN). Diretrizes de manejo do paciente com DRC em terapia substitutiva renal. 2022.</w:t>
      </w:r>
    </w:p>
    <w:p>
      <w:pPr>
        <w:spacing w:after="60" w:before="60" w:line="280"/>
        <w:ind w:left="360" w:hanging="360"/>
      </w:pPr>
      <w:r>
        <w:rPr>
          <w:b/>
          <w:bCs/>
          <w:color w:val="1F4E79"/>
          <w:sz w:val="20"/>
          <w:szCs w:val="20"/>
        </w:rPr>
        <w:t xml:space="preserve">12. </w:t>
      </w:r>
      <w:r>
        <w:rPr>
          <w:sz w:val="20"/>
          <w:szCs w:val="20"/>
        </w:rPr>
        <w:t xml:space="preserve">ISPD Guidelines: Cullis B, et al. ISPD Guidelines for Peritoneal Dialysis in Acute Kidney Injury: 2020 Update. Perit Dial Int. 2021;41(1):15-31.</w:t>
      </w:r>
    </w:p>
    <w:p>
      <w:pPr>
        <w:spacing w:after="60" w:before="60" w:line="280"/>
        <w:ind w:left="360" w:hanging="360"/>
      </w:pPr>
      <w:r>
        <w:rPr>
          <w:b/>
          <w:bCs/>
          <w:color w:val="1F4E79"/>
          <w:sz w:val="20"/>
          <w:szCs w:val="20"/>
        </w:rPr>
        <w:t xml:space="preserve">13. </w:t>
      </w:r>
      <w:r>
        <w:rPr>
          <w:sz w:val="20"/>
          <w:szCs w:val="20"/>
        </w:rPr>
        <w:t xml:space="preserve">Surviving Sepsis Campaign. International Guidelines for Management of Sepsis and Septic Shock 2021 (atualização contínua).</w:t>
      </w:r>
    </w:p>
    <w:p>
      <w:pPr>
        <w:spacing w:after="60" w:before="60" w:line="280"/>
        <w:ind w:left="360" w:hanging="360"/>
      </w:pPr>
      <w:r>
        <w:rPr>
          <w:b/>
          <w:bCs/>
          <w:color w:val="1F4E79"/>
          <w:sz w:val="20"/>
          <w:szCs w:val="20"/>
        </w:rPr>
        <w:t xml:space="preserve">14. </w:t>
      </w:r>
      <w:r>
        <w:rPr>
          <w:sz w:val="20"/>
          <w:szCs w:val="20"/>
        </w:rPr>
        <w:t xml:space="preserve">KDIGO 2024 Clinical Practice Guideline for the Evaluation and Management of Chronic Kidney Disease.</w:t>
      </w:r>
    </w:p>
    <w:p>
      <w:pPr>
        <w:spacing w:after="60" w:before="60" w:line="280"/>
        <w:ind w:left="360" w:hanging="360"/>
      </w:pPr>
      <w:r>
        <w:rPr>
          <w:b/>
          <w:bCs/>
          <w:color w:val="1F4E79"/>
          <w:sz w:val="20"/>
          <w:szCs w:val="20"/>
        </w:rPr>
        <w:t xml:space="preserve">15. </w:t>
      </w:r>
      <w:r>
        <w:rPr>
          <w:sz w:val="20"/>
          <w:szCs w:val="20"/>
        </w:rPr>
        <w:t xml:space="preserve">Truong T, Bonventre JV. Stress-Dose Steroids: A Potential Therapeutic Option for Refractory Hyperkalemia. Cureus. 2023;15(9):e44832.</w:t>
      </w:r>
    </w:p>
    <w:p>
      <w:pPr>
        <w:spacing w:after="60" w:before="60" w:line="280"/>
        <w:ind w:left="360" w:hanging="360"/>
      </w:pPr>
      <w:r>
        <w:rPr>
          <w:b/>
          <w:bCs/>
          <w:color w:val="1F4E79"/>
          <w:sz w:val="20"/>
          <w:szCs w:val="20"/>
        </w:rPr>
        <w:t xml:space="preserve">16. </w:t>
      </w:r>
      <w:r>
        <w:rPr>
          <w:sz w:val="20"/>
          <w:szCs w:val="20"/>
        </w:rPr>
        <w:t xml:space="preserve">Aragon MA, et al. Vascular Access for Home Hemodialysis: A Perspective on Tunneled Central Venous Catheters at Home. Kidney Med. 2024;7(1):100916.</w:t>
      </w:r>
    </w:p>
    <w:p>
      <w:pPr>
        <w:spacing w:after="60" w:before="60" w:line="280"/>
        <w:ind w:left="360" w:hanging="360"/>
      </w:pPr>
      <w:r>
        <w:rPr>
          <w:b/>
          <w:bCs/>
          <w:color w:val="1F4E79"/>
          <w:sz w:val="20"/>
          <w:szCs w:val="20"/>
        </w:rPr>
        <w:t xml:space="preserve">17. </w:t>
      </w:r>
      <w:r>
        <w:rPr>
          <w:sz w:val="20"/>
          <w:szCs w:val="20"/>
        </w:rPr>
        <w:t xml:space="preserve">Brown RS, Patibandla BK, Goldfarb-Rumyantzev AS. The Survival Benefit of "Fistula First, Catheter Last" in Hemodialysis Is Primarily Due to Patient Factors. J Am Soc Nephrol. 2017;28(2):645-652.</w:t>
      </w:r>
    </w:p>
    <w:p>
      <w:pPr>
        <w:spacing w:after="60" w:before="60" w:line="280"/>
        <w:ind w:left="360" w:hanging="360"/>
      </w:pPr>
      <w:r>
        <w:rPr>
          <w:b/>
          <w:bCs/>
          <w:color w:val="1F4E79"/>
          <w:sz w:val="20"/>
          <w:szCs w:val="20"/>
        </w:rPr>
        <w:t xml:space="preserve">18. </w:t>
      </w:r>
      <w:r>
        <w:rPr>
          <w:sz w:val="20"/>
          <w:szCs w:val="20"/>
        </w:rPr>
        <w:t xml:space="preserve">AMIB. Diretrizes de Terapia Intensiva — Manejo do Paciente Crítico Renal. 2023.</w:t>
      </w:r>
    </w:p>
    <w:p>
      <w:pPr>
        <w:spacing w:after="60" w:before="60" w:line="280"/>
        <w:ind w:left="360" w:hanging="360"/>
      </w:pPr>
      <w:r>
        <w:rPr>
          <w:b/>
          <w:bCs/>
          <w:color w:val="1F4E79"/>
          <w:sz w:val="20"/>
          <w:szCs w:val="20"/>
        </w:rPr>
        <w:t xml:space="preserve">19. </w:t>
      </w:r>
      <w:r>
        <w:rPr>
          <w:sz w:val="20"/>
          <w:szCs w:val="20"/>
        </w:rPr>
        <w:t xml:space="preserve">Herscu G, Woo K, Weaver FA, Rowe VL. Use of unconventional dialysis access in patients with no viable alternative. Ann Vasc Surg. 2013;27(3):332-336.</w:t>
      </w:r>
    </w:p>
    <w:p>
      <w:pPr>
        <w:spacing w:after="60" w:before="60" w:line="280"/>
        <w:ind w:left="360" w:hanging="360"/>
      </w:pPr>
      <w:r>
        <w:rPr>
          <w:b/>
          <w:bCs/>
          <w:color w:val="1F4E79"/>
          <w:sz w:val="20"/>
          <w:szCs w:val="20"/>
        </w:rPr>
        <w:t xml:space="preserve">20. </w:t>
      </w:r>
      <w:r>
        <w:rPr>
          <w:sz w:val="20"/>
          <w:szCs w:val="20"/>
        </w:rPr>
        <w:t xml:space="preserve">Anaya-Ayala JE, et al. Surgical management of hemodialysis-related central venous occlusive disease: a treatment algorithm. Ann Vasc Surg. 2011;25(1):108-119.</w:t>
      </w:r>
    </w:p>
    <w:p>
      <w:pPr>
        <w:spacing w:after="120" w:before="0"/>
      </w:pPr>
    </w:p>
    <w:p>
      <w:r>
        <w:br w:type="page"/>
      </w:r>
    </w:p>
    <w:p>
      <w:pPr>
        <w:pStyle w:val="Heading1"/>
        <w:pBdr>
          <w:bottom w:val="single" w:color="8B0000" w:sz="12" w:space="4"/>
        </w:pBdr>
        <w:spacing w:after="180" w:before="360"/>
      </w:pPr>
      <w:r>
        <w:rPr>
          <w:rFonts w:ascii="Arial" w:cs="Arial" w:eastAsia="Arial" w:hAnsi="Arial"/>
          <w:b/>
          <w:bCs/>
          <w:color w:val="8B0000"/>
          <w:sz w:val="32"/>
          <w:szCs w:val="32"/>
        </w:rPr>
        <w:t xml:space="preserve">12. Encerramento e Recados Finais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837" w:sz="18"/>
              <w:left w:val="single" w:color="1B7837" w:sz="18"/>
              <w:bottom w:val="single" w:color="1B7837" w:sz="18"/>
              <w:right w:val="single" w:color="1B7837" w:sz="18"/>
            </w:tcBorders>
            <w:shd w:fill="E8F5E9" w:val="clear"/>
            <w:tcMar>
              <w:top w:type="dxa" w:w="160"/>
              <w:left w:type="dxa" w:w="200"/>
              <w:bottom w:type="dxa" w:w="160"/>
              <w:right w:type="dxa" w:w="200"/>
            </w:tcMar>
          </w:tcPr>
          <w:p>
            <w:pPr>
              <w:spacing w:after="80"/>
            </w:pPr>
            <w:r>
              <w:rPr>
                <w:b/>
                <w:bCs/>
                <w:color w:val="1B7837"/>
                <w:sz w:val="24"/>
                <w:szCs w:val="24"/>
              </w:rPr>
              <w:t xml:space="preserve">Princípios Cardinais</w:t>
            </w:r>
          </w:p>
          <w:p>
            <w:pPr>
              <w:spacing w:after="40" w:before="40"/>
              <w:jc w:val="both"/>
            </w:pPr>
            <w:r>
              <w:rPr>
                <w:sz w:val="22"/>
                <w:szCs w:val="22"/>
              </w:rPr>
              <w:t xml:space="preserve">1. NUNCA permitir que um paciente em ESVA morra por falta de tentativa: hipercalemia, hipervolemia e acidose têm bundle definido — execute-o.</w:t>
            </w:r>
          </w:p>
          <w:p>
            <w:pPr>
              <w:spacing w:after="40" w:before="40"/>
              <w:jc w:val="both"/>
            </w:pPr>
            <w:r>
              <w:rPr>
                <w:sz w:val="22"/>
                <w:szCs w:val="22"/>
              </w:rPr>
              <w:t xml:space="preserve">2. SEMPRE preservar o capital vascular: cada agulha conta. Documente cada acesso.</w:t>
            </w:r>
          </w:p>
          <w:p>
            <w:pPr>
              <w:spacing w:after="40" w:before="40"/>
              <w:jc w:val="both"/>
            </w:pPr>
            <w:r>
              <w:rPr>
                <w:sz w:val="22"/>
                <w:szCs w:val="22"/>
              </w:rPr>
              <w:t xml:space="preserve">3. SEMPRE acionar regulação e telemedicina precocemente — radiologia intervencionista é a saída para ESVA III–IV.</w:t>
            </w:r>
          </w:p>
          <w:p>
            <w:pPr>
              <w:spacing w:after="40" w:before="40"/>
              <w:jc w:val="both"/>
            </w:pPr>
            <w:r>
              <w:rPr>
                <w:sz w:val="22"/>
                <w:szCs w:val="22"/>
              </w:rPr>
              <w:t xml:space="preserve">4. CONSIDERE diálise peritoneal aguda como ponte salva-vidas em ambientes com recurso limitado, mesmo improvisada.</w:t>
            </w:r>
          </w:p>
          <w:p>
            <w:pPr>
              <w:spacing w:after="40" w:before="40"/>
              <w:jc w:val="both"/>
            </w:pPr>
            <w:r>
              <w:rPr>
                <w:sz w:val="22"/>
                <w:szCs w:val="22"/>
              </w:rPr>
              <w:t xml:space="preserve">5. PRIORIZE transferência regulada para centro com radiologia intervencionista vascular.</w:t>
            </w:r>
          </w:p>
        </w:tc>
      </w:tr>
    </w:tbl>
    <w:p>
      <w:pPr>
        <w:spacing w:after="120" w:before="0"/>
      </w:pPr>
    </w:p>
    <w:p>
      <w:pPr>
        <w:spacing w:after="60" w:before="60" w:line="300"/>
        <w:jc w:val="both"/>
      </w:pPr>
      <w:r>
        <w:rPr>
          <w:i/>
          <w:iCs/>
          <w:sz w:val="20"/>
          <w:szCs w:val="20"/>
        </w:rPr>
        <w:t xml:space="preserve">Este documento é dinâmico e deve ser revisado anualmente ou sempre que novas diretrizes (KDOQI, KDIGO, SBN, SBACV, ISPD) forem publicadas. Sugestões de aprimoramento devem ser enviadas ao núcleo de educação continuada e à equipe de nefrologia / terapia intensiva da instituição.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6" w:space="4"/>
      </w:pBdr>
      <w:tabs>
        <w:tab w:val="center" w:pos="4513"/>
        <w:tab w:val="right" w:pos="9026"/>
      </w:tabs>
      <w:jc w:val="center"/>
    </w:pPr>
    <w:r>
      <w:rPr>
        <w:color w:val="595959"/>
        <w:sz w:val="18"/>
        <w:szCs w:val="18"/>
      </w:rPr>
      <w:t xml:space="preserve">Dr. Aldenir Rocha — CRM 16.587 / RQE 11.846</w:t>
    </w:r>
    <w:r>
      <w:t xml:space="preserve">	</w:t>
    </w:r>
    <w:r>
      <w:rPr>
        <w:color w:val="595959"/>
        <w:sz w:val="18"/>
        <w:szCs w:val="18"/>
      </w:rPr>
      <w:t xml:space="preserve">Sobral / CE — v1.0 / Abril 2026</w:t>
    </w:r>
    <w:r>
      <w:t xml:space="preserve">	</w:t>
    </w:r>
    <w:r>
      <w:rPr>
        <w:color w:val="595959"/>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4"/>
      </w:pBdr>
      <w:jc w:val="right"/>
    </w:pPr>
    <w:r>
      <w:rPr>
        <w:i/>
        <w:iCs/>
        <w:color w:val="595959"/>
        <w:sz w:val="18"/>
        <w:szCs w:val="18"/>
      </w:rPr>
      <w:t xml:space="preserve">Protocolo ESVA — Falência Vascular Completa em Paciente Dialítico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8B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10" w:before="220"/>
      <w:outlineLvl w:val="2"/>
    </w:pPr>
    <w:rPr>
      <w:rFonts w:ascii="Arial" w:cs="Arial" w:eastAsia="Arial" w:hAnsi="Arial"/>
      <w:b/>
      <w:bCs/>
      <w:color w:val="1F4E79"/>
      <w:sz w:val="24"/>
      <w:szCs w:val="24"/>
    </w:rPr>
  </w:style>
  <w:style w:type="paragraph" w:styleId="Heading4">
    <w:name w:val="Heading 4"/>
    <w:basedOn w:val="Normal"/>
    <w:next w:val="Normal"/>
    <w:qFormat/>
    <w:pPr>
      <w:spacing w:after="90" w:before="18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Manejo do Paciente Renal Crônico Dialítico com Falência Vascular Completa</dc:title>
  <dc:creator>Dr. Aldenir Rocha — Hospital Regional Norte / Santa Casa de Sobral</dc:creator>
  <dc:description>Protocolo institucional baseado em evidência máxima</dc:description>
  <cp:lastModifiedBy>Un-named</cp:lastModifiedBy>
  <cp:revision>1</cp:revision>
  <dcterms:created xsi:type="dcterms:W3CDTF">2026-04-24T22:50:44.092Z</dcterms:created>
  <dcterms:modified xsi:type="dcterms:W3CDTF">2026-04-24T22:50:44.093Z</dcterms:modified>
</cp:coreProperties>
</file>

<file path=docProps/custom.xml><?xml version="1.0" encoding="utf-8"?>
<Properties xmlns="http://schemas.openxmlformats.org/officeDocument/2006/custom-properties" xmlns:vt="http://schemas.openxmlformats.org/officeDocument/2006/docPropsVTypes"/>
</file>