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Segoe UI Emoji" w:cs="Segoe UI Emoji" w:eastAsia="Segoe UI Emoji" w:hAnsi="Segoe UI Emoji"/>
          <w:sz w:val="64"/>
          <w:szCs w:val="64"/>
        </w:rPr>
        <w:t xml:space="preserve">🦠💊🔬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INFECÇÃO E ANTIBIÓTICOS NA UTI</w:t>
      </w:r>
    </w:p>
    <w:p>
      <w:pPr>
        <w:jc w:val="center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PK/PD no Doente Crítico  •  Fungemia  •  Carbapenemase  •  Otimização em TRSC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6A1B9A"/>
          <w:sz w:val="22"/>
          <w:szCs w:val="22"/>
        </w:rPr>
        <w:t xml:space="preserve">Stewardship  •  ESKAPE  •  MRSA  •  KPC/NDM  •  Candida  •  Aspergillus  •  TRSC/Hemodiálise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Dr. Aldenir Rocha</w:t>
      </w:r>
    </w:p>
    <w:p>
      <w:pPr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CRM 16587 CREMEC  |  RQE Clínica Médica 11846</w:t>
      </w:r>
    </w:p>
    <w:p>
      <w:pPr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Hospital Regional Norte  |  Santa Casa de Misericórdia de Sobral – CE</w:t>
      </w:r>
    </w:p>
    <w:p>
      <w:pPr>
        <w:spacing w:before="16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Versão 1.0  |  Abril/2026  |  IDSA 2023  •  ESCMID 2023  •  SSC 2021  •  KDIGO  •  Sanford Guide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💊 PARTE I — FARMACOCINÉTICA / FARMACODINÂMICA (PK/PD) NO DOENTE CRÍTICO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Concentração-Dependente • Tempo-Dependente • Área-Dependente • Otimização Posológica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1. CONCEITOS FUNDAMENTAIS DE PK/PD — ANTIBIÓTICOS UTI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O doente crítico tem alterações farmacocinéticas PROFUNDAS que invalidam doses padrão: volume de distribuição aumentado (edema, ressuscitação volêmica), albumina reduzida (drogas altamente ligadas à proteína têm fração livre aumentada), função renal instável e disfunção hepática. O monitoramento terapêutico (TDM) é a única forma de garantir eficácia.</w:t>
      </w:r>
    </w:p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Classificação PK/PD — Estratégia de Otimização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400"/>
        <w:gridCol w:w="1800"/>
        <w:gridCol w:w="2000"/>
      </w:tblGrid>
      <w:tr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 PD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Antibióticos</w:t>
            </w:r>
          </w:p>
        </w:tc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PD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Estratégia Otimização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Cmax/MIC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Concentração-Dependente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Aminoglicosídeos (gentamicina, amicacina), Fluoroquinolonas, Polimixinas, Metronidazol, Azitromicina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Cmax/MIC ≥ 8–12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Dose única diária (QD) → pico alto. Extended-Interval Dosing.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T&gt;MIC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Tempo-Dependente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Beta-lactâmicos (penicilinas, cefalosporinas, carbapenens), Vancomicina (parcialmente)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T&gt;MIC ≥ 40-70% do intervalo (beta-lac) / 100% (carbapenens resistência)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Infusão estendida ou contínua. Aumentar frequência ao invés da dose.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AUC/MIC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Área-Dependente (misto)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Vancomicina, Linezolida, Tigeciclina, Daptomicina, Clindamicina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AUC24/MIC ≥ 400 (vancomicina MRSA). AUC/MIC ≥ 100 (quinolonas)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TDM com ajuste de dose individualizado. AUC-guided dosing (vancomicina ASHP 2020).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Alterações PK no Doente Crítico — Impacto Prático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400"/>
      </w:tblGrid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Alteração Fisiopatológica</w:t>
            </w:r>
          </w:p>
        </w:tc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Antibiótico Afetado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Ajuste Necessário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↑ Volume de distribuição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Edema, ressuscitação, capilary leak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Hidrofílicos: beta-lactâmicos, aminoglicosídeos, vancomicina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Dose de ataque MAIOR. Dose de manutenção ajustar por TDM.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↓ Albumina (&lt;2,5 g/dL)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Hepatopatia, desnutrição, sepse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Altamente ligados: ceftriaxona, oxacilina, daptomicina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Fração livre ↑ → efeito aumentado mas eliminação também ↑. Monitorar TDM.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Augmented Renal Clearance (ARC)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Hiperperfusão renal (sepse precoce, jovens, trauma)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Vancomicina, piperaciclina, beta-lactâmicos hidrofílicos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ClCr &gt; 130 mL/min → subdosagem grave. Aumentar dose ou frequência.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↓ Função renal (IRA/TRSC)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Oligúria, necrose tubular, sepse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Aminoglicosídeos, vancomicina, carbapenem, colistina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Reduzir dose/frequência por ClCr. TRSC: ver tabela específica.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Disfunção hepática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Cirrose, hepatite fulminante, sepse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Metronidazol, cloranfenicol, eritromicina, rifampicina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Reduzir dose em Child C. Evitar hepatotóxicos.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Hipoalbuminemia + circulação hiperdinâmica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Sepse estabelecida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Ceftriaxona, clindamicina, linezolida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T&gt;MIC comprometido. Infusão estendida ou contínua.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Infusão Estendida e Contínua de Beta-Lactâmicos — Por que e Como?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ESTRATÉGIA DE INFUSÃO ESTENDIDA — BETA-LACTÂMICOS EM UTI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PRINCÍPIO: beta-lactâmicos são tempo-dependentes. O T&gt;MIC determina eficácia, não o pico.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Meta convencional: T&gt;MIC &gt; 40-50% do intervalo (bacteriostático) → 60-70% (bactericida)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Meta em resistentes (KPC, MIC elevada): T&gt;MIC &gt; 100% do intervalo → INFUSÃO CONTÍNUA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MEROPENÉM infusão estendida: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Convencional: 1-2g IV em 30 min q8h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Estendida: 2g IV em 3h q8h (mesmo dose total, mais tempo acima da MIC)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Contínua: 6g/24h em infusão contínua (em centro com TDM disponível)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PIPERACILINA-TAZOBACTAM infusão estendida: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Convencional: 4,5g IV em 30 min q6h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Estendida: 4,5g IV em 4h q6h (OU 3,375g IV em 4h q8h)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PROLONGED: 16g/24h em bomba de infusão contínua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EVIDÊNCIA: Andes et al. (AAC 2002), Buck et al. (JAC 2008), meta-análise Dulhunty (2015): infusão estendida → melhor desfecho clínico em gram-negativos com MIC intermediária.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IMPORTANTE: solução de meropeném estável por 4h à temperatura ambiente; pip-tazo 12h.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🦠 PARTE II — PATÓGENOS ESKAPE E RESISTÊNCIA BACTERIANA NA UTI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MRSA • KPC • NDM • ESBL • Pseudomonas MDR • Acinetobacter XDR • Enterococo VRE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2. ESKAPE — PATÓGENOS CRÍTICOS E ESTRATÉGIAS TERAPÊUTICAS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ESKAPE = Enterococcus faecium (VRE), Staphylococcus aureus (MRSA), Klebsiella pneumoniae (KPC/ESBL), Acinetobacter baumannii (XDR), Pseudomonas aeruginosa (MDR), Enterobacter spp. — Os patógenos responsáveis pela maioria das infecções hospitalares resistentes e mortalidade por resistência bacteriana.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00"/>
        <w:gridCol w:w="3600"/>
      </w:tblGrid>
      <w:tr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Patógeno</w:t>
            </w:r>
          </w:p>
        </w:tc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Resistência Principal</w:t>
            </w:r>
          </w:p>
        </w:tc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Antibiótico de Escolha</w:t>
            </w:r>
          </w:p>
        </w:tc>
        <w:tc>
          <w:tcPr>
            <w:tcW w:type="dxa" w:w="3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Posologia / Considerações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MRSA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PBP2a — resistência a todos beta-lactâmicos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Vancomicina (AUC/MIC guiado) OU Daptomicina 6 mg/kg/dia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Vancomicina: AUC 400-600 mg.h/L. Linezolida 600 mg q12h (pneumonia MRSA — melhor penetração pulmonar que vancomicina). Daptomicina: NÃO usar pneumonia (inativada pelo surfactante).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KPC (Klebsiella pneumoniae carbapenemase)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Beta-lactamase de espectro ampliado + KPC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Ceftazidima-avibactam 2,5g q8h EM 2h OU Meropenem-vaborbactam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EVITAR polimixinas como monoterapia. Fosfomicina adjuvante. Terapia combinada para KPC grave: ceftaz-avibactam + aztreonam (NDM combo).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NDM (New Delhi Metalo-betalactamase)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Metalo-beta-lactamase: destrói carbapenens + cefalosporinas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Aztreonam-avibactam (ceftaz-avibactam + aztreonam off-label) OU Cefiderocol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IMPORTANTE: Ceftazidima-avibactam NÃO cobre NDM isolada. Combo: ceftaz-avibactam inibe KPC ao lado de NDM → aztreonam pode ser ativo.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Acinetobacter baumannii XDR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OXA-23/OXA-48 carbapenemases + MDR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Polimixina B 2,5 mg/kg/dia (12,5 U/kg/12h) + Meropeném (MIC ≥ 8 — terapia combinada) OU Sulbactam-durlabactam (emergente)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Polimixina B: dose não ajustada por função renal (diferente da Polimixina E = Colistina). TDM necessário. Nefrotoxicidade e neurotoxicidade.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Pseudomonas aeruginosa MDR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AmpC + MexAB-OprM (bombas efluxo) + metalobetalactamases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Ceftolozano-tazobactam 3g q8h (4h) OU Imipeném-cilastatina-relebactam OU Cefiderocol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Imipeném-relebactam: inibe OprD restore. Ceftolozano-taz: não cobre KPC. Cobertura anti-Pseudomonas: apenas 2 drogas de diferentes classes em documentada.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VRE (Enterococo VanA/VanB)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VanA: resistência vancomicina + teicoplanina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Linezolida 600 mg q12h OU Daptomicina 6-8 mg/kg/dia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VanB: apenas resistência vancomicina — teicoplanina ativa. VanA: linezolida 1ª linha UTI grave. Daptomicina + ampicilina combinação para endocardite VRE.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ESBL (Enterobacterales)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CTX-M, TEM, SHV — inativam cefalosporinas de 3ª/4ª geração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Meropeném 1-2g q8h (GOLD STANDARD) OU Ertapeném (comunitária/não-UTI)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Cefepima: zona cinza — não usar empiricamente para ESBL. Piperaciclina-tazobactam: controverso mesmo em sensível (inoculum effect).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58B2F" w:sz="1"/>
              <w:left w:val="single" w:color="558B2F" w:sz="1"/>
              <w:bottom w:val="single" w:color="558B2F" w:sz="1"/>
              <w:right w:val="single" w:color="558B2F" w:sz="1"/>
            </w:tcBorders>
            <w:shd w:fill="558B2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🤓 DICA NERD — CEFIDEROCOL: O 'Cavalo de Troia' dos Antibióticos</w:t>
            </w:r>
          </w:p>
        </w:tc>
      </w:tr>
      <w:tr>
        <w:tc>
          <w:tcPr>
            <w:tcW w:type="dxa" w:w="9200"/>
            <w:tcBorders>
              <w:top w:val="single" w:color="558B2F" w:sz="1"/>
              <w:left w:val="single" w:color="558B2F" w:sz="1"/>
              <w:bottom w:val="single" w:color="558B2F" w:sz="1"/>
              <w:right w:val="single" w:color="558B2F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Cefiderocol é uma cefalosporina siderofórica — usa quelante de ferro (sideróforo) para penetrar na bactéria piggyback pelo sistema de transporte de ferro.</w:t>
            </w:r>
          </w:p>
        </w:tc>
      </w:tr>
      <w:tr>
        <w:tc>
          <w:tcPr>
            <w:tcW w:type="dxa" w:w="9200"/>
            <w:tcBorders>
              <w:top w:val="single" w:color="558B2F" w:sz="1"/>
              <w:left w:val="single" w:color="558B2F" w:sz="1"/>
              <w:bottom w:val="single" w:color="558B2F" w:sz="1"/>
              <w:right w:val="single" w:color="558B2F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Mecanismo único: entra pela via de captação de ferro da bactéria → ignora bombas de efluxo e porinas → PBP altamente ativa.</w:t>
            </w:r>
          </w:p>
        </w:tc>
      </w:tr>
      <w:tr>
        <w:tc>
          <w:tcPr>
            <w:tcW w:type="dxa" w:w="9200"/>
            <w:tcBorders>
              <w:top w:val="single" w:color="558B2F" w:sz="1"/>
              <w:left w:val="single" w:color="558B2F" w:sz="1"/>
              <w:bottom w:val="single" w:color="558B2F" w:sz="1"/>
              <w:right w:val="single" w:color="558B2F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Espectro: Pseudomonas, Acinetobacter, Stenotrophomonas, NDM, ESBL — gram-negativos MDR/XDR.</w:t>
            </w:r>
          </w:p>
        </w:tc>
      </w:tr>
      <w:tr>
        <w:tc>
          <w:tcPr>
            <w:tcW w:type="dxa" w:w="9200"/>
            <w:tcBorders>
              <w:top w:val="single" w:color="558B2F" w:sz="1"/>
              <w:left w:val="single" w:color="558B2F" w:sz="1"/>
              <w:bottom w:val="single" w:color="558B2F" w:sz="1"/>
              <w:right w:val="single" w:color="558B2F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CREDIBLE-CR trial (Lancet Infect Dis 2019): cefiderocol vs melhor terapia disponível em infecções por carbapenem-resistentes.</w:t>
            </w:r>
          </w:p>
        </w:tc>
      </w:tr>
      <w:tr>
        <w:tc>
          <w:tcPr>
            <w:tcW w:type="dxa" w:w="9200"/>
            <w:tcBorders>
              <w:top w:val="single" w:color="558B2F" w:sz="1"/>
              <w:left w:val="single" w:color="558B2F" w:sz="1"/>
              <w:bottom w:val="single" w:color="558B2F" w:sz="1"/>
              <w:right w:val="single" w:color="558B2F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Aprovação FDA 2019. Disponibilidade limitada no Brasil — drogas de resgate em XDR.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3. MONITORIZAÇÃO TERAPÊUTICA DE ANTIBIÓTICOS (TDM) NA UTI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Vancomicina — AUC/MIC Guiado (ASHP/IDSA 2020)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 diretriz ASHP/IDSA 2020 abandonou o monitoramento pelo trough (vale) isolado em favor do AUC/MIC. Motivo: trough &gt; 15 mg/L não garante AUC adequada e aumenta nefrotoxicidade sem melhorar eficácia. O alvo AUC24/MIC ≥ 400 mg.h/L é o preditor de sucesso.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3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/ Valor</w:t>
            </w:r>
          </w:p>
        </w:tc>
        <w:tc>
          <w:tcPr>
            <w:tcW w:type="dxa" w:w="3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Prática Clínica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AUC24/MIC alvo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400–600 mg.h/L (MIC MRSA ≤ 1 mg/L)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Calcular por Bayesian software (melhor) OU fórmula simples: AUC = (dose/dia) ÷ CL (onde CL ≈ estimado por PK)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Trough (vale) histórico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15-20 mg/L (GUIA ANTIGO — abandonado)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Trough isolado &gt; 15 mg/L: aumenta nefrotox sem benefício de AUC em muitos casos.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Dose de ataque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25-30 mg/kg IV em 1-2h (máx 3g)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Dose de ataque independe do clearance renal. Garante concentração rápida.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Dose de manutenção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15-20 mg/kg q8-12h (TFG normal)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Ajustar frequência por ClCr. Dosar concentração no 3º-4º dose.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Nefrotoxicidade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AUC &gt; 600 + trough &gt; 20: risco aumenta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Monitorar creatinina diária. Vancomicina + Pip-taz: sinergia nefrotóxica — evitar combinação.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MIC ≥ 2 mg/L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Vancomicina ineficaz (MIC creep / VISA)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Trocar para daptomicina ou linezolida. AUC/MIC nunca atingirá alvo.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Aminoglicosídeos — Extended Interval Dosing (EID)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800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Droga</w:t>
            </w:r>
          </w:p>
        </w:tc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EID (QD)</w:t>
            </w:r>
          </w:p>
        </w:tc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Monitorização</w:t>
            </w:r>
          </w:p>
        </w:tc>
        <w:tc>
          <w:tcPr>
            <w:tcW w:type="dxa" w:w="2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Vantagens / Cuidados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Gentamicina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5-7 mg/kg q24h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Colher nível no intervalo 6-14h após dose. Hartman-nomogram.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QD: ↑ Cmax/MIC + efeito pós-antibiótico + menos nefrotox. Ajustar por ClCr.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Amicacina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15-20 mg/kg q24h (máx 2g)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Nível 6-14h pós-dose. Trough &lt; 1 mg/L antes da próxima dose.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Espectro mais amplo (Pseudomonas, KPC adjuvante). Ototox cumulativa.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Tobramicina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5-7 mg/kg q24h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Igual gentamicina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Preferida em Pseudomonas. Menos nefrotox que gentamicina. Inalatória pulmão.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🩺 PARTE III — AJUSTE DE ANTIBIÓTICOS NA TRSC (DIÁLISE UTI)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Hemodiálise Contínua (CVVHDF) • Intermitente (IHD) • Farmacocinética Especial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4. ANTIBIÓTICOS NA TERAPIA RENAL SUBSTITUTIVA CONTÍNUA (TRSC)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 TRSC (CVVH, CVVHD, CVVHDF) remove drogas hidrofílicas de baixo peso molecular não ligadas a proteínas. Taxa de remoção depende do fluxo de efluente, tipo de filtro e fração de ligação proteica. NÃO use tabelas de ajuste para IRA sem TRSC — são completamente diferentes.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REGRA GERAL PARA ANTIBIÓTICOS EM TRSC</w:t>
            </w:r>
          </w:p>
        </w:tc>
      </w:tr>
      <w:tr>
        <w:tc>
          <w:tcPr>
            <w:tcW w:type="dxa" w:w="9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Drogas HIDROFÍLICAS de BAIXO peso + BAIXA ligação proteica = MAIS removidas pela TRSC (ex: beta-lactâmicos, aminoglicosídeos, vancomicina, colistina).</w:t>
            </w:r>
          </w:p>
        </w:tc>
      </w:tr>
      <w:tr>
        <w:tc>
          <w:tcPr>
            <w:tcW w:type="dxa" w:w="9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Drogas LIPOFÍLICAS + ALTA ligação proteica = POUCO removidas (ex: fluoroquinolonas, macrólidos, linezolida parcialmente).</w:t>
            </w:r>
          </w:p>
        </w:tc>
      </w:tr>
      <w:tr>
        <w:tc>
          <w:tcPr>
            <w:tcW w:type="dxa" w:w="9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CVVHDF fluido efluente típico: 25-35 mL/kg/h. Aumenta clearance de antibióticos hidrofílicos.</w:t>
            </w:r>
          </w:p>
        </w:tc>
      </w:tr>
      <w:tr>
        <w:tc>
          <w:tcPr>
            <w:tcW w:type="dxa" w:w="9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Princípio prático: em TRSC dose &gt; que na IRA-sem-diálise, porque a diálise remove o antibiótico que se acumularia.</w:t>
            </w:r>
          </w:p>
        </w:tc>
      </w:tr>
      <w:tr>
        <w:tc>
          <w:tcPr>
            <w:tcW w:type="dxa" w:w="9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FONTE: Trotman et al. (AJHP 2005), Pea et al. (Clin Pharmacokinet 2007), Roberts et al. (Crit Care 2012).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Tabela de Ajuste de Dose em TRSC — Antibióticos Essenciais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1800"/>
        <w:gridCol w:w="180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Antibiótico</w:t>
            </w:r>
          </w:p>
        </w:tc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Normal (TFG normal)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IRA Oligúrica (sem diálise)</w:t>
            </w:r>
          </w:p>
        </w:tc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TRSC (CVVHDF 25 mL/kg/h)</w:t>
            </w:r>
          </w:p>
        </w:tc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Monitorar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Meropeném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1-2g q8h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500mg q12h (TFG 10-25) / 500mg q24h (&lt; 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1g q8h – q12h (dependendo efluente e gravidade)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Nível sérico se disponível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Piperacilina-tazobactam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4,5g q6h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4,5g q8h (TFG 20-40) / 4,5g q12h (&lt; 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3,375g q6h OU 4,5g q8h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Vancomicina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25-30 mg/kg ataque → 15-20 mg/kg q8-12h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Dose guiada pelo TDM (trough 15-20 antigo / AUC 400-600 novo)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25-30 mg/kg ataque → 7,5-10 mg/kg q12h (ajustar por AUC)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TDM obrigatório (AUC)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Ceftazidima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2g q8h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1g q24h (TFG &lt; 15)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2g q12h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Ceftazidima-avibactam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2,5g q8h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1,25g q12h (TFG 10-30)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2,5g q8h (manter dose plena — avibactam é removido pela TRSC)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Nível avibactam se disponível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Linezolida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600mg q12h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SEM AJUSTE (metabolismo hepático)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600mg q12h (metabólitos podem acumular — monitorar toxicidade)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Trombocitopenia, acidose láctica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Daptomicina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6-10 mg/kg q24h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8-10 mg/kg q48h (TFG &lt; 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6-8 mg/kg q24h (monitorar CPK)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CPK semanal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Fluconazol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400mg q24h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200-400mg q24h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200-400mg q24h (removido pela TRSC)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Nível se invasivo grave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Micafungina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100-150 mg q24h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SEM AJUSTE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SEM AJUSTE (ligação proteica alta — pouco removido)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Anfotericina B lipossomal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3-5 mg/kg q24h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SEM AJUSTE (pouco removida)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SEM AJUSTE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Creatinina, K, Mg diários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Colistimetato (Colistina)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4,5 milhão UI q12h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2,25 milhão UI q12h (TFG &lt; 30) ou guiar por nível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2,25-4,5 milhão UI q12h (monitorar NF — nefrotoxicidade)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Nível colistina se TDM disponível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Ciprofloxacino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400mg q8-12h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400mg q12h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400mg q12h (lipofílico — menos removido mas metabólitos acumulam)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–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🍄 PARTE IV — FUNGEMIA E INFECÇÕES FÚNGICAS INVASIVAS NA UTI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Candida (Candidemia) • Aspergillus (AIV) • Diagnóstico • Antifúngicos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5. CANDIDEMIA — DIAGNÓSTICO E TRATAMENTO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Candidemia é a infecção fúngica mais comum na UTI (4ª causa de BSI hospitalar). Mortalidade: 35-50% com atraso no tratamento. Infelizmente, hemoculturas para Candida têm baixa sensibilidade (50-70%) e resultado tardio (24-72h). Fatores de risco: antibióticos de amplo espectro, NPT, CVC, cirurgia abdominal, corticoterapia, IMU.</w:t>
      </w:r>
    </w:p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Score de Risco — Candida Score (León 2006) — Candidemia em UTI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200"/>
      </w:tblGrid>
      <w:tr>
        <w:tc>
          <w:tcPr>
            <w:tcW w:type="dxa" w:w="4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Pontos</w:t>
            </w:r>
          </w:p>
        </w:tc>
        <w:tc>
          <w:tcPr>
            <w:tcW w:type="dxa" w:w="3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Cirurgia abdominal OU pancreatite grave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1 ponto cada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Verificar na história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Nutrição Parenteral Total (NPT)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1 ponto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CVC de longa duração obrigatório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Colonização multifocal por Candida (≥ 2 sítios não-hemáticos)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1 ponto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Swab orofaringe, retal, urinário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Sepse grave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2 pontos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SOFA elevado com origem indeterminada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000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Total</w:t>
            </w:r>
          </w:p>
        </w:tc>
        <w:tc>
          <w:tcPr>
            <w:tcW w:type="dxa" w:w="3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Probabilidade</w:t>
            </w:r>
          </w:p>
        </w:tc>
        <w:tc>
          <w:tcPr>
            <w:tcW w:type="dxa" w:w="4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&lt;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Baixa (&lt; 5%)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Aguardar hemocultura. Sem antifúngico empírico.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≥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ALTA (&gt; 15%)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Considerar antifúngico empírico enquanto aguarda hemocultura. ECMM/IDSA recomendam.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Antifúngicos para Candidemia — Escolha e Doses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2000"/>
        <w:gridCol w:w="200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Antifúngico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/ Via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Espectro / Indicação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Cuidados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Micafungina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Equinocandina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100 mg IV q24h (150 mg em C. tropicalis)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1ª LINHA candidemia UTI. Cobre C. krusei, C. glabrata resistentes ao fluconazol.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Mínima nefrotox. Pouca interação. Elevar dose em &gt; 100 kg.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Caspofungina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Equinocandina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70 mg IV ataque → 50 mg IV q24h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Equivalente à micafungina. 1ª linha candidemia.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Hepatotoxicidade leve. Rifampicina/carbamazepina: ↓ nível — usar 70 mg/d.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Anidulafungina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Equinocandina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200 mg IV ataque → 100 mg IV q24h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Equivalente. GLOBAL trial: superior ao fluconazol em candidemia.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Menos interações. Não ajustar renal/hepático.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Fluconazol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Azol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400-800 mg IV/VO q24h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C. albicans/tropicalis sensíveis. Step-down após equinocandina se sensível.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NÃO em C. krusei (resistente), C. glabrata (MIC alta). Interações: varfarina, tacrolimus.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Voriconazol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Azol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6 mg/kg IV q12h ataque → 4 mg/kg q12h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Cobertura Aspergillus! Candida invasiva: 2ª linha. Mold-active.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FORTE inibidor CYP2C19/3A4. TDM: nível 1-5,5 mg/L. QT prolongado.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Anfotericina B lipossomal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Polieno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3-5 mg/kg IV q24h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Espectro máximo (Candida + Aspergillus + Mucor + Criptococo). Resistência: rarísima.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Nefrotoxicidade. K, Mg reposição. Infusão lenta 2h. Pré-medicação paracetamol.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Isavuconazol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Azol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200 mg IV q8h (3 doses) → 200 mg q24h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Aspergillus + Candida + Mucor (único azol com ação em Mucorales).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Menos QT que voriconazol. Aprovado FDA 2015. Opção mucormicose.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Candidemia — Protocolo Passo a Passo (IDSA 2016 + ECMM 2021)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PROTOCOLO CANDIDEMIA UTI — ORDEM DE AÇÕES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1. HEMOCULTURAS (2 pares: 1 central + 1 periférico) ANTES de iniciar antifúngico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2. INICIAR equinocandina empírica em ≤ 1h (score ≥ 3 ou candidemia documentada)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3. RETIRAR CVC (ou trocar sobre fio se impossível retirar) em &lt; 24-48h da candidemia confirmada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4. FUNDOSCOPIA em &lt; 7 dias (todo paciente com candidemia — endoftalmite em 2-9%)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5. ECOCARDIOGRAMA (descartar endocardite fúngica se bacteremia prolongada ou valvopatia prévia)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6. Candidemia confirmada: obter espécie + antibiograma (teste de sensibilidade ao antifúngico — EUCAST)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7. C. albicans/tropicalis SENSÍVEL ao fluconazol + paciente estável → step-down para fluconazol 400-800 mg VO após 5-7 dias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8. Duração mínima: 14 dias após ÚLTIMA HEMOCULTURA NEGATIVA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9. C. krusei OU C. glabrata com MIC alta → MANTER equinocandina por 14 dias (sem step-down para fluconazol)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6. ASPERGILOSE INVASIVA (AIA) — UTI (HOST RULE 2020 + EORTC 2019)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Aspergilose Invasiva em UTI (IAPA = ICU-Acquired Aspergillosis) é entidade crescente em pacientes críticos imunocompetentes. Fatores de risco: influenza grave, COVID-19 grave, DPOC com corticoide, cirrose, queimados extensos — NÃO apenas hematológicos.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  <w:tc>
          <w:tcPr>
            <w:tcW w:type="dxa" w:w="3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Prática UTI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Diagnóstico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Critérios EORTC: galactomanana sérica &gt; 0,5 (2 amostras) OU BAL &gt; 1,0. PCR Aspergillus positivo. TC tórax: halo sign, áreas consolidativas.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BAL: sensibilidade 60-80%. Galactomanana: falso-positivo com piperaciclina-tazobactam e cefalosporinas.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Tratamento de 1ª linha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Voriconazol 6 mg/kg IV q12h × 2 doses → 4 mg/kg q12h IC. TDM: nível sérico alvo 1-5,5 mg/L. OU Isavuconazol 200 mg q8h × 6 doses → 200 mg q24h.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VORICONAZOL: inibidor forte CYP — checar interações (tacrolimus, ciclosporina, varfarina). Hepatotox. Alucinações visuais (fotofosfenos).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Duração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Mínimo 6-12 semanas. Até resolução clínica + radiológica.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Imunossuprimido persistente: manter enquanto durar imunossupressão.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Anfotericina B lipossomal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3-5 mg/kg q24h — alternativa a voriconazol se toxicidade/resistência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Mucorales: anfotericina lipossomal + cirurgia é padrão (isavuconazol alternativa).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IAPA (ICU-Acquired)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Paciente UTI não-neutropênico: diagnóstico é difícil. Galactomanana BAL &gt; 1,0 = critério provisional.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Influenza grave: rastrear IAPA com galactomanana BAL em intubados não melhorando.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7. STEWARDSHIP ANTIMICROBIANO NA UTI — DICAS PRÁTICAS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58B2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Estratégia</w:t>
            </w:r>
          </w:p>
        </w:tc>
        <w:tc>
          <w:tcPr>
            <w:tcW w:type="dxa" w:w="6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58B2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Implementação Prática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Desescalonamento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Revisar SEMPRE após 48-72h com resultado de culturas. Trocar carbapenens por espectro menor se sensível. Taxa de desescalonamento = indicador de qualidade.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Duração definida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Protocolo de 7 dias para PAH (EPIC III, DALI). Pneumonia comunitária: 5 dias. Bacteremia: 7-14 dias (dependendo da fonte). Candidemia: 14 dias pós-última HMC negativa.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Procalcitonina guiada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PCT &lt; 0,25 mcg/L (ou queda &gt; 80%): descontinuar antibiótico com segurança. PRORATA trial: reduz duração 3-4 dias. SAPS III integra PCT.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Time-out de antibiótico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72h: rever se cobertura faz sentido + se há culturas disponíveis. 7 dias: revisar duração planejada. 14 dias: justificar continuação por escrito.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Cobertura antifúngica profilática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Candidemia profilaxia: fluconazol 400 mg/d em cirurgia abdominal recorrente + NTP + colonização. NÃO usar profilaxia universal na UTI (resistência + custo).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Monoterapia vs combinação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MRSA: vancomicina monoterapia (daptomicina se pneumonia). BSI gram-negativo MDR: combinar aminoglicosídeo + beta-lactâmico por 5 dias; manter beta-lactâmico. NÃO cobertura dupla antipseudomonas de rotina (GUIDELINES 2016).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Avaliação de focos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Todo paciente sem melhora após 72-96h: repetir HMC + avaliar foco primário. Ecografia de bexiga, CVC sem necessidade, remoção de cateter suspeito.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8. TRIALS FUNDAMENTAIS — INFECÇÃO E ANTIBIÓTICOS UTI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200"/>
        <w:gridCol w:w="2000"/>
      </w:tblGrid>
      <w:tr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Trial / Ano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/ Tema</w:t>
            </w:r>
          </w:p>
        </w:tc>
        <w:tc>
          <w:tcPr>
            <w:tcW w:type="dxa" w:w="3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Principal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PRORATA — Lancet 2010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620 pts / PCT guia 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PCT guia: reduz duração AB 3-4 dias sem piora desfecho.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PCT: guia descontinuação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DALI — Crit Care Med 2014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248 pts / beta-lac PK/PD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70% pacientes em UTI NÃO atingem alvo PD com doses padrão.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Infusão estendida necessária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EPIC III — JAMA 2023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ICU infection epidemiology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Resistência antimicrobiana: 50% das infecções UTI são MDR.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Stewardship crítico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ASHP/IDSA 2020 — Vancomicina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Guideline / AUC monitoring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AUC/MIC guia superior ao trough: menos nefrotox + mesma eficácia.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Vancomicina: AUC-guided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GLOBAL — CID 2012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261 pts / Anidulafungina vs Fluconazol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Equinocandina superior ao fluconazol em candidemia (global response).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Equinocandina 1ª linha candidemia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ANNEXA-4 — NEJM 2019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Andexanet / Xa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82% hemostasia. Contexto NOAC em UTI.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Reversão Xa inibidores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CREDIBLE-CR — Lancet ID 2019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152 pts / Cefiderocol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Cefiderocol vs BAT em XDR: não inferior (critério primário), mas mortalidade numericamente maior.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Cefiderocol: resgate XDR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Andes et al. AAC 2002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Monte Carlo / PK/PD betalac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Simulação: infusão estendida aumenta probabilidade atingir T&gt;MIC em MIC intermediária.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Base para infusão estendida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MATTER trial — ICM 2014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Meropeném CVVHDF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Infusão estendida meropeném em CVVHDF: melhora T&gt;MIC vs bolus.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Meropeném contínuo em TRSC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INSITE — CID 2018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isavuconazol vs voriconazol AIA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Isavuconazol não inferior ao voriconazol. Menos efeitos colaterais.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Isavuconazol alternativa voriconazol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9. QUESTÕES TEMI-STYLE — INFECÇÃO E ANTIBIÓTICOS (5 QUESTÕES)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01 | PK/PD — Infusão Estendida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de 62 anos com pneumonia associada à ventilação (PAV) por Pseudomonas aeruginosa com MIC ao meropeném = 4 mg/L (sensível intermediário — breakpoint EUCAST ≥ 8 = resistente). O microbiologista recomenda 'otimizar PD para atingir T&gt;MIC 100%'. Qual é a melhor estratégia posológica?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Meropeném 2g IV em 30 min q8h — dose alta garante cobertura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Meropeném 3g IV em 30 min q6h — aumentar frequência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Meropeném 2g IV em 3h q8h — infusão estendida para maximizar T&gt;MIC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Trocar para imipeném 1g q6h — espectro superior ao meropeném para Pseudomonas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Piperaciclina-tazobactam 4,5g q6h — beta-lactâmico alternativo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Para bactérias com MIC no limite superior do sensível (zona intermediária), a estratégia de infusão estendida é fundamental. Beta-lactâmicos são tempo-dependentes (T&gt;MIC). Aumentar a dose não melhora T&gt;MIC — aumentar o TEMPO acima da MIC é o que importa. Meropeném 2g em 3h q8h (mesma dose total diária: 6g) mantém concentrações acima da MIC por mais tempo do que 2g em 30 min. Para MIC = 4 e infusão de 30 min: T&gt;MIC ≈ 30-40%. Com infusão de 3h: T&gt;MIC &gt; 70-80%. Para resistência crítica: meropeném contínuo 6g/24h. Imipeném é menos estável em CVVHDF e tem efeito convulsivante (neurológico) maior.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02 | MRSA — Monitorização Vancomicina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com bacteremia por MRSA, MIC vancomicina = 1 mg/L. Recebendo vancomicina 2g IV q12h. Trough (vale) = 12 mg/L. AUC24 calculada = 320 mg.h/L. Segundo as diretrizes ASHP/IDSA 2020, a conduta mais correta é: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Manter dose — trough 12 mg/L está na faixa terapêutica (10-20 mg/L)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Aumentar dose para atingir trough 15-20 mg/L (meta tradicional IDSA)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Aumentar dose para atingir AUC24 400-600 mg.h/L (meta atual baseada em AUC/MIC)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Trocar para linezolida — trough &lt; 15 mg/L indica falha terapêutica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Manter dose e repetir hemocultura em 5 dias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Diretriz ASHP/IDSA 2020: a meta atual de monitorização de vancomicina é AUC24/MIC ≥ 400 mg.h/L (alvo 400-600). O trough isolado foi abandonado como guia primário. AUC24 = 320 com MIC = 1 → AUC/MIC = 320 &lt; 400 = ABAIXO do alvo terapêutico. Conduta: aumentar dose para atingir AUC 400-600. Trough 12 mg/L pode parecer 'terapêutico' pelo critério antigo mas é insuficiente pelo critério AUC. Linezolida: opção em falha documentada — mas a dose atual simplesmente não é suficiente e deve ser corrigida antes de trocar.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03 | TIH + Ajuste TRSC — Cenário Complexo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com TIH confirmada em TRSC contínua (CVVHDF 30 mL/kg/h). Score 4T = 7. ClCr basal pré-IRA = 90 mL/min. Qual anticoagulante e dose é mais adequada?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Argatrobana 2 mcg/kg/min — dose padrão; monitorar TTPA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Argatrobana 0,5-1 mcg/kg/min com monitoração TTPA 1,5-3x basal — dose reduzida em disfunção hepática coexistente se aplicável; padrão em IRA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Heparina dose terapêutica até resultado ELISA — aguardar confirmação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Fondaparinux 2,5 mg SC/dia — profilático em TIH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Bivalirudina 1,75 mg/kg/h — padrão ICP adaptado para UTI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TIH = SUSPENDER TODA HEPARINA IMEDIATAMENTE (incluindo HBPM — cross-reatividade). Argatrobana é 1ª escolha em TIH com IRA porque tem eliminação hepática (não precisa de ajuste renal). Em TRSC, argatrobana é parcialmente removida — dose inicial conservadora: 0,5-1 mcg/kg/min com ajuste por TTPA (alvo 1,5-3x basal). Fondaparinux 2,5 mg é dose profilática — insuficiente para TIH com TVP ativa (necessário dose terapêutica: 5-10 mg q24h). Bivalirudina 1,75 mg/kg/h é dose de cateterismo — muito alta para UTI (dose UTI: 0,15-0,2 mg/kg/h). Heparina na TIH = CONTRAINDICADA.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04 | Candidemia — Manejo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em UTI há 12 dias com NTP, CVC duplo lúmen, antibióticos de amplo espectro. Febre persistente, hemocultura positiva para Candida tropicalis. Já iniciou micafungina 100 mg/dia. Qual a conduta adicional OBRIGATÓRIA nas próximas 24h?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Colher hemocultura de controle em 7 dias para confirmar negativação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Realizar fundoscopia + considerar retirada do CVC + eco se suspeita endocardite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Aumentar micafungina para 200 mg/dia — C. tropicalis requer dose maior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Trocar para fluconazol 800 mg/dia — azol é superior à equinocandina para C. tropicalis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Aguardar antibiograma antes de qualquer outra ação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Candidemia documentada = medidas obrigatórias nas 24-48h: (1) RETIRAR CVC (ou trocar) — CVC é reservatório de Candida em biofilme; manutenção está associada a bacteremia persistente e maior mortalidade. (2) FUNDOSCOPIA em &lt; 7 dias — endoftalmite fúngica em 2-9% das candidemias, assintomática inicialmente. (3) ECOCARDIOGRAMA se suspeita de endocardite (bacteremia prolongada, valvopatia prévia). Micafungina 150 mg para C. tropicalis é correto (não 200 mg). Fluconazol: C. tropicalis pode ter resistência adquirida — não fazer step-down antes do antibiograma. Hemocultura de controle: diária até negativa — não esperar 7 dias.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05 | Resistência — KPC vs NDM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Klebsiella pneumoniae isolada de hemocultura de paciente em UTI. Resistente a todos os carbapenens. PCR molecular: KPC POSITIVO e NDM POSITIVO (dupla carbapenemase). Qual antibiótico NÃO terá atividade neste cenário?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Cefiderocol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Polimixina B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Ceftazidima-avibactam em monoterapia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Aztreonam + ceftazidima-avibactam (combinação)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Fosfomicina adjuvante + polimixina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KPC = serina-carbapenemase → inibida pelo avibactam. NDM = metalo-beta-lactamase (MBL) → NÃO inibida pelo avibactam. Portanto, CEFTAZIDIMA-AVIBACTAM EM MONOTERAPIA não tem atividade contra NDM. Estratégia para KPC+NDM: Ceftazidima-avibactam INIBE A KPC → 'salva' o aztreonam de ser destruído pela KPC; O NDM destrói cefalosporinas mas NÃO destrói o aztreonam → aztreonam + ceftazidima-avibactam é a combinação sinérgica. Cefiderocol: mecanismo único (siderofórico) — ativo contra NDM e KPC. Polimixina B: ativa por ruptura de membrana (independente de beta-lactamases). Fosfomicina: adjuvante sinérgico.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24242"/>
          <w:sz w:val="18"/>
          <w:szCs w:val="18"/>
        </w:rPr>
        <w:t xml:space="preserve">Dr. Aldenir Rocha — CRM 16587 CREMEC | RQE 11846 | Hospital Regional Norte | Santa Casa Sobral-CE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16"/>
          <w:szCs w:val="16"/>
        </w:rPr>
        <w:t xml:space="preserve">IDSA 2016/2020/2023  •  ESCMID 2021  •  ASHP 2020  •  PRORATA  •  DALI  •  GLOBAL  •  CREDIBLE-CR  •  INSITE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2026-04-22T02:28:19.696Z</dcterms:created>
  <dcterms:modified xsi:type="dcterms:W3CDTF">2026-04-22T02:28:19.696Z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