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Arial" w:cs="Arial" w:eastAsia="Arial" w:hAnsi="Arial"/>
          <w:b/>
          <w:bCs/>
          <w:color w:val="1B3A6B"/>
          <w:sz w:val="56"/>
          <w:szCs w:val="56"/>
        </w:rPr>
        <w:t xml:space="preserve">PROTOCOLO DE</w:t>
      </w:r>
    </w:p>
    <w:p>
      <w:pPr>
        <w:spacing w:after="200" w:before="0"/>
        <w:jc w:val="center"/>
      </w:pPr>
      <w:r>
        <w:rPr>
          <w:rFonts w:ascii="Arial" w:cs="Arial" w:eastAsia="Arial" w:hAnsi="Arial"/>
          <w:b/>
          <w:bCs/>
          <w:color w:val="2E5FA3"/>
          <w:sz w:val="64"/>
          <w:szCs w:val="64"/>
        </w:rPr>
        <w:t xml:space="preserve">NUTRIÇÃO PARENTERAL TOTAL</w:t>
      </w:r>
    </w:p>
    <w:p>
      <w:pPr>
        <w:spacing w:after="160" w:before="0"/>
        <w:jc w:val="center"/>
      </w:pPr>
      <w:r>
        <w:rPr>
          <w:rFonts w:ascii="Arial" w:cs="Arial" w:eastAsia="Arial" w:hAnsi="Arial"/>
          <w:b/>
          <w:bCs/>
          <w:color w:val="1B3A6B"/>
          <w:sz w:val="36"/>
          <w:szCs w:val="36"/>
        </w:rPr>
        <w:t xml:space="preserve">EM UNIDADE DE TERAPIA INTENSIVA</w:t>
      </w:r>
    </w:p>
    <w:p>
      <w:pPr>
        <w:spacing w:after="200" w:before="400"/>
      </w:pPr>
      <w:r>
        <w:rPr>
          <w:sz w:val="20"/>
          <w:szCs w:val="20"/>
        </w:rPr>
        <w:t xml:space="preserve"/>
      </w:r>
    </w:p>
    <w:p>
      <w:pPr>
        <w:spacing w:after="80" w:before="100"/>
        <w:jc w:val="center"/>
      </w:pPr>
      <w:r>
        <w:rPr>
          <w:rFonts w:ascii="Arial" w:cs="Arial" w:eastAsia="Arial" w:hAnsi="Arial"/>
          <w:b/>
          <w:bCs/>
          <w:color w:val="2E5FA3"/>
          <w:sz w:val="28"/>
          <w:szCs w:val="28"/>
        </w:rPr>
        <w:t xml:space="preserve">Dr. Aldenir Rocha</w:t>
      </w:r>
    </w:p>
    <w:p>
      <w:pPr>
        <w:spacing w:after="40" w:before="40"/>
        <w:jc w:val="center"/>
      </w:pPr>
      <w:r>
        <w:rPr>
          <w:rFonts w:ascii="Arial" w:cs="Arial" w:eastAsia="Arial" w:hAnsi="Arial"/>
          <w:color w:val="555555"/>
          <w:sz w:val="22"/>
          <w:szCs w:val="22"/>
        </w:rPr>
        <w:t xml:space="preserve">Clínico Geral | Intensivista | CRM-CE 16587</w:t>
      </w:r>
    </w:p>
    <w:p>
      <w:pPr>
        <w:spacing w:after="40" w:before="40"/>
        <w:jc w:val="center"/>
      </w:pPr>
      <w:r>
        <w:rPr>
          <w:rFonts w:ascii="Arial" w:cs="Arial" w:eastAsia="Arial" w:hAnsi="Arial"/>
          <w:color w:val="555555"/>
          <w:sz w:val="22"/>
          <w:szCs w:val="22"/>
        </w:rPr>
        <w:t xml:space="preserve">Hospital Regional Norte / Santa Casa de Misericórdia – Sobral/CE</w:t>
      </w:r>
    </w:p>
    <w:p>
      <w:pPr>
        <w:spacing w:after="40" w:before="40"/>
        <w:jc w:val="center"/>
      </w:pPr>
      <w:r>
        <w:rPr>
          <w:rFonts w:ascii="Arial" w:cs="Arial" w:eastAsia="Arial" w:hAnsi="Arial"/>
          <w:color w:val="777777"/>
          <w:sz w:val="20"/>
          <w:szCs w:val="20"/>
        </w:rPr>
        <w:t xml:space="preserve">Baseado em: ASPEN 2022 | ESPEN 2023 | AMIB | SCCM/ASPEN 2021 | Surviving Sepsis 2021</w:t>
      </w:r>
    </w:p>
    <w:p>
      <w:pPr>
        <w:spacing w:after="80" w:before="80"/>
        <w:jc w:val="center"/>
      </w:pPr>
      <w:r>
        <w:rPr>
          <w:rFonts w:ascii="Arial" w:cs="Arial" w:eastAsia="Arial" w:hAnsi="Arial"/>
          <w:color w:val="777777"/>
          <w:sz w:val="20"/>
          <w:szCs w:val="20"/>
        </w:rPr>
        <w:t xml:space="preserve">Revisão: Abril 2026</w:t>
      </w:r>
    </w:p>
    <w:p>
      <w:r>
        <w:br w:type="page"/>
      </w:r>
    </w:p>
    <w:p>
      <w:pPr>
        <w:pStyle w:val="Heading1"/>
        <w:pBdr>
          <w:bottom w:val="single" w:color="2E5FA3" w:sz="8" w:space="4"/>
        </w:pBdr>
        <w:spacing w:after="160" w:before="320"/>
      </w:pPr>
      <w:r>
        <w:rPr>
          <w:rFonts w:ascii="Arial" w:cs="Arial" w:eastAsia="Arial" w:hAnsi="Arial"/>
          <w:b/>
          <w:bCs/>
          <w:color w:val="1B3A6B"/>
          <w:sz w:val="36"/>
          <w:szCs w:val="36"/>
        </w:rPr>
        <w:t xml:space="preserve">1. INTRODUÇÃO E CONCEITO</w:t>
      </w:r>
    </w:p>
    <w:p>
      <w:pPr>
        <w:spacing w:after="60" w:before="60"/>
        <w:jc w:val="both"/>
      </w:pPr>
      <w:r>
        <w:rPr>
          <w:rFonts w:ascii="Arial" w:cs="Arial" w:eastAsia="Arial" w:hAnsi="Arial"/>
          <w:b w:val="false"/>
          <w:bCs w:val="false"/>
          <w:color w:val="000000"/>
          <w:sz w:val="20"/>
          <w:szCs w:val="20"/>
        </w:rPr>
        <w:t xml:space="preserve">A Nutrição Parenteral Total (NPT) consiste na administração intravenosa de nutrientes (carboidratos, proteínas, lipídeos, eletrólitos, vitaminas, oligoelementos e água) diretamente na corrente sanguínea, contornando o trato gastrointestinal. Na UTI, representa uma estratégia de suporte nutricional de segunda linha, reservada para situações em que a nutrição enteral (NE) é impossível, insuficiente ou contraindicada.</w:t>
      </w:r>
    </w:p>
    <w:p>
      <w:pPr>
        <w:spacing w:after="60"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8"/>
              <w:left w:val="single" w:color="2E5FA3" w:sz="8"/>
              <w:bottom w:val="single" w:color="2E5FA3" w:sz="8"/>
              <w:right w:val="single" w:color="2E5FA3" w:sz="8"/>
            </w:tcBorders>
            <w:shd w:fill="D6E4F0" w:val="clear"/>
            <w:tcMar>
              <w:top w:type="dxa" w:w="120"/>
              <w:left w:type="dxa" w:w="200"/>
              <w:bottom w:type="dxa" w:w="120"/>
              <w:right w:type="dxa" w:w="200"/>
            </w:tcMar>
          </w:tcPr>
          <w:p>
            <w:r>
              <w:rPr>
                <w:rFonts w:ascii="Arial" w:cs="Arial" w:eastAsia="Arial" w:hAnsi="Arial"/>
                <w:b/>
                <w:bCs/>
                <w:color w:val="2E5FA3"/>
                <w:sz w:val="22"/>
                <w:szCs w:val="22"/>
              </w:rPr>
              <w:t xml:space="preserve">★ REGRA DE OURO – SCCM/ASPEN 2021</w:t>
            </w:r>
          </w:p>
          <w:p>
            <w:pPr>
              <w:spacing w:before="60"/>
            </w:pPr>
            <w:r>
              <w:rPr>
                <w:rFonts w:ascii="Arial" w:cs="Arial" w:eastAsia="Arial" w:hAnsi="Arial"/>
                <w:color w:val="000000"/>
                <w:sz w:val="20"/>
                <w:szCs w:val="20"/>
              </w:rPr>
              <w:t xml:space="preserve">PRINCÍPIO FUNDAMENTAL: A NE sempre deve ser preferida à NPT quando viável. A NPT é indicada apenas quando o TGI não pode ser utilizado de forma segura ou eficaz por período superior a 7 dias (paciente previamente bem nutrido) ou imediatamente em pacientes desnutridos graves.</w:t>
            </w:r>
          </w:p>
        </w:tc>
      </w:tr>
    </w:tbl>
    <w:p>
      <w:pPr>
        <w:spacing w:after="100" w:before="100"/>
      </w:pPr>
      <w:r>
        <w:rPr>
          <w:sz w:val="20"/>
          <w:szCs w:val="20"/>
        </w:rPr>
        <w:t xml:space="preserve"/>
      </w:r>
    </w:p>
    <w:p>
      <w:pPr>
        <w:pBdr>
          <w:bottom w:val="single" w:color="D6E4F0" w:sz="4" w:space="1"/>
        </w:pBdr>
        <w:spacing w:after="200" w:before="200"/>
      </w:pPr>
      <w:r>
        <w:t xml:space="preserve"/>
      </w:r>
    </w:p>
    <w:p>
      <w:pPr>
        <w:pStyle w:val="Heading1"/>
        <w:pBdr>
          <w:bottom w:val="single" w:color="2E5FA3" w:sz="8" w:space="4"/>
        </w:pBdr>
        <w:spacing w:after="160" w:before="320"/>
      </w:pPr>
      <w:r>
        <w:rPr>
          <w:rFonts w:ascii="Arial" w:cs="Arial" w:eastAsia="Arial" w:hAnsi="Arial"/>
          <w:b/>
          <w:bCs/>
          <w:color w:val="1B3A6B"/>
          <w:sz w:val="36"/>
          <w:szCs w:val="36"/>
        </w:rPr>
        <w:t xml:space="preserve">2. INDICAÇÕES DE NPT EM UTI</w:t>
      </w:r>
    </w:p>
    <w:p>
      <w:pPr>
        <w:pStyle w:val="Heading2"/>
        <w:spacing w:after="120" w:before="240"/>
      </w:pPr>
      <w:r>
        <w:rPr>
          <w:rFonts w:ascii="Arial" w:cs="Arial" w:eastAsia="Arial" w:hAnsi="Arial"/>
          <w:b/>
          <w:bCs/>
          <w:color w:val="2E5FA3"/>
          <w:sz w:val="28"/>
          <w:szCs w:val="28"/>
        </w:rPr>
        <w:t xml:space="preserve">2.1 Indicações Absolutas</w:t>
      </w:r>
    </w:p>
    <w:p>
      <w:pPr>
        <w:pStyle w:val="ListParagraph"/>
        <w:numPr>
          <w:ilvl w:val="0"/>
          <w:numId w:val="2"/>
        </w:numPr>
        <w:spacing w:after="40" w:before="40"/>
      </w:pPr>
      <w:r>
        <w:rPr>
          <w:rFonts w:ascii="Arial" w:cs="Arial" w:eastAsia="Arial" w:hAnsi="Arial"/>
          <w:sz w:val="20"/>
          <w:szCs w:val="20"/>
        </w:rPr>
        <w:t xml:space="preserve">Síndrome do intestino curto grave (&lt; 60 cm de jejuno sem válvula ileocecal / &lt; 100 cm com válvula)</w:t>
      </w:r>
    </w:p>
    <w:p>
      <w:pPr>
        <w:pStyle w:val="ListParagraph"/>
        <w:numPr>
          <w:ilvl w:val="0"/>
          <w:numId w:val="2"/>
        </w:numPr>
        <w:spacing w:after="40" w:before="40"/>
      </w:pPr>
      <w:r>
        <w:rPr>
          <w:rFonts w:ascii="Arial" w:cs="Arial" w:eastAsia="Arial" w:hAnsi="Arial"/>
          <w:sz w:val="20"/>
          <w:szCs w:val="20"/>
        </w:rPr>
        <w:t xml:space="preserve">Fístulas de alto débito (&gt; 500 mL/dia) sem acesso enteral distal à fístula</w:t>
      </w:r>
    </w:p>
    <w:p>
      <w:pPr>
        <w:pStyle w:val="ListParagraph"/>
        <w:numPr>
          <w:ilvl w:val="0"/>
          <w:numId w:val="2"/>
        </w:numPr>
        <w:spacing w:after="40" w:before="40"/>
      </w:pPr>
      <w:r>
        <w:rPr>
          <w:rFonts w:ascii="Arial" w:cs="Arial" w:eastAsia="Arial" w:hAnsi="Arial"/>
          <w:sz w:val="20"/>
          <w:szCs w:val="20"/>
        </w:rPr>
        <w:t xml:space="preserve">Obstrução intestinal mecânica sem resolução cirúrgica imediata</w:t>
      </w:r>
    </w:p>
    <w:p>
      <w:pPr>
        <w:pStyle w:val="ListParagraph"/>
        <w:numPr>
          <w:ilvl w:val="0"/>
          <w:numId w:val="2"/>
        </w:numPr>
        <w:spacing w:after="40" w:before="40"/>
      </w:pPr>
      <w:r>
        <w:rPr>
          <w:rFonts w:ascii="Arial" w:cs="Arial" w:eastAsia="Arial" w:hAnsi="Arial"/>
          <w:sz w:val="20"/>
          <w:szCs w:val="20"/>
        </w:rPr>
        <w:t xml:space="preserve">Peritonite grave com íleo paralítico prolongado (&gt; 5–7 dias sem resolução)</w:t>
      </w:r>
    </w:p>
    <w:p>
      <w:pPr>
        <w:pStyle w:val="ListParagraph"/>
        <w:numPr>
          <w:ilvl w:val="0"/>
          <w:numId w:val="2"/>
        </w:numPr>
        <w:spacing w:after="40" w:before="40"/>
      </w:pPr>
      <w:r>
        <w:rPr>
          <w:rFonts w:ascii="Arial" w:cs="Arial" w:eastAsia="Arial" w:hAnsi="Arial"/>
          <w:sz w:val="20"/>
          <w:szCs w:val="20"/>
        </w:rPr>
        <w:t xml:space="preserve">Hemorragia digestiva ativa com instabilidade hemodinâmica impedindo uso de TGI</w:t>
      </w:r>
    </w:p>
    <w:p>
      <w:pPr>
        <w:pStyle w:val="ListParagraph"/>
        <w:numPr>
          <w:ilvl w:val="0"/>
          <w:numId w:val="2"/>
        </w:numPr>
        <w:spacing w:after="40" w:before="40"/>
      </w:pPr>
      <w:r>
        <w:rPr>
          <w:rFonts w:ascii="Arial" w:cs="Arial" w:eastAsia="Arial" w:hAnsi="Arial"/>
          <w:sz w:val="20"/>
          <w:szCs w:val="20"/>
        </w:rPr>
        <w:t xml:space="preserve">Isquemia mesentérica — contraindicação absoluta ao uso enteral</w:t>
      </w:r>
    </w:p>
    <w:p>
      <w:pPr>
        <w:pStyle w:val="ListParagraph"/>
        <w:numPr>
          <w:ilvl w:val="0"/>
          <w:numId w:val="2"/>
        </w:numPr>
        <w:spacing w:after="40" w:before="40"/>
      </w:pPr>
      <w:r>
        <w:rPr>
          <w:rFonts w:ascii="Arial" w:cs="Arial" w:eastAsia="Arial" w:hAnsi="Arial"/>
          <w:sz w:val="20"/>
          <w:szCs w:val="20"/>
        </w:rPr>
        <w:t xml:space="preserve">Anastomose intestinal recente com risco de deiscência + intolerance à NE</w:t>
      </w:r>
    </w:p>
    <w:p>
      <w:pPr>
        <w:pStyle w:val="ListParagraph"/>
        <w:numPr>
          <w:ilvl w:val="0"/>
          <w:numId w:val="2"/>
        </w:numPr>
        <w:spacing w:after="40" w:before="40"/>
      </w:pPr>
      <w:r>
        <w:rPr>
          <w:rFonts w:ascii="Arial" w:cs="Arial" w:eastAsia="Arial" w:hAnsi="Arial"/>
          <w:sz w:val="20"/>
          <w:szCs w:val="20"/>
        </w:rPr>
        <w:t xml:space="preserve">Mucosites graves Grau 3–4 (quimio/radioterapia) com intolerância total à NE</w:t>
      </w:r>
    </w:p>
    <w:p>
      <w:pPr>
        <w:spacing w:after="40" w:before="80"/>
      </w:pPr>
      <w:r>
        <w:rPr>
          <w:sz w:val="20"/>
          <w:szCs w:val="20"/>
        </w:rPr>
        <w:t xml:space="preserve"/>
      </w:r>
    </w:p>
    <w:p>
      <w:pPr>
        <w:pStyle w:val="Heading2"/>
        <w:spacing w:after="120" w:before="240"/>
      </w:pPr>
      <w:r>
        <w:rPr>
          <w:rFonts w:ascii="Arial" w:cs="Arial" w:eastAsia="Arial" w:hAnsi="Arial"/>
          <w:b/>
          <w:bCs/>
          <w:color w:val="2E5FA3"/>
          <w:sz w:val="28"/>
          <w:szCs w:val="28"/>
        </w:rPr>
        <w:t xml:space="preserve">2.2 Indicações Relativas / Complementares (NPT Suplementar)</w:t>
      </w:r>
    </w:p>
    <w:p>
      <w:pPr>
        <w:pStyle w:val="ListParagraph"/>
        <w:numPr>
          <w:ilvl w:val="0"/>
          <w:numId w:val="2"/>
        </w:numPr>
        <w:spacing w:after="40" w:before="40"/>
      </w:pPr>
      <w:r>
        <w:rPr>
          <w:rFonts w:ascii="Arial" w:cs="Arial" w:eastAsia="Arial" w:hAnsi="Arial"/>
          <w:sz w:val="20"/>
          <w:szCs w:val="20"/>
        </w:rPr>
        <w:t xml:space="preserve">NE insuficiente após 48–72h de otimização (&lt; 60% da meta calórica) em pacientes de alto risco nutricional (NRS-2002 ≥ 5 ou NUTRIC ≥ 5)</w:t>
      </w:r>
    </w:p>
    <w:p>
      <w:pPr>
        <w:pStyle w:val="ListParagraph"/>
        <w:numPr>
          <w:ilvl w:val="0"/>
          <w:numId w:val="2"/>
        </w:numPr>
        <w:spacing w:after="40" w:before="40"/>
      </w:pPr>
      <w:r>
        <w:rPr>
          <w:rFonts w:ascii="Arial" w:cs="Arial" w:eastAsia="Arial" w:hAnsi="Arial"/>
          <w:sz w:val="20"/>
          <w:szCs w:val="20"/>
        </w:rPr>
        <w:t xml:space="preserve">Intolerância à NE refratária (vômitos, distensão, resíduo gástrico &gt; 500 mL/6h refratário a procinéticos)</w:t>
      </w:r>
    </w:p>
    <w:p>
      <w:pPr>
        <w:pStyle w:val="ListParagraph"/>
        <w:numPr>
          <w:ilvl w:val="0"/>
          <w:numId w:val="2"/>
        </w:numPr>
        <w:spacing w:after="40" w:before="40"/>
      </w:pPr>
      <w:r>
        <w:rPr>
          <w:rFonts w:ascii="Arial" w:cs="Arial" w:eastAsia="Arial" w:hAnsi="Arial"/>
          <w:sz w:val="20"/>
          <w:szCs w:val="20"/>
        </w:rPr>
        <w:t xml:space="preserve">Pós-operatório de cirurgia abdominal maior com NE impossível por &gt; 5–7 dias</w:t>
      </w:r>
    </w:p>
    <w:p>
      <w:pPr>
        <w:pStyle w:val="ListParagraph"/>
        <w:numPr>
          <w:ilvl w:val="0"/>
          <w:numId w:val="2"/>
        </w:numPr>
        <w:spacing w:after="40" w:before="40"/>
      </w:pPr>
      <w:r>
        <w:rPr>
          <w:rFonts w:ascii="Arial" w:cs="Arial" w:eastAsia="Arial" w:hAnsi="Arial"/>
          <w:sz w:val="20"/>
          <w:szCs w:val="20"/>
        </w:rPr>
        <w:t xml:space="preserve">Pancreatite aguda grave (Ranson ≥ 3 / APACHE II ≥ 8) com falha ou impossibilidade de acesso jejunal</w:t>
      </w:r>
    </w:p>
    <w:p>
      <w:pPr>
        <w:pStyle w:val="ListParagraph"/>
        <w:numPr>
          <w:ilvl w:val="0"/>
          <w:numId w:val="2"/>
        </w:numPr>
        <w:spacing w:after="40" w:before="40"/>
      </w:pPr>
      <w:r>
        <w:rPr>
          <w:rFonts w:ascii="Arial" w:cs="Arial" w:eastAsia="Arial" w:hAnsi="Arial"/>
          <w:sz w:val="20"/>
          <w:szCs w:val="20"/>
        </w:rPr>
        <w:t xml:space="preserve">Pacientes oncológicos com obstrução proximal ou pós-gastrectomia total</w:t>
      </w:r>
    </w:p>
    <w:p>
      <w:pPr>
        <w:spacing w:after="40" w:before="80"/>
      </w:pPr>
      <w:r>
        <w:rPr>
          <w:sz w:val="20"/>
          <w:szCs w:val="20"/>
        </w:rPr>
        <w:t xml:space="preserve"/>
      </w:r>
    </w:p>
    <w:p>
      <w:pPr>
        <w:pStyle w:val="Heading2"/>
        <w:spacing w:after="120" w:before="240"/>
      </w:pPr>
      <w:r>
        <w:rPr>
          <w:rFonts w:ascii="Arial" w:cs="Arial" w:eastAsia="Arial" w:hAnsi="Arial"/>
          <w:b/>
          <w:bCs/>
          <w:color w:val="2E5FA3"/>
          <w:sz w:val="28"/>
          <w:szCs w:val="28"/>
        </w:rPr>
        <w:t xml:space="preserve">2.3 Quando Iniciar: Timing Baseado em Evidências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gridSpan w:val="1"/>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PERFIL DO PACIENTE</w:t>
            </w:r>
          </w:p>
        </w:tc>
        <w:tc>
          <w:tcPr>
            <w:tcW w:type="dxa" w:w="3380"/>
            <w:gridSpan w:val="1"/>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CONDIÇÃO</w:t>
            </w:r>
          </w:p>
        </w:tc>
        <w:tc>
          <w:tcPr>
            <w:tcW w:type="dxa" w:w="3380"/>
            <w:gridSpan w:val="1"/>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TIMING DE NPT</w:t>
            </w:r>
          </w:p>
        </w:tc>
      </w:tr>
      <w:tr>
        <w:tc>
          <w:tcPr>
            <w:tcW w:type="dxa" w:w="2600"/>
            <w:gridSpan w:val="1"/>
            <w:tcBorders>
              <w:top w:val="single" w:color="BBBBBB" w:sz="1"/>
              <w:left w:val="single" w:color="BBBBBB" w:sz="1"/>
              <w:bottom w:val="single" w:color="BBBBBB" w:sz="1"/>
              <w:right w:val="single" w:color="BBBBBB" w:sz="1"/>
            </w:tcBorders>
            <w:shd w:fill="F2F4F4"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Bem nutrido (NRS &lt; 3)</w:t>
            </w:r>
          </w:p>
        </w:tc>
        <w:tc>
          <w:tcPr>
            <w:tcW w:type="dxa" w:w="3380"/>
            <w:gridSpan w:val="1"/>
            <w:tcBorders>
              <w:top w:val="single" w:color="BBBBBB" w:sz="1"/>
              <w:left w:val="single" w:color="BBBBBB" w:sz="1"/>
              <w:bottom w:val="single" w:color="BBBBBB" w:sz="1"/>
              <w:right w:val="single" w:color="BBBBBB"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TGI não funcionante</w:t>
            </w:r>
          </w:p>
        </w:tc>
        <w:tc>
          <w:tcPr>
            <w:tcW w:type="dxa" w:w="3380"/>
            <w:gridSpan w:val="1"/>
            <w:tcBorders>
              <w:top w:val="single" w:color="BBBBBB" w:sz="1"/>
              <w:left w:val="single" w:color="BBBBBB" w:sz="1"/>
              <w:bottom w:val="single" w:color="BBBBBB" w:sz="1"/>
              <w:right w:val="single" w:color="BBBBBB"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Iniciar NPT após 7 dias sem NE adequada</w:t>
            </w:r>
          </w:p>
        </w:tc>
      </w:tr>
      <w:tr>
        <w:tc>
          <w:tcPr>
            <w:tcW w:type="dxa" w:w="26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Risco moderado (NRS 3–4)</w:t>
            </w:r>
          </w:p>
        </w:tc>
        <w:tc>
          <w:tcPr>
            <w:tcW w:type="dxa" w:w="338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 insuficiente &lt; 60% da meta após 3–5 dias</w:t>
            </w:r>
          </w:p>
        </w:tc>
        <w:tc>
          <w:tcPr>
            <w:tcW w:type="dxa" w:w="338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NPT suplementar no 5º–7º dia</w:t>
            </w:r>
          </w:p>
        </w:tc>
      </w:tr>
      <w:tr>
        <w:tc>
          <w:tcPr>
            <w:tcW w:type="dxa" w:w="2600"/>
            <w:gridSpan w:val="1"/>
            <w:tcBorders>
              <w:top w:val="single" w:color="BBBBBB" w:sz="1"/>
              <w:left w:val="single" w:color="BBBBBB" w:sz="1"/>
              <w:bottom w:val="single" w:color="BBBBBB" w:sz="1"/>
              <w:right w:val="single" w:color="BBBBBB" w:sz="1"/>
            </w:tcBorders>
            <w:shd w:fill="FDEBD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Alto risco (NRS ≥ 5 / NUTRIC ≥ 5)</w:t>
            </w:r>
          </w:p>
        </w:tc>
        <w:tc>
          <w:tcPr>
            <w:tcW w:type="dxa" w:w="3380"/>
            <w:gridSpan w:val="1"/>
            <w:tcBorders>
              <w:top w:val="single" w:color="BBBBBB" w:sz="1"/>
              <w:left w:val="single" w:color="BBBBBB" w:sz="1"/>
              <w:bottom w:val="single" w:color="BBBBBB" w:sz="1"/>
              <w:right w:val="single" w:color="BBBBBB" w:sz="1"/>
            </w:tcBorders>
            <w:shd w:fill="FDEBD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 impossível ou insuficiente desde a admissão</w:t>
            </w:r>
          </w:p>
        </w:tc>
        <w:tc>
          <w:tcPr>
            <w:tcW w:type="dxa" w:w="3380"/>
            <w:gridSpan w:val="1"/>
            <w:tcBorders>
              <w:top w:val="single" w:color="BBBBBB" w:sz="1"/>
              <w:left w:val="single" w:color="BBBBBB" w:sz="1"/>
              <w:bottom w:val="single" w:color="BBBBBB" w:sz="1"/>
              <w:right w:val="single" w:color="BBBBBB" w:sz="1"/>
            </w:tcBorders>
            <w:shd w:fill="FDEBD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NPT precoce em 24–48h da admissão</w:t>
            </w:r>
          </w:p>
        </w:tc>
      </w:tr>
      <w:tr>
        <w:tc>
          <w:tcPr>
            <w:tcW w:type="dxa" w:w="2600"/>
            <w:gridSpan w:val="1"/>
            <w:tcBorders>
              <w:top w:val="single" w:color="BBBBBB" w:sz="1"/>
              <w:left w:val="single" w:color="BBBBBB" w:sz="1"/>
              <w:bottom w:val="single" w:color="BBBBBB" w:sz="1"/>
              <w:right w:val="single" w:color="BBBBBB" w:sz="1"/>
            </w:tcBorders>
            <w:shd w:fill="FADBD8"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Desnutrido grave (NRS ≥ 5)</w:t>
            </w:r>
          </w:p>
        </w:tc>
        <w:tc>
          <w:tcPr>
            <w:tcW w:type="dxa" w:w="3380"/>
            <w:gridSpan w:val="1"/>
            <w:tcBorders>
              <w:top w:val="single" w:color="BBBBBB" w:sz="1"/>
              <w:left w:val="single" w:color="BBBBBB" w:sz="1"/>
              <w:bottom w:val="single" w:color="BBBBBB" w:sz="1"/>
              <w:right w:val="single" w:color="BBBBBB" w:sz="1"/>
            </w:tcBorders>
            <w:shd w:fill="FADBD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Qualquer impossibilidade de NE</w:t>
            </w:r>
          </w:p>
        </w:tc>
        <w:tc>
          <w:tcPr>
            <w:tcW w:type="dxa" w:w="3380"/>
            <w:gridSpan w:val="1"/>
            <w:tcBorders>
              <w:top w:val="single" w:color="BBBBBB" w:sz="1"/>
              <w:left w:val="single" w:color="BBBBBB" w:sz="1"/>
              <w:bottom w:val="single" w:color="BBBBBB" w:sz="1"/>
              <w:right w:val="single" w:color="BBBBBB" w:sz="1"/>
            </w:tcBorders>
            <w:shd w:fill="FADBD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NPT IMEDIATA — risco de Síndrome de Realimentação</w:t>
            </w:r>
          </w:p>
        </w:tc>
      </w:tr>
    </w:tbl>
    <w:p>
      <w:pPr>
        <w:spacing w:after="100" w:before="100"/>
      </w:pPr>
      <w:r>
        <w:rPr>
          <w:sz w:val="20"/>
          <w:szCs w:val="20"/>
        </w:rPr>
        <w:t xml:space="preserve"/>
      </w:r>
    </w:p>
    <w:p>
      <w:pPr>
        <w:pBdr>
          <w:bottom w:val="single" w:color="D6E4F0" w:sz="4" w:space="1"/>
        </w:pBdr>
        <w:spacing w:after="200" w:before="200"/>
      </w:pPr>
      <w:r>
        <w:t xml:space="preserve"/>
      </w:r>
    </w:p>
    <w:p>
      <w:pPr>
        <w:pStyle w:val="Heading1"/>
        <w:pBdr>
          <w:bottom w:val="single" w:color="2E5FA3" w:sz="8" w:space="4"/>
        </w:pBdr>
        <w:spacing w:after="160" w:before="320"/>
      </w:pPr>
      <w:r>
        <w:rPr>
          <w:rFonts w:ascii="Arial" w:cs="Arial" w:eastAsia="Arial" w:hAnsi="Arial"/>
          <w:b/>
          <w:bCs/>
          <w:color w:val="1B3A6B"/>
          <w:sz w:val="36"/>
          <w:szCs w:val="36"/>
        </w:rPr>
        <w:t xml:space="preserve">3. CONTRAINDICAÇÕES</w:t>
      </w:r>
    </w:p>
    <w:p>
      <w:pPr>
        <w:pStyle w:val="Heading2"/>
        <w:spacing w:after="120" w:before="240"/>
      </w:pPr>
      <w:r>
        <w:rPr>
          <w:rFonts w:ascii="Arial" w:cs="Arial" w:eastAsia="Arial" w:hAnsi="Arial"/>
          <w:b/>
          <w:bCs/>
          <w:color w:val="2E5FA3"/>
          <w:sz w:val="28"/>
          <w:szCs w:val="28"/>
        </w:rPr>
        <w:t xml:space="preserve">3.1 Contraindicações Absolutas</w:t>
      </w:r>
    </w:p>
    <w:p>
      <w:pPr>
        <w:pStyle w:val="ListParagraph"/>
        <w:numPr>
          <w:ilvl w:val="0"/>
          <w:numId w:val="2"/>
        </w:numPr>
        <w:spacing w:after="40" w:before="40"/>
      </w:pPr>
      <w:r>
        <w:rPr>
          <w:rFonts w:ascii="Arial" w:cs="Arial" w:eastAsia="Arial" w:hAnsi="Arial"/>
          <w:sz w:val="20"/>
          <w:szCs w:val="20"/>
        </w:rPr>
        <w:t xml:space="preserve">Trato gastrointestinal funcionante — NE deve ser preferida</w:t>
      </w:r>
    </w:p>
    <w:p>
      <w:pPr>
        <w:pStyle w:val="ListParagraph"/>
        <w:numPr>
          <w:ilvl w:val="0"/>
          <w:numId w:val="2"/>
        </w:numPr>
        <w:spacing w:after="40" w:before="40"/>
      </w:pPr>
      <w:r>
        <w:rPr>
          <w:rFonts w:ascii="Arial" w:cs="Arial" w:eastAsia="Arial" w:hAnsi="Arial"/>
          <w:sz w:val="20"/>
          <w:szCs w:val="20"/>
        </w:rPr>
        <w:t xml:space="preserve">Prognóstico incompatível com benefício (fase terminal, limitação de suporte)</w:t>
      </w:r>
    </w:p>
    <w:p>
      <w:pPr>
        <w:pStyle w:val="ListParagraph"/>
        <w:numPr>
          <w:ilvl w:val="0"/>
          <w:numId w:val="2"/>
        </w:numPr>
        <w:spacing w:after="40" w:before="40"/>
      </w:pPr>
      <w:r>
        <w:rPr>
          <w:rFonts w:ascii="Arial" w:cs="Arial" w:eastAsia="Arial" w:hAnsi="Arial"/>
          <w:sz w:val="20"/>
          <w:szCs w:val="20"/>
        </w:rPr>
        <w:t xml:space="preserve">Instabilidade hemodinâmica grave não controlada (choque refratário com vasopressores em doses ascendentes — risco de isquemia mesentérica e intolerância metabólica)</w:t>
      </w:r>
    </w:p>
    <w:p>
      <w:pPr>
        <w:pStyle w:val="ListParagraph"/>
        <w:numPr>
          <w:ilvl w:val="0"/>
          <w:numId w:val="2"/>
        </w:numPr>
        <w:spacing w:after="40" w:before="40"/>
      </w:pPr>
      <w:r>
        <w:rPr>
          <w:rFonts w:ascii="Arial" w:cs="Arial" w:eastAsia="Arial" w:hAnsi="Arial"/>
          <w:sz w:val="20"/>
          <w:szCs w:val="20"/>
        </w:rPr>
        <w:t xml:space="preserve">Hiperosmolaridade grave não corrigida (osmolaridade sérica &gt; 320 mOsm/L)</w:t>
      </w:r>
    </w:p>
    <w:p>
      <w:pPr>
        <w:pStyle w:val="ListParagraph"/>
        <w:numPr>
          <w:ilvl w:val="0"/>
          <w:numId w:val="2"/>
        </w:numPr>
        <w:spacing w:after="40" w:before="40"/>
      </w:pPr>
      <w:r>
        <w:rPr>
          <w:rFonts w:ascii="Arial" w:cs="Arial" w:eastAsia="Arial" w:hAnsi="Arial"/>
          <w:sz w:val="20"/>
          <w:szCs w:val="20"/>
        </w:rPr>
        <w:t xml:space="preserve">Hiperlipidemia grave (triglicerídeos &gt; 400 mg/dL — contraindicação relativa para emulsão lipídica)</w:t>
      </w:r>
    </w:p>
    <w:p>
      <w:pPr>
        <w:spacing w:after="40" w:before="60"/>
      </w:pPr>
      <w:r>
        <w:rPr>
          <w:sz w:val="20"/>
          <w:szCs w:val="20"/>
        </w:rPr>
        <w:t xml:space="preserve"/>
      </w:r>
    </w:p>
    <w:p>
      <w:pPr>
        <w:pStyle w:val="Heading2"/>
        <w:spacing w:after="120" w:before="240"/>
      </w:pPr>
      <w:r>
        <w:rPr>
          <w:rFonts w:ascii="Arial" w:cs="Arial" w:eastAsia="Arial" w:hAnsi="Arial"/>
          <w:b/>
          <w:bCs/>
          <w:color w:val="2E5FA3"/>
          <w:sz w:val="28"/>
          <w:szCs w:val="28"/>
        </w:rPr>
        <w:t xml:space="preserve">3.2 Contraindicações Relativas (exigem avaliação individualizada)</w:t>
      </w:r>
    </w:p>
    <w:p>
      <w:pPr>
        <w:pStyle w:val="ListParagraph"/>
        <w:numPr>
          <w:ilvl w:val="0"/>
          <w:numId w:val="2"/>
        </w:numPr>
        <w:spacing w:after="40" w:before="40"/>
      </w:pPr>
      <w:r>
        <w:rPr>
          <w:rFonts w:ascii="Arial" w:cs="Arial" w:eastAsia="Arial" w:hAnsi="Arial"/>
          <w:sz w:val="20"/>
          <w:szCs w:val="20"/>
        </w:rPr>
        <w:t xml:space="preserve">Hiperglicemia grave não controlada (glicemia &gt; 250 mg/dL persistente)</w:t>
      </w:r>
    </w:p>
    <w:p>
      <w:pPr>
        <w:pStyle w:val="ListParagraph"/>
        <w:numPr>
          <w:ilvl w:val="0"/>
          <w:numId w:val="2"/>
        </w:numPr>
        <w:spacing w:after="40" w:before="40"/>
      </w:pPr>
      <w:r>
        <w:rPr>
          <w:rFonts w:ascii="Arial" w:cs="Arial" w:eastAsia="Arial" w:hAnsi="Arial"/>
          <w:sz w:val="20"/>
          <w:szCs w:val="20"/>
        </w:rPr>
        <w:t xml:space="preserve">Insuficiência hepática grave (Child C) com encefalopatia — ajuste de aminoácidos</w:t>
      </w:r>
    </w:p>
    <w:p>
      <w:pPr>
        <w:pStyle w:val="ListParagraph"/>
        <w:numPr>
          <w:ilvl w:val="0"/>
          <w:numId w:val="2"/>
        </w:numPr>
        <w:spacing w:after="40" w:before="40"/>
      </w:pPr>
      <w:r>
        <w:rPr>
          <w:rFonts w:ascii="Arial" w:cs="Arial" w:eastAsia="Arial" w:hAnsi="Arial"/>
          <w:sz w:val="20"/>
          <w:szCs w:val="20"/>
        </w:rPr>
        <w:t xml:space="preserve">Insuficiência renal aguda sem suporte dialítico e com hipercalemia/hiperfosfatemia refratárias</w:t>
      </w:r>
    </w:p>
    <w:p>
      <w:pPr>
        <w:pStyle w:val="ListParagraph"/>
        <w:numPr>
          <w:ilvl w:val="0"/>
          <w:numId w:val="2"/>
        </w:numPr>
        <w:spacing w:after="40" w:before="40"/>
      </w:pPr>
      <w:r>
        <w:rPr>
          <w:rFonts w:ascii="Arial" w:cs="Arial" w:eastAsia="Arial" w:hAnsi="Arial"/>
          <w:sz w:val="20"/>
          <w:szCs w:val="20"/>
        </w:rPr>
        <w:t xml:space="preserve">Acesso venoso central indisponível ou contraindicado</w:t>
      </w:r>
    </w:p>
    <w:p>
      <w:pPr>
        <w:pStyle w:val="ListParagraph"/>
        <w:numPr>
          <w:ilvl w:val="0"/>
          <w:numId w:val="2"/>
        </w:numPr>
        <w:spacing w:after="40" w:before="40"/>
      </w:pPr>
      <w:r>
        <w:rPr>
          <w:rFonts w:ascii="Arial" w:cs="Arial" w:eastAsia="Arial" w:hAnsi="Arial"/>
          <w:sz w:val="20"/>
          <w:szCs w:val="20"/>
        </w:rPr>
        <w:t xml:space="preserve">Coagulopatia grave impedindo acesso venoso central</w:t>
      </w:r>
    </w:p>
    <w:p>
      <w:pPr>
        <w:spacing w:after="100" w:before="10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8"/>
              <w:left w:val="single" w:color="C0392B" w:sz="8"/>
              <w:bottom w:val="single" w:color="C0392B" w:sz="8"/>
              <w:right w:val="single" w:color="C0392B" w:sz="8"/>
            </w:tcBorders>
            <w:shd w:fill="FADBD8" w:val="clear"/>
            <w:tcMar>
              <w:top w:type="dxa" w:w="120"/>
              <w:left w:type="dxa" w:w="200"/>
              <w:bottom w:type="dxa" w:w="120"/>
              <w:right w:type="dxa" w:w="200"/>
            </w:tcMar>
          </w:tcPr>
          <w:p>
            <w:r>
              <w:rPr>
                <w:rFonts w:ascii="Arial" w:cs="Arial" w:eastAsia="Arial" w:hAnsi="Arial"/>
                <w:b/>
                <w:bCs/>
                <w:color w:val="C0392B"/>
                <w:sz w:val="22"/>
                <w:szCs w:val="22"/>
              </w:rPr>
              <w:t xml:space="preserve">⚠ ALERTA CLÍNICO IMPORTANTE</w:t>
            </w:r>
          </w:p>
          <w:p>
            <w:pPr>
              <w:spacing w:before="60"/>
            </w:pPr>
            <w:r>
              <w:rPr>
                <w:rFonts w:ascii="Arial" w:cs="Arial" w:eastAsia="Arial" w:hAnsi="Arial"/>
                <w:color w:val="000000"/>
                <w:sz w:val="20"/>
                <w:szCs w:val="20"/>
              </w:rPr>
              <w:t xml:space="preserve">ATENÇÃO: A instabilidade hemodinâmica NÃO é contraindicação absoluta ao início gradual da NPT. Em choque controlado com vasopressores estáveis, pode-se iniciar com aporte calórico hipocalórico (&lt; 70% das metas) e progredir conforme estabilização. Evitar nas primeiras 24–48h de choque ressuscitado.</w:t>
            </w:r>
          </w:p>
        </w:tc>
      </w:tr>
    </w:tbl>
    <w:p>
      <w:pPr>
        <w:spacing w:after="100" w:before="100"/>
      </w:pPr>
      <w:r>
        <w:rPr>
          <w:sz w:val="20"/>
          <w:szCs w:val="20"/>
        </w:rPr>
        <w:t xml:space="preserve"/>
      </w:r>
    </w:p>
    <w:p>
      <w:pPr>
        <w:pBdr>
          <w:bottom w:val="single" w:color="D6E4F0" w:sz="4" w:space="1"/>
        </w:pBdr>
        <w:spacing w:after="200" w:before="200"/>
      </w:pPr>
      <w:r>
        <w:t xml:space="preserve"/>
      </w:r>
    </w:p>
    <w:p>
      <w:pPr>
        <w:pStyle w:val="Heading1"/>
        <w:pBdr>
          <w:bottom w:val="single" w:color="2E5FA3" w:sz="8" w:space="4"/>
        </w:pBdr>
        <w:spacing w:after="160" w:before="320"/>
      </w:pPr>
      <w:r>
        <w:rPr>
          <w:rFonts w:ascii="Arial" w:cs="Arial" w:eastAsia="Arial" w:hAnsi="Arial"/>
          <w:b/>
          <w:bCs/>
          <w:color w:val="1B3A6B"/>
          <w:sz w:val="36"/>
          <w:szCs w:val="36"/>
        </w:rPr>
        <w:t xml:space="preserve">4. PRÉ-REQUISITOS ANTES DE INICIAR NPT</w:t>
      </w:r>
    </w:p>
    <w:p>
      <w:pPr>
        <w:pStyle w:val="Heading2"/>
        <w:spacing w:after="120" w:before="240"/>
      </w:pPr>
      <w:r>
        <w:rPr>
          <w:rFonts w:ascii="Arial" w:cs="Arial" w:eastAsia="Arial" w:hAnsi="Arial"/>
          <w:b/>
          <w:bCs/>
          <w:color w:val="2E5FA3"/>
          <w:sz w:val="28"/>
          <w:szCs w:val="28"/>
        </w:rPr>
        <w:t xml:space="preserve">4.1 Checklist de Avaliação Inicial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860"/>
        <w:gridCol w:w="3000"/>
      </w:tblGrid>
      <w:tr>
        <w:tc>
          <w:tcPr>
            <w:tcW w:type="dxa" w:w="500"/>
            <w:gridSpan w:val="1"/>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5860"/>
            <w:gridSpan w:val="1"/>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A VERIFICAR</w:t>
            </w:r>
          </w:p>
        </w:tc>
        <w:tc>
          <w:tcPr>
            <w:tcW w:type="dxa" w:w="3000"/>
            <w:gridSpan w:val="1"/>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PARÂMETRO / AÇÃO</w:t>
            </w:r>
          </w:p>
        </w:tc>
      </w:tr>
      <w:tr>
        <w:tc>
          <w:tcPr>
            <w:tcW w:type="dxa" w:w="50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bCs/>
                <w:color w:val="1B3A6B"/>
                <w:sz w:val="20"/>
                <w:szCs w:val="20"/>
              </w:rPr>
              <w:t xml:space="preserve">☐</w:t>
            </w:r>
          </w:p>
        </w:tc>
        <w:tc>
          <w:tcPr>
            <w:tcW w:type="dxa" w:w="586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Triagem nutricional validada (NRS-2002 ou NUTRIC Score)</w:t>
            </w:r>
          </w:p>
        </w:tc>
        <w:tc>
          <w:tcPr>
            <w:tcW w:type="dxa" w:w="300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NRS ≥ 3 ou NUTRIC ≥ 5 = alto risco</w:t>
            </w:r>
          </w:p>
        </w:tc>
      </w:tr>
      <w:tr>
        <w:tc>
          <w:tcPr>
            <w:tcW w:type="dxa" w:w="5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3A6B"/>
                <w:sz w:val="20"/>
                <w:szCs w:val="20"/>
              </w:rPr>
              <w:t xml:space="preserve">☐</w:t>
            </w:r>
          </w:p>
        </w:tc>
        <w:tc>
          <w:tcPr>
            <w:tcW w:type="dxa" w:w="586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Acesso venoso central (CVC) confirmado e posicionado</w:t>
            </w:r>
          </w:p>
        </w:tc>
        <w:tc>
          <w:tcPr>
            <w:tcW w:type="dxa" w:w="30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RX tórax: ponta em VCS/AD; ausência de pneumotórax</w:t>
            </w:r>
          </w:p>
        </w:tc>
      </w:tr>
      <w:tr>
        <w:tc>
          <w:tcPr>
            <w:tcW w:type="dxa" w:w="50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bCs/>
                <w:color w:val="1B3A6B"/>
                <w:sz w:val="20"/>
                <w:szCs w:val="20"/>
              </w:rPr>
              <w:t xml:space="preserve">☐</w:t>
            </w:r>
          </w:p>
        </w:tc>
        <w:tc>
          <w:tcPr>
            <w:tcW w:type="dxa" w:w="586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Glicemia verificada e corrigida</w:t>
            </w:r>
          </w:p>
        </w:tc>
        <w:tc>
          <w:tcPr>
            <w:tcW w:type="dxa" w:w="300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Meta: 140–180 mg/dL (UTI – ADA/ACP 2021)</w:t>
            </w:r>
          </w:p>
        </w:tc>
      </w:tr>
      <w:tr>
        <w:tc>
          <w:tcPr>
            <w:tcW w:type="dxa" w:w="5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3A6B"/>
                <w:sz w:val="20"/>
                <w:szCs w:val="20"/>
              </w:rPr>
              <w:t xml:space="preserve">☐</w:t>
            </w:r>
          </w:p>
        </w:tc>
        <w:tc>
          <w:tcPr>
            <w:tcW w:type="dxa" w:w="586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Triglicerídeos séricos avaliados</w:t>
            </w:r>
          </w:p>
        </w:tc>
        <w:tc>
          <w:tcPr>
            <w:tcW w:type="dxa" w:w="30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&lt; 400 mg/dL para iniciar emulsão lipídica</w:t>
            </w:r>
          </w:p>
        </w:tc>
      </w:tr>
      <w:tr>
        <w:tc>
          <w:tcPr>
            <w:tcW w:type="dxa" w:w="50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bCs/>
                <w:color w:val="1B3A6B"/>
                <w:sz w:val="20"/>
                <w:szCs w:val="20"/>
              </w:rPr>
              <w:t xml:space="preserve">☐</w:t>
            </w:r>
          </w:p>
        </w:tc>
        <w:tc>
          <w:tcPr>
            <w:tcW w:type="dxa" w:w="586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Fósforo, magnésio e potássio dosados e corrigidos (Sínd. Realimentação)</w:t>
            </w:r>
          </w:p>
        </w:tc>
        <w:tc>
          <w:tcPr>
            <w:tcW w:type="dxa" w:w="300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Corrigir hipofosfatemia/hipomagnesemia ANTES</w:t>
            </w:r>
          </w:p>
        </w:tc>
      </w:tr>
      <w:tr>
        <w:tc>
          <w:tcPr>
            <w:tcW w:type="dxa" w:w="5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3A6B"/>
                <w:sz w:val="20"/>
                <w:szCs w:val="20"/>
              </w:rPr>
              <w:t xml:space="preserve">☐</w:t>
            </w:r>
          </w:p>
        </w:tc>
        <w:tc>
          <w:tcPr>
            <w:tcW w:type="dxa" w:w="586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Estabilidade hemodinâmica avaliada</w:t>
            </w:r>
          </w:p>
        </w:tc>
        <w:tc>
          <w:tcPr>
            <w:tcW w:type="dxa" w:w="30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Vasopressores: aceitar início cauteloso com &lt; 70% meta</w:t>
            </w:r>
          </w:p>
        </w:tc>
      </w:tr>
      <w:tr>
        <w:tc>
          <w:tcPr>
            <w:tcW w:type="dxa" w:w="50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bCs/>
                <w:color w:val="1B3A6B"/>
                <w:sz w:val="20"/>
                <w:szCs w:val="20"/>
              </w:rPr>
              <w:t xml:space="preserve">☐</w:t>
            </w:r>
          </w:p>
        </w:tc>
        <w:tc>
          <w:tcPr>
            <w:tcW w:type="dxa" w:w="586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Função renal e hepática avaliadas</w:t>
            </w:r>
          </w:p>
        </w:tc>
        <w:tc>
          <w:tcPr>
            <w:tcW w:type="dxa" w:w="300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Ajustar proteínas e eletrólitos conforme</w:t>
            </w:r>
          </w:p>
        </w:tc>
      </w:tr>
      <w:tr>
        <w:tc>
          <w:tcPr>
            <w:tcW w:type="dxa" w:w="5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3A6B"/>
                <w:sz w:val="20"/>
                <w:szCs w:val="20"/>
              </w:rPr>
              <w:t xml:space="preserve">☐</w:t>
            </w:r>
          </w:p>
        </w:tc>
        <w:tc>
          <w:tcPr>
            <w:tcW w:type="dxa" w:w="586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Balanço hídrico e estado de hidratação avaliados</w:t>
            </w:r>
          </w:p>
        </w:tc>
        <w:tc>
          <w:tcPr>
            <w:tcW w:type="dxa" w:w="30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Evitar hiper-hidratação ao calcular volume da NPT</w:t>
            </w:r>
          </w:p>
        </w:tc>
      </w:tr>
      <w:tr>
        <w:tc>
          <w:tcPr>
            <w:tcW w:type="dxa" w:w="50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bCs/>
                <w:color w:val="1B3A6B"/>
                <w:sz w:val="20"/>
                <w:szCs w:val="20"/>
              </w:rPr>
              <w:t xml:space="preserve">☐</w:t>
            </w:r>
          </w:p>
        </w:tc>
        <w:tc>
          <w:tcPr>
            <w:tcW w:type="dxa" w:w="586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Cálculo de necessidades calóricas e proteicas (com calorimetria ou equação)</w:t>
            </w:r>
          </w:p>
        </w:tc>
        <w:tc>
          <w:tcPr>
            <w:tcW w:type="dxa" w:w="300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Ver Seção 6</w:t>
            </w:r>
          </w:p>
        </w:tc>
      </w:tr>
      <w:tr>
        <w:tc>
          <w:tcPr>
            <w:tcW w:type="dxa" w:w="5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3A6B"/>
                <w:sz w:val="20"/>
                <w:szCs w:val="20"/>
              </w:rPr>
              <w:t xml:space="preserve">☐</w:t>
            </w:r>
          </w:p>
        </w:tc>
        <w:tc>
          <w:tcPr>
            <w:tcW w:type="dxa" w:w="586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Risco de Síndrome de Realimentação avaliado (NICE criteria)</w:t>
            </w:r>
          </w:p>
        </w:tc>
        <w:tc>
          <w:tcPr>
            <w:tcW w:type="dxa" w:w="30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Ver Seção 8 — protocolo específico</w:t>
            </w:r>
          </w:p>
        </w:tc>
      </w:tr>
    </w:tbl>
    <w:p>
      <w:pPr>
        <w:spacing w:after="100" w:before="100"/>
      </w:pPr>
      <w:r>
        <w:rPr>
          <w:sz w:val="20"/>
          <w:szCs w:val="20"/>
        </w:rPr>
        <w:t xml:space="preserve"/>
      </w:r>
    </w:p>
    <w:p>
      <w:pPr>
        <w:pStyle w:val="Heading2"/>
        <w:spacing w:after="120" w:before="240"/>
      </w:pPr>
      <w:r>
        <w:rPr>
          <w:rFonts w:ascii="Arial" w:cs="Arial" w:eastAsia="Arial" w:hAnsi="Arial"/>
          <w:b/>
          <w:bCs/>
          <w:color w:val="2E5FA3"/>
          <w:sz w:val="28"/>
          <w:szCs w:val="28"/>
        </w:rPr>
        <w:t xml:space="preserve">4.2 Tipo de Acesso Venoso</w:t>
      </w:r>
    </w:p>
    <w:p>
      <w:pPr>
        <w:pStyle w:val="ListParagraph"/>
        <w:numPr>
          <w:ilvl w:val="0"/>
          <w:numId w:val="2"/>
        </w:numPr>
        <w:spacing w:after="40" w:before="40"/>
      </w:pPr>
      <w:r>
        <w:rPr>
          <w:rFonts w:ascii="Arial" w:cs="Arial" w:eastAsia="Arial" w:hAnsi="Arial"/>
          <w:sz w:val="20"/>
          <w:szCs w:val="20"/>
        </w:rPr>
        <w:t xml:space="preserve">CVC convencional (jugular interna, subclávia, femoral): via preferencial para NPT ≥ 900 mOsm/L</w:t>
      </w:r>
    </w:p>
    <w:p>
      <w:pPr>
        <w:pStyle w:val="ListParagraph"/>
        <w:numPr>
          <w:ilvl w:val="0"/>
          <w:numId w:val="2"/>
        </w:numPr>
        <w:spacing w:after="40" w:before="40"/>
      </w:pPr>
      <w:r>
        <w:rPr>
          <w:rFonts w:ascii="Arial" w:cs="Arial" w:eastAsia="Arial" w:hAnsi="Arial"/>
          <w:sz w:val="20"/>
          <w:szCs w:val="20"/>
        </w:rPr>
        <w:t xml:space="preserve">PICC (cateter central de inserção periférica): aceito para NPT de longa duração</w:t>
      </w:r>
    </w:p>
    <w:p>
      <w:pPr>
        <w:pStyle w:val="ListParagraph"/>
        <w:numPr>
          <w:ilvl w:val="0"/>
          <w:numId w:val="2"/>
        </w:numPr>
        <w:spacing w:after="40" w:before="40"/>
      </w:pPr>
      <w:r>
        <w:rPr>
          <w:rFonts w:ascii="Arial" w:cs="Arial" w:eastAsia="Arial" w:hAnsi="Arial"/>
          <w:sz w:val="20"/>
          <w:szCs w:val="20"/>
        </w:rPr>
        <w:t xml:space="preserve">Acesso periférico (veia periférica): APENAS para NPT com osmolaridade &lt; 900 mOsm/L e por curtos períodos — NPT periférica ou PPN</w:t>
      </w:r>
    </w:p>
    <w:p>
      <w:pPr>
        <w:pStyle w:val="ListParagraph"/>
        <w:numPr>
          <w:ilvl w:val="0"/>
          <w:numId w:val="2"/>
        </w:numPr>
        <w:spacing w:after="40" w:before="40"/>
      </w:pPr>
      <w:r>
        <w:rPr>
          <w:rFonts w:ascii="Arial" w:cs="Arial" w:eastAsia="Arial" w:hAnsi="Arial"/>
          <w:sz w:val="20"/>
          <w:szCs w:val="20"/>
        </w:rPr>
        <w:t xml:space="preserve">Porto-implantado / Hickman: pacientes crônicos com NPT domiciliar</w:t>
      </w:r>
    </w:p>
    <w:p>
      <w:pPr>
        <w:spacing w:after="100" w:before="100"/>
      </w:pPr>
      <w:r>
        <w:rPr>
          <w:sz w:val="20"/>
          <w:szCs w:val="20"/>
        </w:rPr>
        <w:t xml:space="preserve"/>
      </w:r>
    </w:p>
    <w:p>
      <w:pPr>
        <w:pBdr>
          <w:bottom w:val="single" w:color="D6E4F0" w:sz="4" w:space="1"/>
        </w:pBdr>
        <w:spacing w:after="200" w:before="200"/>
      </w:pPr>
      <w:r>
        <w:t xml:space="preserve"/>
      </w:r>
    </w:p>
    <w:p>
      <w:pPr>
        <w:pStyle w:val="Heading1"/>
        <w:pBdr>
          <w:bottom w:val="single" w:color="2E5FA3" w:sz="8" w:space="4"/>
        </w:pBdr>
        <w:spacing w:after="160" w:before="320"/>
      </w:pPr>
      <w:r>
        <w:rPr>
          <w:rFonts w:ascii="Arial" w:cs="Arial" w:eastAsia="Arial" w:hAnsi="Arial"/>
          <w:b/>
          <w:bCs/>
          <w:color w:val="1B3A6B"/>
          <w:sz w:val="36"/>
          <w:szCs w:val="36"/>
        </w:rPr>
        <w:t xml:space="preserve">5. EXAMES NECESSÁRIOS (MONITORIZAÇÃO LABORATORIAL)</w:t>
      </w:r>
    </w:p>
    <w:p>
      <w:pPr>
        <w:pStyle w:val="Heading2"/>
        <w:spacing w:after="120" w:before="240"/>
      </w:pPr>
      <w:r>
        <w:rPr>
          <w:rFonts w:ascii="Arial" w:cs="Arial" w:eastAsia="Arial" w:hAnsi="Arial"/>
          <w:b/>
          <w:bCs/>
          <w:color w:val="2E5FA3"/>
          <w:sz w:val="28"/>
          <w:szCs w:val="28"/>
        </w:rPr>
        <w:t xml:space="preserve">5.1 Exames Basais (Antes de Iniciar)</w:t>
      </w:r>
    </w:p>
    <w:p>
      <w:pPr>
        <w:pStyle w:val="ListParagraph"/>
        <w:numPr>
          <w:ilvl w:val="0"/>
          <w:numId w:val="2"/>
        </w:numPr>
        <w:spacing w:after="40" w:before="40"/>
      </w:pPr>
      <w:r>
        <w:rPr>
          <w:rFonts w:ascii="Arial" w:cs="Arial" w:eastAsia="Arial" w:hAnsi="Arial"/>
          <w:sz w:val="20"/>
          <w:szCs w:val="20"/>
        </w:rPr>
        <w:t xml:space="preserve">Hemograma completo com plaquetas</w:t>
      </w:r>
    </w:p>
    <w:p>
      <w:pPr>
        <w:pStyle w:val="ListParagraph"/>
        <w:numPr>
          <w:ilvl w:val="0"/>
          <w:numId w:val="2"/>
        </w:numPr>
        <w:spacing w:after="40" w:before="40"/>
      </w:pPr>
      <w:r>
        <w:rPr>
          <w:rFonts w:ascii="Arial" w:cs="Arial" w:eastAsia="Arial" w:hAnsi="Arial"/>
          <w:sz w:val="20"/>
          <w:szCs w:val="20"/>
        </w:rPr>
        <w:t xml:space="preserve">Glicemia em jejum + HbA1c (se DM)</w:t>
      </w:r>
    </w:p>
    <w:p>
      <w:pPr>
        <w:pStyle w:val="ListParagraph"/>
        <w:numPr>
          <w:ilvl w:val="0"/>
          <w:numId w:val="2"/>
        </w:numPr>
        <w:spacing w:after="40" w:before="40"/>
      </w:pPr>
      <w:r>
        <w:rPr>
          <w:rFonts w:ascii="Arial" w:cs="Arial" w:eastAsia="Arial" w:hAnsi="Arial"/>
          <w:sz w:val="20"/>
          <w:szCs w:val="20"/>
        </w:rPr>
        <w:t xml:space="preserve">Ureia e creatinina — função renal basal</w:t>
      </w:r>
    </w:p>
    <w:p>
      <w:pPr>
        <w:pStyle w:val="ListParagraph"/>
        <w:numPr>
          <w:ilvl w:val="0"/>
          <w:numId w:val="2"/>
        </w:numPr>
        <w:spacing w:after="40" w:before="40"/>
      </w:pPr>
      <w:r>
        <w:rPr>
          <w:rFonts w:ascii="Arial" w:cs="Arial" w:eastAsia="Arial" w:hAnsi="Arial"/>
          <w:sz w:val="20"/>
          <w:szCs w:val="20"/>
        </w:rPr>
        <w:t xml:space="preserve">Eletrólitos: sódio, potássio, cloro, cálcio total e iônico, fósforo, magnésio</w:t>
      </w:r>
    </w:p>
    <w:p>
      <w:pPr>
        <w:pStyle w:val="ListParagraph"/>
        <w:numPr>
          <w:ilvl w:val="0"/>
          <w:numId w:val="2"/>
        </w:numPr>
        <w:spacing w:after="40" w:before="40"/>
      </w:pPr>
      <w:r>
        <w:rPr>
          <w:rFonts w:ascii="Arial" w:cs="Arial" w:eastAsia="Arial" w:hAnsi="Arial"/>
          <w:sz w:val="20"/>
          <w:szCs w:val="20"/>
        </w:rPr>
        <w:t xml:space="preserve">Triglicerídeos e colesterol total e frações</w:t>
      </w:r>
    </w:p>
    <w:p>
      <w:pPr>
        <w:pStyle w:val="ListParagraph"/>
        <w:numPr>
          <w:ilvl w:val="0"/>
          <w:numId w:val="2"/>
        </w:numPr>
        <w:spacing w:after="40" w:before="40"/>
      </w:pPr>
      <w:r>
        <w:rPr>
          <w:rFonts w:ascii="Arial" w:cs="Arial" w:eastAsia="Arial" w:hAnsi="Arial"/>
          <w:sz w:val="20"/>
          <w:szCs w:val="20"/>
        </w:rPr>
        <w:t xml:space="preserve">Função hepática: TGO, TGP, GGT, fosfatase alcalina, bilirrubinas (T, D, I)</w:t>
      </w:r>
    </w:p>
    <w:p>
      <w:pPr>
        <w:pStyle w:val="ListParagraph"/>
        <w:numPr>
          <w:ilvl w:val="0"/>
          <w:numId w:val="2"/>
        </w:numPr>
        <w:spacing w:after="40" w:before="40"/>
      </w:pPr>
      <w:r>
        <w:rPr>
          <w:rFonts w:ascii="Arial" w:cs="Arial" w:eastAsia="Arial" w:hAnsi="Arial"/>
          <w:sz w:val="20"/>
          <w:szCs w:val="20"/>
        </w:rPr>
        <w:t xml:space="preserve">Albumina sérica e pré-albumina (proteína de fase aguda rápida)</w:t>
      </w:r>
    </w:p>
    <w:p>
      <w:pPr>
        <w:pStyle w:val="ListParagraph"/>
        <w:numPr>
          <w:ilvl w:val="0"/>
          <w:numId w:val="2"/>
        </w:numPr>
        <w:spacing w:after="40" w:before="40"/>
      </w:pPr>
      <w:r>
        <w:rPr>
          <w:rFonts w:ascii="Arial" w:cs="Arial" w:eastAsia="Arial" w:hAnsi="Arial"/>
          <w:sz w:val="20"/>
          <w:szCs w:val="20"/>
        </w:rPr>
        <w:t xml:space="preserve">PCR e procalcitonina (status inflamatório)</w:t>
      </w:r>
    </w:p>
    <w:p>
      <w:pPr>
        <w:pStyle w:val="ListParagraph"/>
        <w:numPr>
          <w:ilvl w:val="0"/>
          <w:numId w:val="2"/>
        </w:numPr>
        <w:spacing w:after="40" w:before="40"/>
      </w:pPr>
      <w:r>
        <w:rPr>
          <w:rFonts w:ascii="Arial" w:cs="Arial" w:eastAsia="Arial" w:hAnsi="Arial"/>
          <w:sz w:val="20"/>
          <w:szCs w:val="20"/>
        </w:rPr>
        <w:t xml:space="preserve">Coagulograma: TP, INR, TTPA</w:t>
      </w:r>
    </w:p>
    <w:p>
      <w:pPr>
        <w:pStyle w:val="ListParagraph"/>
        <w:numPr>
          <w:ilvl w:val="0"/>
          <w:numId w:val="2"/>
        </w:numPr>
        <w:spacing w:after="40" w:before="40"/>
      </w:pPr>
      <w:r>
        <w:rPr>
          <w:rFonts w:ascii="Arial" w:cs="Arial" w:eastAsia="Arial" w:hAnsi="Arial"/>
          <w:sz w:val="20"/>
          <w:szCs w:val="20"/>
        </w:rPr>
        <w:t xml:space="preserve">Gasometria arterial + lactato</w:t>
      </w:r>
    </w:p>
    <w:p>
      <w:pPr>
        <w:pStyle w:val="ListParagraph"/>
        <w:numPr>
          <w:ilvl w:val="0"/>
          <w:numId w:val="2"/>
        </w:numPr>
        <w:spacing w:after="40" w:before="40"/>
      </w:pPr>
      <w:r>
        <w:rPr>
          <w:rFonts w:ascii="Arial" w:cs="Arial" w:eastAsia="Arial" w:hAnsi="Arial"/>
          <w:sz w:val="20"/>
          <w:szCs w:val="20"/>
        </w:rPr>
        <w:t xml:space="preserve">Osmolaridade sérica (calculada ou medida)</w:t>
      </w:r>
    </w:p>
    <w:p>
      <w:pPr>
        <w:pStyle w:val="ListParagraph"/>
        <w:numPr>
          <w:ilvl w:val="0"/>
          <w:numId w:val="2"/>
        </w:numPr>
        <w:spacing w:after="40" w:before="40"/>
      </w:pPr>
      <w:r>
        <w:rPr>
          <w:rFonts w:ascii="Arial" w:cs="Arial" w:eastAsia="Arial" w:hAnsi="Arial"/>
          <w:sz w:val="20"/>
          <w:szCs w:val="20"/>
        </w:rPr>
        <w:t xml:space="preserve">Urina de 24h: nitrogênio ureico urinário (NUU) — cálculo do balanço nitrogenado</w:t>
      </w:r>
    </w:p>
    <w:p>
      <w:pPr>
        <w:spacing w:after="40" w:before="80"/>
      </w:pPr>
      <w:r>
        <w:rPr>
          <w:sz w:val="20"/>
          <w:szCs w:val="20"/>
        </w:rPr>
        <w:t xml:space="preserve"/>
      </w:r>
    </w:p>
    <w:p>
      <w:pPr>
        <w:pStyle w:val="Heading2"/>
        <w:spacing w:after="120" w:before="240"/>
      </w:pPr>
      <w:r>
        <w:rPr>
          <w:rFonts w:ascii="Arial" w:cs="Arial" w:eastAsia="Arial" w:hAnsi="Arial"/>
          <w:b/>
          <w:bCs/>
          <w:color w:val="2E5FA3"/>
          <w:sz w:val="28"/>
          <w:szCs w:val="28"/>
        </w:rPr>
        <w:t xml:space="preserve">5.2 Monitorização Durante NPT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gridSpan w:val="1"/>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EXAME</w:t>
            </w:r>
          </w:p>
        </w:tc>
        <w:tc>
          <w:tcPr>
            <w:tcW w:type="dxa" w:w="2080"/>
            <w:gridSpan w:val="1"/>
            <w:tcBorders>
              <w:top w:val="single" w:color="FFFFFF" w:sz="1"/>
              <w:left w:val="single" w:color="FFFFFF" w:sz="1"/>
              <w:bottom w:val="single" w:color="FFFFFF" w:sz="1"/>
              <w:right w:val="single" w:color="FFFFFF"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DIÁRIO (48–72h iniciais)</w:t>
            </w:r>
          </w:p>
        </w:tc>
        <w:tc>
          <w:tcPr>
            <w:tcW w:type="dxa" w:w="2080"/>
            <w:gridSpan w:val="1"/>
            <w:tcBorders>
              <w:top w:val="single" w:color="FFFFFF" w:sz="1"/>
              <w:left w:val="single" w:color="FFFFFF" w:sz="1"/>
              <w:bottom w:val="single" w:color="FFFFFF" w:sz="1"/>
              <w:right w:val="single" w:color="FFFFFF"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2–3× SEMANA</w:t>
            </w:r>
          </w:p>
        </w:tc>
        <w:tc>
          <w:tcPr>
            <w:tcW w:type="dxa" w:w="2080"/>
            <w:gridSpan w:val="1"/>
            <w:tcBorders>
              <w:top w:val="single" w:color="FFFFFF" w:sz="1"/>
              <w:left w:val="single" w:color="FFFFFF" w:sz="1"/>
              <w:bottom w:val="single" w:color="FFFFFF" w:sz="1"/>
              <w:right w:val="single" w:color="FFFFFF"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SEMANAL</w:t>
            </w:r>
          </w:p>
        </w:tc>
      </w:tr>
      <w:tr>
        <w:tc>
          <w:tcPr>
            <w:tcW w:type="dxa" w:w="312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Glicemia capilar</w:t>
            </w:r>
          </w:p>
        </w:tc>
        <w:tc>
          <w:tcPr>
            <w:tcW w:type="dxa" w:w="208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 cada 4–6h (fase inicial)</w:t>
            </w:r>
          </w:p>
        </w:tc>
        <w:tc>
          <w:tcPr>
            <w:tcW w:type="dxa" w:w="208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208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r>
      <w:tr>
        <w:tc>
          <w:tcPr>
            <w:tcW w:type="dxa" w:w="312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Sódio, potássio, cloro</w:t>
            </w:r>
          </w:p>
        </w:tc>
        <w:tc>
          <w:tcPr>
            <w:tcW w:type="dxa" w:w="208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E8449"/>
                <w:sz w:val="20"/>
                <w:szCs w:val="20"/>
              </w:rPr>
              <w:t xml:space="preserve">✓</w:t>
            </w:r>
          </w:p>
        </w:tc>
        <w:tc>
          <w:tcPr>
            <w:tcW w:type="dxa" w:w="208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208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r>
      <w:tr>
        <w:tc>
          <w:tcPr>
            <w:tcW w:type="dxa" w:w="312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Fósforo, magnésio, cálcio</w:t>
            </w:r>
          </w:p>
        </w:tc>
        <w:tc>
          <w:tcPr>
            <w:tcW w:type="dxa" w:w="208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 (SR: 4×/dia inicialmente)</w:t>
            </w:r>
          </w:p>
        </w:tc>
        <w:tc>
          <w:tcPr>
            <w:tcW w:type="dxa" w:w="208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208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r>
      <w:tr>
        <w:tc>
          <w:tcPr>
            <w:tcW w:type="dxa" w:w="312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Triglicerídeos</w:t>
            </w:r>
          </w:p>
        </w:tc>
        <w:tc>
          <w:tcPr>
            <w:tcW w:type="dxa" w:w="208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24–48h após início</w:t>
            </w:r>
          </w:p>
        </w:tc>
        <w:tc>
          <w:tcPr>
            <w:tcW w:type="dxa" w:w="208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E8449"/>
                <w:sz w:val="20"/>
                <w:szCs w:val="20"/>
              </w:rPr>
              <w:t xml:space="preserve">✓</w:t>
            </w:r>
          </w:p>
        </w:tc>
        <w:tc>
          <w:tcPr>
            <w:tcW w:type="dxa" w:w="208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r>
      <w:tr>
        <w:tc>
          <w:tcPr>
            <w:tcW w:type="dxa" w:w="312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Ureia, creatinina</w:t>
            </w:r>
          </w:p>
        </w:tc>
        <w:tc>
          <w:tcPr>
            <w:tcW w:type="dxa" w:w="208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bCs/>
                <w:color w:val="1E8449"/>
                <w:sz w:val="20"/>
                <w:szCs w:val="20"/>
              </w:rPr>
              <w:t xml:space="preserve">✓</w:t>
            </w:r>
          </w:p>
        </w:tc>
        <w:tc>
          <w:tcPr>
            <w:tcW w:type="dxa" w:w="208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208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r>
      <w:tr>
        <w:tc>
          <w:tcPr>
            <w:tcW w:type="dxa" w:w="312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TGO, TGP, GGT, BT, BD</w:t>
            </w:r>
          </w:p>
        </w:tc>
        <w:tc>
          <w:tcPr>
            <w:tcW w:type="dxa" w:w="208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208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E8449"/>
                <w:sz w:val="20"/>
                <w:szCs w:val="20"/>
              </w:rPr>
              <w:t xml:space="preserve">✓</w:t>
            </w:r>
          </w:p>
        </w:tc>
        <w:tc>
          <w:tcPr>
            <w:tcW w:type="dxa" w:w="208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r>
      <w:tr>
        <w:tc>
          <w:tcPr>
            <w:tcW w:type="dxa" w:w="312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Hemograma, coagulograma</w:t>
            </w:r>
          </w:p>
        </w:tc>
        <w:tc>
          <w:tcPr>
            <w:tcW w:type="dxa" w:w="208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208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bCs/>
                <w:color w:val="1E8449"/>
                <w:sz w:val="20"/>
                <w:szCs w:val="20"/>
              </w:rPr>
              <w:t xml:space="preserve">✓</w:t>
            </w:r>
          </w:p>
        </w:tc>
        <w:tc>
          <w:tcPr>
            <w:tcW w:type="dxa" w:w="208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r>
      <w:tr>
        <w:tc>
          <w:tcPr>
            <w:tcW w:type="dxa" w:w="312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Albumina, pré-albumina, PCR</w:t>
            </w:r>
          </w:p>
        </w:tc>
        <w:tc>
          <w:tcPr>
            <w:tcW w:type="dxa" w:w="208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208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208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E8449"/>
                <w:sz w:val="20"/>
                <w:szCs w:val="20"/>
              </w:rPr>
              <w:t xml:space="preserve">✓</w:t>
            </w:r>
          </w:p>
        </w:tc>
      </w:tr>
      <w:tr>
        <w:tc>
          <w:tcPr>
            <w:tcW w:type="dxa" w:w="312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Balanço nitrogenado (NUU)</w:t>
            </w:r>
          </w:p>
        </w:tc>
        <w:tc>
          <w:tcPr>
            <w:tcW w:type="dxa" w:w="208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208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208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bCs/>
                <w:color w:val="1E8449"/>
                <w:sz w:val="20"/>
                <w:szCs w:val="20"/>
              </w:rPr>
              <w:t xml:space="preserve">✓</w:t>
            </w:r>
          </w:p>
        </w:tc>
      </w:tr>
    </w:tbl>
    <w:p>
      <w:pPr>
        <w:spacing w:after="100" w:before="100"/>
      </w:pPr>
      <w:r>
        <w:rPr>
          <w:sz w:val="20"/>
          <w:szCs w:val="20"/>
        </w:rPr>
        <w:t xml:space="preserve"/>
      </w:r>
    </w:p>
    <w:p>
      <w:pPr>
        <w:spacing w:after="60" w:before="60"/>
        <w:jc w:val="both"/>
      </w:pPr>
      <w:r>
        <w:rPr>
          <w:rFonts w:ascii="Arial" w:cs="Arial" w:eastAsia="Arial" w:hAnsi="Arial"/>
          <w:b w:val="false"/>
          <w:bCs w:val="false"/>
          <w:color w:val="000000"/>
          <w:sz w:val="20"/>
          <w:szCs w:val="20"/>
        </w:rPr>
        <w:t xml:space="preserve">Fórmula do Balanço Nitrogenado: BN = Nitrogênio Ingerido (g de proteína / 6,25) − NUU (g/24h) − 2 a 4g (perdas insensíveis). Meta: BN ≥ 0 (anabolismo) ou BN entre −2 e 0 (catabolismo leve aceitável na fase aguda inicial).</w:t>
      </w:r>
    </w:p>
    <w:p>
      <w:pPr>
        <w:spacing w:after="100" w:before="100"/>
      </w:pPr>
      <w:r>
        <w:rPr>
          <w:sz w:val="20"/>
          <w:szCs w:val="20"/>
        </w:rPr>
        <w:t xml:space="preserve"/>
      </w:r>
    </w:p>
    <w:p>
      <w:pPr>
        <w:pBdr>
          <w:bottom w:val="single" w:color="D6E4F0" w:sz="4" w:space="1"/>
        </w:pBdr>
        <w:spacing w:after="200" w:before="200"/>
      </w:pPr>
      <w:r>
        <w:t xml:space="preserve"/>
      </w:r>
    </w:p>
    <w:p>
      <w:pPr>
        <w:pStyle w:val="Heading1"/>
        <w:pBdr>
          <w:bottom w:val="single" w:color="2E5FA3" w:sz="8" w:space="4"/>
        </w:pBdr>
        <w:spacing w:after="160" w:before="320"/>
      </w:pPr>
      <w:r>
        <w:rPr>
          <w:rFonts w:ascii="Arial" w:cs="Arial" w:eastAsia="Arial" w:hAnsi="Arial"/>
          <w:b/>
          <w:bCs/>
          <w:color w:val="1B3A6B"/>
          <w:sz w:val="36"/>
          <w:szCs w:val="36"/>
        </w:rPr>
        <w:t xml:space="preserve">6. METAS CALÓRICAS E PROTEICAS EM UTI</w:t>
      </w:r>
    </w:p>
    <w:p>
      <w:pPr>
        <w:pStyle w:val="Heading2"/>
        <w:spacing w:after="120" w:before="240"/>
      </w:pPr>
      <w:r>
        <w:rPr>
          <w:rFonts w:ascii="Arial" w:cs="Arial" w:eastAsia="Arial" w:hAnsi="Arial"/>
          <w:b/>
          <w:bCs/>
          <w:color w:val="2E5FA3"/>
          <w:sz w:val="28"/>
          <w:szCs w:val="28"/>
        </w:rPr>
        <w:t xml:space="preserve">6.1 Cálculo do Gasto Energético</w:t>
      </w:r>
    </w:p>
    <w:p>
      <w:pPr>
        <w:pStyle w:val="ListParagraph"/>
        <w:numPr>
          <w:ilvl w:val="0"/>
          <w:numId w:val="2"/>
        </w:numPr>
        <w:spacing w:after="40" w:before="40"/>
      </w:pPr>
      <w:r>
        <w:rPr>
          <w:rFonts w:ascii="Arial" w:cs="Arial" w:eastAsia="Arial" w:hAnsi="Arial"/>
          <w:sz w:val="20"/>
          <w:szCs w:val="20"/>
        </w:rPr>
        <w:t xml:space="preserve">GOLD STANDARD: Calorimetria indireta (CI) — determina VO2 e VCO2 → calcula GER real</w:t>
      </w:r>
    </w:p>
    <w:p>
      <w:pPr>
        <w:pStyle w:val="ListParagraph"/>
        <w:numPr>
          <w:ilvl w:val="0"/>
          <w:numId w:val="2"/>
        </w:numPr>
        <w:spacing w:after="40" w:before="40"/>
      </w:pPr>
      <w:r>
        <w:rPr>
          <w:rFonts w:ascii="Arial" w:cs="Arial" w:eastAsia="Arial" w:hAnsi="Arial"/>
          <w:sz w:val="20"/>
          <w:szCs w:val="20"/>
        </w:rPr>
        <w:t xml:space="preserve">Se CI indisponível: utilizar equações preditivas com cautela</w:t>
      </w:r>
    </w:p>
    <w:p>
      <w:pPr>
        <w:spacing w:after="40" w:before="60"/>
      </w:pPr>
      <w:r>
        <w:rPr>
          <w:sz w:val="20"/>
          <w:szCs w:val="20"/>
        </w:rPr>
        <w:t xml:space="preserve"/>
      </w:r>
    </w:p>
    <w:p>
      <w:pPr>
        <w:pStyle w:val="Heading3"/>
        <w:spacing w:after="80" w:before="180"/>
      </w:pPr>
      <w:r>
        <w:rPr>
          <w:rFonts w:ascii="Arial" w:cs="Arial" w:eastAsia="Arial" w:hAnsi="Arial"/>
          <w:b/>
          <w:bCs/>
          <w:color w:val="1B3A6B"/>
          <w:sz w:val="24"/>
          <w:szCs w:val="24"/>
        </w:rPr>
        <w:t xml:space="preserve">Equações Preditivas Aceitas em UTI:</w:t>
      </w:r>
    </w:p>
    <w:p>
      <w:pPr>
        <w:pStyle w:val="ListParagraph"/>
        <w:numPr>
          <w:ilvl w:val="0"/>
          <w:numId w:val="2"/>
        </w:numPr>
        <w:spacing w:after="40" w:before="40"/>
      </w:pPr>
      <w:r>
        <w:rPr>
          <w:rFonts w:ascii="Arial" w:cs="Arial" w:eastAsia="Arial" w:hAnsi="Arial"/>
          <w:sz w:val="20"/>
          <w:szCs w:val="20"/>
        </w:rPr>
        <w:t xml:space="preserve">Penn State (2003): mais validada em pacientes ventilados (inclui temperatura e VE)</w:t>
      </w:r>
    </w:p>
    <w:p>
      <w:pPr>
        <w:pStyle w:val="ListParagraph"/>
        <w:numPr>
          <w:ilvl w:val="0"/>
          <w:numId w:val="2"/>
        </w:numPr>
        <w:spacing w:after="40" w:before="40"/>
      </w:pPr>
      <w:r>
        <w:rPr>
          <w:rFonts w:ascii="Arial" w:cs="Arial" w:eastAsia="Arial" w:hAnsi="Arial"/>
          <w:sz w:val="20"/>
          <w:szCs w:val="20"/>
        </w:rPr>
        <w:t xml:space="preserve">Mifflin-St Jeor: kcal = 10×P + 6,25×A − 5×I + S (S: +5 H / −161 M) × fator injúria</w:t>
      </w:r>
    </w:p>
    <w:p>
      <w:pPr>
        <w:pStyle w:val="ListParagraph"/>
        <w:numPr>
          <w:ilvl w:val="0"/>
          <w:numId w:val="2"/>
        </w:numPr>
        <w:spacing w:after="40" w:before="40"/>
      </w:pPr>
      <w:r>
        <w:rPr>
          <w:rFonts w:ascii="Arial" w:cs="Arial" w:eastAsia="Arial" w:hAnsi="Arial"/>
          <w:sz w:val="20"/>
          <w:szCs w:val="20"/>
        </w:rPr>
        <w:t xml:space="preserve">Regra prática SCCM/ASPEN: 25–30 kcal/kg/dia (peso atual ou ajustado no obeso)</w:t>
      </w:r>
    </w:p>
    <w:p>
      <w:pPr>
        <w:pStyle w:val="ListParagraph"/>
        <w:numPr>
          <w:ilvl w:val="0"/>
          <w:numId w:val="2"/>
        </w:numPr>
        <w:spacing w:after="40" w:before="40"/>
      </w:pPr>
      <w:r>
        <w:rPr>
          <w:rFonts w:ascii="Arial" w:cs="Arial" w:eastAsia="Arial" w:hAnsi="Arial"/>
          <w:sz w:val="20"/>
          <w:szCs w:val="20"/>
        </w:rPr>
        <w:t xml:space="preserve">Harris-Benedict com fator de injúria: ampla variabilidade — menos recomendado em UTI</w:t>
      </w:r>
    </w:p>
    <w:p>
      <w:pPr>
        <w:spacing w:after="40" w:before="60"/>
      </w:pPr>
      <w:r>
        <w:rPr>
          <w:sz w:val="20"/>
          <w:szCs w:val="20"/>
        </w:rPr>
        <w:t xml:space="preserve"/>
      </w:r>
    </w:p>
    <w:p>
      <w:pPr>
        <w:pStyle w:val="Heading2"/>
        <w:spacing w:after="120" w:before="240"/>
      </w:pPr>
      <w:r>
        <w:rPr>
          <w:rFonts w:ascii="Arial" w:cs="Arial" w:eastAsia="Arial" w:hAnsi="Arial"/>
          <w:b/>
          <w:bCs/>
          <w:color w:val="2E5FA3"/>
          <w:sz w:val="28"/>
          <w:szCs w:val="28"/>
        </w:rPr>
        <w:t xml:space="preserve">6.2 Metas Calóricas por Fase Clínica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FASE</w:t>
            </w:r>
          </w:p>
        </w:tc>
        <w:tc>
          <w:tcPr>
            <w:tcW w:type="dxa" w:w="2340"/>
            <w:gridSpan w:val="1"/>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PERÍODO</w:t>
            </w:r>
          </w:p>
        </w:tc>
        <w:tc>
          <w:tcPr>
            <w:tcW w:type="dxa" w:w="2340"/>
            <w:gridSpan w:val="1"/>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META CALÓRICA</w:t>
            </w:r>
          </w:p>
        </w:tc>
        <w:tc>
          <w:tcPr>
            <w:tcW w:type="dxa" w:w="2340"/>
            <w:gridSpan w:val="1"/>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JUSTIFICATIVA</w:t>
            </w:r>
          </w:p>
        </w:tc>
      </w:tr>
      <w:tr>
        <w:tc>
          <w:tcPr>
            <w:tcW w:type="dxa" w:w="2340"/>
            <w:gridSpan w:val="1"/>
            <w:tcBorders>
              <w:top w:val="single" w:color="BBBBBB" w:sz="1"/>
              <w:left w:val="single" w:color="BBBBBB" w:sz="1"/>
              <w:bottom w:val="single" w:color="BBBBBB" w:sz="1"/>
              <w:right w:val="single" w:color="BBBBBB" w:sz="1"/>
            </w:tcBorders>
            <w:shd w:fill="FADBD8"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Fase Aguda / Inicial</w:t>
            </w:r>
          </w:p>
        </w:tc>
        <w:tc>
          <w:tcPr>
            <w:tcW w:type="dxa" w:w="2340"/>
            <w:gridSpan w:val="1"/>
            <w:tcBorders>
              <w:top w:val="single" w:color="BBBBBB" w:sz="1"/>
              <w:left w:val="single" w:color="BBBBBB" w:sz="1"/>
              <w:bottom w:val="single" w:color="BBBBBB" w:sz="1"/>
              <w:right w:val="single" w:color="BBBBBB" w:sz="1"/>
            </w:tcBorders>
            <w:shd w:fill="FADBD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D1–D3 UTI</w:t>
            </w:r>
          </w:p>
        </w:tc>
        <w:tc>
          <w:tcPr>
            <w:tcW w:type="dxa" w:w="2340"/>
            <w:gridSpan w:val="1"/>
            <w:tcBorders>
              <w:top w:val="single" w:color="BBBBBB" w:sz="1"/>
              <w:left w:val="single" w:color="BBBBBB" w:sz="1"/>
              <w:bottom w:val="single" w:color="BBBBBB" w:sz="1"/>
              <w:right w:val="single" w:color="BBBBBB" w:sz="1"/>
            </w:tcBorders>
            <w:shd w:fill="FADBD8"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15–20 kcal/kg/dia (hipocalórica)</w:t>
            </w:r>
          </w:p>
        </w:tc>
        <w:tc>
          <w:tcPr>
            <w:tcW w:type="dxa" w:w="2340"/>
            <w:gridSpan w:val="1"/>
            <w:tcBorders>
              <w:top w:val="single" w:color="BBBBBB" w:sz="1"/>
              <w:left w:val="single" w:color="BBBBBB" w:sz="1"/>
              <w:bottom w:val="single" w:color="BBBBBB" w:sz="1"/>
              <w:right w:val="single" w:color="BBBBBB" w:sz="1"/>
            </w:tcBorders>
            <w:shd w:fill="FADBD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Evitar hiperglicemia e sobrecarga metabólica; preservar autofagia</w:t>
            </w:r>
          </w:p>
        </w:tc>
      </w:tr>
      <w:tr>
        <w:tc>
          <w:tcPr>
            <w:tcW w:type="dxa" w:w="2340"/>
            <w:gridSpan w:val="1"/>
            <w:tcBorders>
              <w:top w:val="single" w:color="BBBBBB" w:sz="1"/>
              <w:left w:val="single" w:color="BBBBBB" w:sz="1"/>
              <w:bottom w:val="single" w:color="BBBBBB" w:sz="1"/>
              <w:right w:val="single" w:color="BBBBBB" w:sz="1"/>
            </w:tcBorders>
            <w:shd w:fill="FDEBD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Fase Pós-Aguda / Estabilização</w:t>
            </w:r>
          </w:p>
        </w:tc>
        <w:tc>
          <w:tcPr>
            <w:tcW w:type="dxa" w:w="2340"/>
            <w:gridSpan w:val="1"/>
            <w:tcBorders>
              <w:top w:val="single" w:color="BBBBBB" w:sz="1"/>
              <w:left w:val="single" w:color="BBBBBB" w:sz="1"/>
              <w:bottom w:val="single" w:color="BBBBBB" w:sz="1"/>
              <w:right w:val="single" w:color="BBBBBB" w:sz="1"/>
            </w:tcBorders>
            <w:shd w:fill="FDEBD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D4–D7 UTI</w:t>
            </w:r>
          </w:p>
        </w:tc>
        <w:tc>
          <w:tcPr>
            <w:tcW w:type="dxa" w:w="2340"/>
            <w:gridSpan w:val="1"/>
            <w:tcBorders>
              <w:top w:val="single" w:color="BBBBBB" w:sz="1"/>
              <w:left w:val="single" w:color="BBBBBB" w:sz="1"/>
              <w:bottom w:val="single" w:color="BBBBBB" w:sz="1"/>
              <w:right w:val="single" w:color="BBBBBB" w:sz="1"/>
            </w:tcBorders>
            <w:shd w:fill="FDEBD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20–25 kcal/kg/dia</w:t>
            </w:r>
          </w:p>
        </w:tc>
        <w:tc>
          <w:tcPr>
            <w:tcW w:type="dxa" w:w="2340"/>
            <w:gridSpan w:val="1"/>
            <w:tcBorders>
              <w:top w:val="single" w:color="BBBBBB" w:sz="1"/>
              <w:left w:val="single" w:color="BBBBBB" w:sz="1"/>
              <w:bottom w:val="single" w:color="BBBBBB" w:sz="1"/>
              <w:right w:val="single" w:color="BBBBBB" w:sz="1"/>
            </w:tcBorders>
            <w:shd w:fill="FDEBD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Progredir conforme tolerância metabólica e estabilidade</w:t>
            </w:r>
          </w:p>
        </w:tc>
      </w:tr>
      <w:tr>
        <w:tc>
          <w:tcPr>
            <w:tcW w:type="dxa" w:w="2340"/>
            <w:gridSpan w:val="1"/>
            <w:tcBorders>
              <w:top w:val="single" w:color="BBBBBB" w:sz="1"/>
              <w:left w:val="single" w:color="BBBBBB" w:sz="1"/>
              <w:bottom w:val="single" w:color="BBBBBB" w:sz="1"/>
              <w:right w:val="single" w:color="BBBBBB" w:sz="1"/>
            </w:tcBorders>
            <w:shd w:fill="D5F5E3"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Fase de Recuperação / Crônica</w:t>
            </w:r>
          </w:p>
        </w:tc>
        <w:tc>
          <w:tcPr>
            <w:tcW w:type="dxa" w:w="2340"/>
            <w:gridSpan w:val="1"/>
            <w:tcBorders>
              <w:top w:val="single" w:color="BBBBBB" w:sz="1"/>
              <w:left w:val="single" w:color="BBBBBB" w:sz="1"/>
              <w:bottom w:val="single" w:color="BBBBBB" w:sz="1"/>
              <w:right w:val="single" w:color="BBBBBB"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Após D7 / UTI prolongada</w:t>
            </w:r>
          </w:p>
        </w:tc>
        <w:tc>
          <w:tcPr>
            <w:tcW w:type="dxa" w:w="2340"/>
            <w:gridSpan w:val="1"/>
            <w:tcBorders>
              <w:top w:val="single" w:color="BBBBBB" w:sz="1"/>
              <w:left w:val="single" w:color="BBBBBB" w:sz="1"/>
              <w:bottom w:val="single" w:color="BBBBBB" w:sz="1"/>
              <w:right w:val="single" w:color="BBBBBB" w:sz="1"/>
            </w:tcBorders>
            <w:shd w:fill="D5F5E3"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25–30 kcal/kg/dia (meta plena)</w:t>
            </w:r>
          </w:p>
        </w:tc>
        <w:tc>
          <w:tcPr>
            <w:tcW w:type="dxa" w:w="2340"/>
            <w:gridSpan w:val="1"/>
            <w:tcBorders>
              <w:top w:val="single" w:color="BBBBBB" w:sz="1"/>
              <w:left w:val="single" w:color="BBBBBB" w:sz="1"/>
              <w:bottom w:val="single" w:color="BBBBBB" w:sz="1"/>
              <w:right w:val="single" w:color="BBBBBB"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Anabolismo, reabilitação, cicatrização; evitar superalimentação</w:t>
            </w:r>
          </w:p>
        </w:tc>
      </w:tr>
    </w:tbl>
    <w:p>
      <w:pPr>
        <w:spacing w:after="40" w:before="80"/>
      </w:pPr>
      <w:r>
        <w:rPr>
          <w:sz w:val="20"/>
          <w:szCs w:val="20"/>
        </w:rPr>
        <w:t xml:space="preserve"/>
      </w:r>
    </w:p>
    <w:p>
      <w:pPr>
        <w:pStyle w:val="Heading2"/>
        <w:spacing w:after="120" w:before="240"/>
      </w:pPr>
      <w:r>
        <w:rPr>
          <w:rFonts w:ascii="Arial" w:cs="Arial" w:eastAsia="Arial" w:hAnsi="Arial"/>
          <w:b/>
          <w:bCs/>
          <w:color w:val="2E5FA3"/>
          <w:sz w:val="28"/>
          <w:szCs w:val="28"/>
        </w:rPr>
        <w:t xml:space="preserve">6.3 Metas Proteicas</w:t>
      </w:r>
    </w:p>
    <w:p>
      <w:pPr>
        <w:spacing w:after="60" w:before="60"/>
        <w:jc w:val="both"/>
      </w:pPr>
      <w:r>
        <w:rPr>
          <w:rFonts w:ascii="Arial" w:cs="Arial" w:eastAsia="Arial" w:hAnsi="Arial"/>
          <w:b w:val="false"/>
          <w:bCs w:val="false"/>
          <w:color w:val="000000"/>
          <w:sz w:val="20"/>
          <w:szCs w:val="20"/>
        </w:rPr>
        <w:t xml:space="preserve">A proteína é o macronutriente mais crítico em pacientes críticos. Doses adequadas reduzem catabolismo muscular, melhoram função imune e cicatrização.</w:t>
      </w:r>
    </w:p>
    <w:p>
      <w:pPr>
        <w:spacing w:after="40" w:before="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CONDIÇÃO CLÍNICA</w:t>
            </w:r>
          </w:p>
        </w:tc>
        <w:tc>
          <w:tcPr>
            <w:tcW w:type="dxa" w:w="3120"/>
            <w:gridSpan w:val="1"/>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META PROTEICA</w:t>
            </w:r>
          </w:p>
        </w:tc>
        <w:tc>
          <w:tcPr>
            <w:tcW w:type="dxa" w:w="3120"/>
            <w:gridSpan w:val="1"/>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OBSERVAÇÃO</w:t>
            </w:r>
          </w:p>
        </w:tc>
      </w:tr>
      <w:tr>
        <w:tc>
          <w:tcPr>
            <w:tcW w:type="dxa" w:w="312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Paciente crítico padrão</w:t>
            </w:r>
          </w:p>
        </w:tc>
        <w:tc>
          <w:tcPr>
            <w:tcW w:type="dxa" w:w="312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bCs/>
                <w:color w:val="2E5FA3"/>
                <w:sz w:val="20"/>
                <w:szCs w:val="20"/>
              </w:rPr>
              <w:t xml:space="preserve">1,2 – 2,0 g/kg/dia</w:t>
            </w:r>
          </w:p>
        </w:tc>
        <w:tc>
          <w:tcPr>
            <w:tcW w:type="dxa" w:w="312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Meta mínima universalmente aceita (SCCM/ASPEN 2021)</w:t>
            </w:r>
          </w:p>
        </w:tc>
      </w:tr>
      <w:tr>
        <w:tc>
          <w:tcPr>
            <w:tcW w:type="dxa" w:w="3120"/>
            <w:gridSpan w:val="1"/>
            <w:tcBorders>
              <w:top w:val="single" w:color="BBBBBB" w:sz="1"/>
              <w:left w:val="single" w:color="BBBBBB" w:sz="1"/>
              <w:bottom w:val="single" w:color="BBBBBB" w:sz="1"/>
              <w:right w:val="single" w:color="BBBBBB" w:sz="1"/>
            </w:tcBorders>
            <w:shd w:fill="FDEBD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Queimado / Trauma grave</w:t>
            </w:r>
          </w:p>
        </w:tc>
        <w:tc>
          <w:tcPr>
            <w:tcW w:type="dxa" w:w="3120"/>
            <w:gridSpan w:val="1"/>
            <w:tcBorders>
              <w:top w:val="single" w:color="BBBBBB" w:sz="1"/>
              <w:left w:val="single" w:color="BBBBBB" w:sz="1"/>
              <w:bottom w:val="single" w:color="BBBBBB" w:sz="1"/>
              <w:right w:val="single" w:color="BBBBBB" w:sz="1"/>
            </w:tcBorders>
            <w:shd w:fill="FDEBD0" w:val="clear"/>
            <w:tcMar>
              <w:top w:type="dxa" w:w="80"/>
              <w:left w:type="dxa" w:w="120"/>
              <w:bottom w:type="dxa" w:w="80"/>
              <w:right w:type="dxa" w:w="120"/>
            </w:tcMar>
            <w:vAlign w:val="center"/>
          </w:tcPr>
          <w:p>
            <w:pPr>
              <w:jc w:val="left"/>
            </w:pPr>
            <w:r>
              <w:rPr>
                <w:rFonts w:ascii="Arial" w:cs="Arial" w:eastAsia="Arial" w:hAnsi="Arial"/>
                <w:b/>
                <w:bCs/>
                <w:color w:val="C0392B"/>
                <w:sz w:val="20"/>
                <w:szCs w:val="20"/>
              </w:rPr>
              <w:t xml:space="preserve">2,0 – 2,5 g/kg/dia</w:t>
            </w:r>
          </w:p>
        </w:tc>
        <w:tc>
          <w:tcPr>
            <w:tcW w:type="dxa" w:w="3120"/>
            <w:gridSpan w:val="1"/>
            <w:tcBorders>
              <w:top w:val="single" w:color="BBBBBB" w:sz="1"/>
              <w:left w:val="single" w:color="BBBBBB" w:sz="1"/>
              <w:bottom w:val="single" w:color="BBBBBB" w:sz="1"/>
              <w:right w:val="single" w:color="BBBBBB" w:sz="1"/>
            </w:tcBorders>
            <w:shd w:fill="FDEBD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Hipercatabolismo extremo; monitorar NUU</w:t>
            </w:r>
          </w:p>
        </w:tc>
      </w:tr>
      <w:tr>
        <w:tc>
          <w:tcPr>
            <w:tcW w:type="dxa" w:w="312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Obeso (IMC ≥ 30)</w:t>
            </w:r>
          </w:p>
        </w:tc>
        <w:tc>
          <w:tcPr>
            <w:tcW w:type="dxa" w:w="312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bCs/>
                <w:color w:val="2E5FA3"/>
                <w:sz w:val="20"/>
                <w:szCs w:val="20"/>
              </w:rPr>
              <w:t xml:space="preserve">2,0 g/kg peso ideal/dia</w:t>
            </w:r>
          </w:p>
        </w:tc>
        <w:tc>
          <w:tcPr>
            <w:tcW w:type="dxa" w:w="312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Usar peso ideal ou ajustado; dieta hipocalórica-hiperproteica</w:t>
            </w:r>
          </w:p>
        </w:tc>
      </w:tr>
      <w:tr>
        <w:tc>
          <w:tcPr>
            <w:tcW w:type="dxa" w:w="312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IRA em TRS (diálise/CRRT)</w:t>
            </w:r>
          </w:p>
        </w:tc>
        <w:tc>
          <w:tcPr>
            <w:tcW w:type="dxa" w:w="312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bCs/>
                <w:color w:val="C0392B"/>
                <w:sz w:val="20"/>
                <w:szCs w:val="20"/>
              </w:rPr>
              <w:t xml:space="preserve">2,0 – 2,5 g/kg/dia</w:t>
            </w:r>
          </w:p>
        </w:tc>
        <w:tc>
          <w:tcPr>
            <w:tcW w:type="dxa" w:w="312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TRS remove aminoácidos; NÃO reduzir proteína pela diálise</w:t>
            </w:r>
          </w:p>
        </w:tc>
      </w:tr>
      <w:tr>
        <w:tc>
          <w:tcPr>
            <w:tcW w:type="dxa" w:w="3120"/>
            <w:gridSpan w:val="1"/>
            <w:tcBorders>
              <w:top w:val="single" w:color="BBBBBB" w:sz="1"/>
              <w:left w:val="single" w:color="BBBBBB" w:sz="1"/>
              <w:bottom w:val="single" w:color="BBBBBB" w:sz="1"/>
              <w:right w:val="single" w:color="BBBBBB" w:sz="1"/>
            </w:tcBorders>
            <w:shd w:fill="FADBD8"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IRA sem TRS</w:t>
            </w:r>
          </w:p>
        </w:tc>
        <w:tc>
          <w:tcPr>
            <w:tcW w:type="dxa" w:w="3120"/>
            <w:gridSpan w:val="1"/>
            <w:tcBorders>
              <w:top w:val="single" w:color="BBBBBB" w:sz="1"/>
              <w:left w:val="single" w:color="BBBBBB" w:sz="1"/>
              <w:bottom w:val="single" w:color="BBBBBB" w:sz="1"/>
              <w:right w:val="single" w:color="BBBBBB" w:sz="1"/>
            </w:tcBorders>
            <w:shd w:fill="FADBD8" w:val="clear"/>
            <w:tcMar>
              <w:top w:type="dxa" w:w="80"/>
              <w:left w:type="dxa" w:w="120"/>
              <w:bottom w:type="dxa" w:w="80"/>
              <w:right w:type="dxa" w:w="120"/>
            </w:tcMar>
            <w:vAlign w:val="center"/>
          </w:tcPr>
          <w:p>
            <w:pPr>
              <w:jc w:val="left"/>
            </w:pPr>
            <w:r>
              <w:rPr>
                <w:rFonts w:ascii="Arial" w:cs="Arial" w:eastAsia="Arial" w:hAnsi="Arial"/>
                <w:b/>
                <w:bCs/>
                <w:color w:val="C0392B"/>
                <w:sz w:val="20"/>
                <w:szCs w:val="20"/>
              </w:rPr>
              <w:t xml:space="preserve">1,2 – 1,7 g/kg/dia</w:t>
            </w:r>
          </w:p>
        </w:tc>
        <w:tc>
          <w:tcPr>
            <w:tcW w:type="dxa" w:w="3120"/>
            <w:gridSpan w:val="1"/>
            <w:tcBorders>
              <w:top w:val="single" w:color="BBBBBB" w:sz="1"/>
              <w:left w:val="single" w:color="BBBBBB" w:sz="1"/>
              <w:bottom w:val="single" w:color="BBBBBB" w:sz="1"/>
              <w:right w:val="single" w:color="BBBBBB" w:sz="1"/>
            </w:tcBorders>
            <w:shd w:fill="FADBD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Não restringir abaixo de 1,2 g/kg; monitorar ureia e hipercalemia</w:t>
            </w:r>
          </w:p>
        </w:tc>
      </w:tr>
      <w:tr>
        <w:tc>
          <w:tcPr>
            <w:tcW w:type="dxa" w:w="3120"/>
            <w:gridSpan w:val="1"/>
            <w:tcBorders>
              <w:top w:val="single" w:color="BBBBBB" w:sz="1"/>
              <w:left w:val="single" w:color="BBBBBB" w:sz="1"/>
              <w:bottom w:val="single" w:color="BBBBBB" w:sz="1"/>
              <w:right w:val="single" w:color="BBBBBB" w:sz="1"/>
            </w:tcBorders>
            <w:shd w:fill="FDEBD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Insuficiência hepática / Cirrose</w:t>
            </w:r>
          </w:p>
        </w:tc>
        <w:tc>
          <w:tcPr>
            <w:tcW w:type="dxa" w:w="3120"/>
            <w:gridSpan w:val="1"/>
            <w:tcBorders>
              <w:top w:val="single" w:color="BBBBBB" w:sz="1"/>
              <w:left w:val="single" w:color="BBBBBB" w:sz="1"/>
              <w:bottom w:val="single" w:color="BBBBBB" w:sz="1"/>
              <w:right w:val="single" w:color="BBBBBB" w:sz="1"/>
            </w:tcBorders>
            <w:shd w:fill="FDEBD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1,2 – 1,5 g/kg/dia (NÃO restringir)</w:t>
            </w:r>
          </w:p>
        </w:tc>
        <w:tc>
          <w:tcPr>
            <w:tcW w:type="dxa" w:w="3120"/>
            <w:gridSpan w:val="1"/>
            <w:tcBorders>
              <w:top w:val="single" w:color="BBBBBB" w:sz="1"/>
              <w:left w:val="single" w:color="BBBBBB" w:sz="1"/>
              <w:bottom w:val="single" w:color="BBBBBB" w:sz="1"/>
              <w:right w:val="single" w:color="BBBBBB" w:sz="1"/>
            </w:tcBorders>
            <w:shd w:fill="FDEBD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Restrição de proteína AUMENTA encefalopatia e mortalidade (ESPEN 2019)</w:t>
            </w:r>
          </w:p>
        </w:tc>
      </w:tr>
      <w:tr>
        <w:tc>
          <w:tcPr>
            <w:tcW w:type="dxa" w:w="3120"/>
            <w:gridSpan w:val="1"/>
            <w:tcBorders>
              <w:top w:val="single" w:color="BBBBBB" w:sz="1"/>
              <w:left w:val="single" w:color="BBBBBB" w:sz="1"/>
              <w:bottom w:val="single" w:color="BBBBBB" w:sz="1"/>
              <w:right w:val="single" w:color="BBBBBB" w:sz="1"/>
            </w:tcBorders>
            <w:shd w:fill="D5F5E3"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Sarcopenia / UTI prolongada &gt; 7 dias</w:t>
            </w:r>
          </w:p>
        </w:tc>
        <w:tc>
          <w:tcPr>
            <w:tcW w:type="dxa" w:w="3120"/>
            <w:gridSpan w:val="1"/>
            <w:tcBorders>
              <w:top w:val="single" w:color="BBBBBB" w:sz="1"/>
              <w:left w:val="single" w:color="BBBBBB" w:sz="1"/>
              <w:bottom w:val="single" w:color="BBBBBB" w:sz="1"/>
              <w:right w:val="single" w:color="BBBBBB" w:sz="1"/>
            </w:tcBorders>
            <w:shd w:fill="D5F5E3" w:val="clear"/>
            <w:tcMar>
              <w:top w:type="dxa" w:w="80"/>
              <w:left w:type="dxa" w:w="120"/>
              <w:bottom w:type="dxa" w:w="80"/>
              <w:right w:type="dxa" w:w="120"/>
            </w:tcMar>
            <w:vAlign w:val="center"/>
          </w:tcPr>
          <w:p>
            <w:pPr>
              <w:jc w:val="left"/>
            </w:pPr>
            <w:r>
              <w:rPr>
                <w:rFonts w:ascii="Arial" w:cs="Arial" w:eastAsia="Arial" w:hAnsi="Arial"/>
                <w:b/>
                <w:bCs/>
                <w:color w:val="1E8449"/>
                <w:sz w:val="20"/>
                <w:szCs w:val="20"/>
              </w:rPr>
              <w:t xml:space="preserve">≥ 2,0 g/kg/dia</w:t>
            </w:r>
          </w:p>
        </w:tc>
        <w:tc>
          <w:tcPr>
            <w:tcW w:type="dxa" w:w="3120"/>
            <w:gridSpan w:val="1"/>
            <w:tcBorders>
              <w:top w:val="single" w:color="BBBBBB" w:sz="1"/>
              <w:left w:val="single" w:color="BBBBBB" w:sz="1"/>
              <w:bottom w:val="single" w:color="BBBBBB" w:sz="1"/>
              <w:right w:val="single" w:color="BBBBBB"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Prevenir wasting muscular; combinar com reabilitação precoce</w:t>
            </w:r>
          </w:p>
        </w:tc>
      </w:tr>
    </w:tbl>
    <w:p>
      <w:pPr>
        <w:spacing w:after="100" w:before="10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8"/>
              <w:left w:val="single" w:color="E67E22" w:sz="8"/>
              <w:bottom w:val="single" w:color="E67E22" w:sz="8"/>
              <w:right w:val="single" w:color="E67E22" w:sz="8"/>
            </w:tcBorders>
            <w:shd w:fill="FDEBD0" w:val="clear"/>
            <w:tcMar>
              <w:top w:type="dxa" w:w="120"/>
              <w:left w:type="dxa" w:w="200"/>
              <w:bottom w:type="dxa" w:w="120"/>
              <w:right w:type="dxa" w:w="200"/>
            </w:tcMar>
          </w:tcPr>
          <w:p>
            <w:r>
              <w:rPr>
                <w:rFonts w:ascii="Arial" w:cs="Arial" w:eastAsia="Arial" w:hAnsi="Arial"/>
                <w:b/>
                <w:bCs/>
                <w:color w:val="E67E22"/>
                <w:sz w:val="22"/>
                <w:szCs w:val="22"/>
              </w:rPr>
              <w:t xml:space="preserve">⚠ CÁLCULO DO PESO — PONTO DE PROVA TEMI</w:t>
            </w:r>
          </w:p>
          <w:p>
            <w:pPr>
              <w:spacing w:before="60"/>
            </w:pPr>
            <w:r>
              <w:rPr>
                <w:rFonts w:ascii="Arial" w:cs="Arial" w:eastAsia="Arial" w:hAnsi="Arial"/>
                <w:color w:val="000000"/>
                <w:sz w:val="20"/>
                <w:szCs w:val="20"/>
              </w:rPr>
              <w:t xml:space="preserve">CÁLCULO DO PESO: No obeso (IMC ≥ 30), usar Peso Ajustado = Peso Ideal + 0,4 × (Peso Atual − Peso Ideal). Para cálculo calórico, usar 11–14 kcal/kg peso ATUAL ou 22–25 kcal/kg peso IDEAL. NUNCA use o peso atual bruto no obeso para cálculo calórico (superestima e causa hiperglicemia grave).</w:t>
            </w:r>
          </w:p>
        </w:tc>
      </w:tr>
    </w:tbl>
    <w:p>
      <w:pPr>
        <w:spacing w:after="100" w:before="100"/>
      </w:pPr>
      <w:r>
        <w:rPr>
          <w:sz w:val="20"/>
          <w:szCs w:val="20"/>
        </w:rPr>
        <w:t xml:space="preserve"/>
      </w:r>
    </w:p>
    <w:p>
      <w:pPr>
        <w:pBdr>
          <w:bottom w:val="single" w:color="D6E4F0" w:sz="4" w:space="1"/>
        </w:pBdr>
        <w:spacing w:after="200" w:before="200"/>
      </w:pPr>
      <w:r>
        <w:t xml:space="preserve"/>
      </w:r>
    </w:p>
    <w:p>
      <w:pPr>
        <w:pStyle w:val="Heading1"/>
        <w:pBdr>
          <w:bottom w:val="single" w:color="2E5FA3" w:sz="8" w:space="4"/>
        </w:pBdr>
        <w:spacing w:after="160" w:before="320"/>
      </w:pPr>
      <w:r>
        <w:rPr>
          <w:rFonts w:ascii="Arial" w:cs="Arial" w:eastAsia="Arial" w:hAnsi="Arial"/>
          <w:b/>
          <w:bCs/>
          <w:color w:val="1B3A6B"/>
          <w:sz w:val="36"/>
          <w:szCs w:val="36"/>
        </w:rPr>
        <w:t xml:space="preserve">7. COMPOSIÇÃO DA NPT — MACRONUTRIENTES E PREPARAÇÕES</w:t>
      </w:r>
    </w:p>
    <w:p>
      <w:pPr>
        <w:pStyle w:val="Heading2"/>
        <w:spacing w:after="120" w:before="240"/>
      </w:pPr>
      <w:r>
        <w:rPr>
          <w:rFonts w:ascii="Arial" w:cs="Arial" w:eastAsia="Arial" w:hAnsi="Arial"/>
          <w:b/>
          <w:bCs/>
          <w:color w:val="2E5FA3"/>
          <w:sz w:val="28"/>
          <w:szCs w:val="28"/>
        </w:rPr>
        <w:t xml:space="preserve">7.1 Carboidratos (Glicose)</w:t>
      </w:r>
    </w:p>
    <w:p>
      <w:pPr>
        <w:pStyle w:val="ListParagraph"/>
        <w:numPr>
          <w:ilvl w:val="0"/>
          <w:numId w:val="2"/>
        </w:numPr>
        <w:spacing w:after="40" w:before="40"/>
      </w:pPr>
      <w:r>
        <w:rPr>
          <w:rFonts w:ascii="Arial" w:cs="Arial" w:eastAsia="Arial" w:hAnsi="Arial"/>
          <w:sz w:val="20"/>
          <w:szCs w:val="20"/>
        </w:rPr>
        <w:t xml:space="preserve">Fonte: Glicose monoidratada (1g = 3,4 kcal)</w:t>
      </w:r>
    </w:p>
    <w:p>
      <w:pPr>
        <w:pStyle w:val="ListParagraph"/>
        <w:numPr>
          <w:ilvl w:val="0"/>
          <w:numId w:val="2"/>
        </w:numPr>
        <w:spacing w:after="40" w:before="40"/>
      </w:pPr>
      <w:r>
        <w:rPr>
          <w:rFonts w:ascii="Arial" w:cs="Arial" w:eastAsia="Arial" w:hAnsi="Arial"/>
          <w:sz w:val="20"/>
          <w:szCs w:val="20"/>
        </w:rPr>
        <w:t xml:space="preserve">Dose: 3–5 g/kg/dia (máximo: 5–7 g/kg/dia); NÃO ultrapassar taxa de infusão de 5 mg/kg/min</w:t>
      </w:r>
    </w:p>
    <w:p>
      <w:pPr>
        <w:pStyle w:val="ListParagraph"/>
        <w:numPr>
          <w:ilvl w:val="0"/>
          <w:numId w:val="2"/>
        </w:numPr>
        <w:spacing w:after="40" w:before="40"/>
      </w:pPr>
      <w:r>
        <w:rPr>
          <w:rFonts w:ascii="Arial" w:cs="Arial" w:eastAsia="Arial" w:hAnsi="Arial"/>
          <w:sz w:val="20"/>
          <w:szCs w:val="20"/>
        </w:rPr>
        <w:t xml:space="preserve">Representa 50–60% do aporte calórico não-proteico</w:t>
      </w:r>
    </w:p>
    <w:p>
      <w:pPr>
        <w:pStyle w:val="ListParagraph"/>
        <w:numPr>
          <w:ilvl w:val="0"/>
          <w:numId w:val="2"/>
        </w:numPr>
        <w:spacing w:after="40" w:before="40"/>
      </w:pPr>
      <w:r>
        <w:rPr>
          <w:rFonts w:ascii="Arial" w:cs="Arial" w:eastAsia="Arial" w:hAnsi="Arial"/>
          <w:sz w:val="20"/>
          <w:szCs w:val="20"/>
        </w:rPr>
        <w:t xml:space="preserve">Hiperglicemia &gt; 180 mg/dL: reduzir glicose na fórmula + insulina regular na NPT ou em bomba separada</w:t>
      </w:r>
    </w:p>
    <w:p>
      <w:pPr>
        <w:pStyle w:val="ListParagraph"/>
        <w:numPr>
          <w:ilvl w:val="0"/>
          <w:numId w:val="2"/>
        </w:numPr>
        <w:spacing w:after="40" w:before="40"/>
      </w:pPr>
      <w:r>
        <w:rPr>
          <w:rFonts w:ascii="Arial" w:cs="Arial" w:eastAsia="Arial" w:hAnsi="Arial"/>
          <w:sz w:val="20"/>
          <w:szCs w:val="20"/>
        </w:rPr>
        <w:t xml:space="preserve">Soluções disponíveis: SG 10%, SG 25%, SG 50% — diluídas conforme osmolaridade planejada</w:t>
      </w:r>
    </w:p>
    <w:p>
      <w:pPr>
        <w:spacing w:after="40" w:before="60"/>
      </w:pPr>
      <w:r>
        <w:rPr>
          <w:sz w:val="20"/>
          <w:szCs w:val="20"/>
        </w:rPr>
        <w:t xml:space="preserve"/>
      </w:r>
    </w:p>
    <w:p>
      <w:pPr>
        <w:pStyle w:val="Heading2"/>
        <w:spacing w:after="120" w:before="240"/>
      </w:pPr>
      <w:r>
        <w:rPr>
          <w:rFonts w:ascii="Arial" w:cs="Arial" w:eastAsia="Arial" w:hAnsi="Arial"/>
          <w:b/>
          <w:bCs/>
          <w:color w:val="2E5FA3"/>
          <w:sz w:val="28"/>
          <w:szCs w:val="28"/>
        </w:rPr>
        <w:t xml:space="preserve">7.2 Lipídeos (Emulsões Lipídicas)</w:t>
      </w:r>
    </w:p>
    <w:p>
      <w:pPr>
        <w:pStyle w:val="ListParagraph"/>
        <w:numPr>
          <w:ilvl w:val="0"/>
          <w:numId w:val="2"/>
        </w:numPr>
        <w:spacing w:after="40" w:before="40"/>
      </w:pPr>
      <w:r>
        <w:rPr>
          <w:rFonts w:ascii="Arial" w:cs="Arial" w:eastAsia="Arial" w:hAnsi="Arial"/>
          <w:sz w:val="20"/>
          <w:szCs w:val="20"/>
        </w:rPr>
        <w:t xml:space="preserve">Dose: 1–1,5 g/kg/dia (máximo: 2 g/kg/dia); não ultrapassar 0,1 g/kg/h</w:t>
      </w:r>
    </w:p>
    <w:p>
      <w:pPr>
        <w:pStyle w:val="ListParagraph"/>
        <w:numPr>
          <w:ilvl w:val="0"/>
          <w:numId w:val="2"/>
        </w:numPr>
        <w:spacing w:after="40" w:before="40"/>
      </w:pPr>
      <w:r>
        <w:rPr>
          <w:rFonts w:ascii="Arial" w:cs="Arial" w:eastAsia="Arial" w:hAnsi="Arial"/>
          <w:sz w:val="20"/>
          <w:szCs w:val="20"/>
        </w:rPr>
        <w:t xml:space="preserve">Representa 30–40% das calorias não-proteicas</w:t>
      </w:r>
    </w:p>
    <w:p>
      <w:pPr>
        <w:pStyle w:val="ListParagraph"/>
        <w:numPr>
          <w:ilvl w:val="0"/>
          <w:numId w:val="2"/>
        </w:numPr>
        <w:spacing w:after="40" w:before="40"/>
      </w:pPr>
      <w:r>
        <w:rPr>
          <w:rFonts w:ascii="Arial" w:cs="Arial" w:eastAsia="Arial" w:hAnsi="Arial"/>
          <w:sz w:val="20"/>
          <w:szCs w:val="20"/>
        </w:rPr>
        <w:t xml:space="preserve">CONTRAINDICAR se TG &gt; 400 mg/dL; SUSPENDER se TG &gt; 500 mg/dL durante uso</w:t>
      </w:r>
    </w:p>
    <w:p>
      <w:pPr>
        <w:spacing w:after="20" w:before="40"/>
      </w:pPr>
      <w:r>
        <w:rPr>
          <w:sz w:val="20"/>
          <w:szCs w:val="20"/>
        </w:rPr>
        <w:t xml:space="preserve"/>
      </w:r>
    </w:p>
    <w:p>
      <w:pPr>
        <w:pStyle w:val="Heading3"/>
        <w:spacing w:after="80" w:before="180"/>
      </w:pPr>
      <w:r>
        <w:rPr>
          <w:rFonts w:ascii="Arial" w:cs="Arial" w:eastAsia="Arial" w:hAnsi="Arial"/>
          <w:b/>
          <w:bCs/>
          <w:color w:val="1B3A6B"/>
          <w:sz w:val="24"/>
          <w:szCs w:val="24"/>
        </w:rPr>
        <w:t xml:space="preserve">Gerações de Emulsões Lipídicas:</w:t>
      </w:r>
    </w:p>
    <w:p>
      <w:pPr>
        <w:pStyle w:val="ListParagraph"/>
        <w:numPr>
          <w:ilvl w:val="1"/>
          <w:numId w:val="2"/>
        </w:numPr>
        <w:spacing w:after="40" w:before="40"/>
      </w:pPr>
      <w:r>
        <w:rPr>
          <w:rFonts w:ascii="Arial" w:cs="Arial" w:eastAsia="Arial" w:hAnsi="Arial"/>
          <w:sz w:val="20"/>
          <w:szCs w:val="20"/>
        </w:rPr>
        <w:t xml:space="preserve">1ª geração — LCT soja puro (Intralipid®): alto ômega-6; pró-inflamatório; uso decrescente em UTI</w:t>
      </w:r>
    </w:p>
    <w:p>
      <w:pPr>
        <w:pStyle w:val="ListParagraph"/>
        <w:numPr>
          <w:ilvl w:val="1"/>
          <w:numId w:val="2"/>
        </w:numPr>
        <w:spacing w:after="40" w:before="40"/>
      </w:pPr>
      <w:r>
        <w:rPr>
          <w:rFonts w:ascii="Arial" w:cs="Arial" w:eastAsia="Arial" w:hAnsi="Arial"/>
          <w:sz w:val="20"/>
          <w:szCs w:val="20"/>
        </w:rPr>
        <w:t xml:space="preserve">2ª geração — MCT/LCT mistos (Lipofundin®): melhor oxidação; reduz sobrecarga hepática</w:t>
      </w:r>
    </w:p>
    <w:p>
      <w:pPr>
        <w:pStyle w:val="ListParagraph"/>
        <w:numPr>
          <w:ilvl w:val="1"/>
          <w:numId w:val="2"/>
        </w:numPr>
        <w:spacing w:after="40" w:before="40"/>
      </w:pPr>
      <w:r>
        <w:rPr>
          <w:rFonts w:ascii="Arial" w:cs="Arial" w:eastAsia="Arial" w:hAnsi="Arial"/>
          <w:sz w:val="20"/>
          <w:szCs w:val="20"/>
        </w:rPr>
        <w:t xml:space="preserve">3ª geração — Olive oil + LCT (ClinOleic®, SMOFlipid®): maior ômega-9 (MUFA); antiinflamatório; preferido em hepatopatia</w:t>
      </w:r>
    </w:p>
    <w:p>
      <w:pPr>
        <w:pStyle w:val="ListParagraph"/>
        <w:numPr>
          <w:ilvl w:val="1"/>
          <w:numId w:val="2"/>
        </w:numPr>
        <w:spacing w:after="40" w:before="40"/>
      </w:pPr>
      <w:r>
        <w:rPr>
          <w:rFonts w:ascii="Arial" w:cs="Arial" w:eastAsia="Arial" w:hAnsi="Arial"/>
          <w:sz w:val="20"/>
          <w:szCs w:val="20"/>
        </w:rPr>
        <w:t xml:space="preserve">4ª geração — SMOF (soja + MCT + oliva + peixe — SMOFlipid®): ômega-3 EPA/DHA; imunomodulador; MELHOR opção em UTI conforme ESPEN 2023</w:t>
      </w:r>
    </w:p>
    <w:p>
      <w:pPr>
        <w:spacing w:after="40" w:before="60"/>
      </w:pPr>
      <w:r>
        <w:rPr>
          <w:sz w:val="20"/>
          <w:szCs w:val="20"/>
        </w:rPr>
        <w:t xml:space="preserve"/>
      </w:r>
    </w:p>
    <w:p>
      <w:pPr>
        <w:pStyle w:val="Heading2"/>
        <w:spacing w:after="120" w:before="240"/>
      </w:pPr>
      <w:r>
        <w:rPr>
          <w:rFonts w:ascii="Arial" w:cs="Arial" w:eastAsia="Arial" w:hAnsi="Arial"/>
          <w:b/>
          <w:bCs/>
          <w:color w:val="2E5FA3"/>
          <w:sz w:val="28"/>
          <w:szCs w:val="28"/>
        </w:rPr>
        <w:t xml:space="preserve">7.3 Aminoácidos (Proteínas)</w:t>
      </w:r>
    </w:p>
    <w:p>
      <w:pPr>
        <w:pStyle w:val="ListParagraph"/>
        <w:numPr>
          <w:ilvl w:val="0"/>
          <w:numId w:val="2"/>
        </w:numPr>
        <w:spacing w:after="40" w:before="40"/>
      </w:pPr>
      <w:r>
        <w:rPr>
          <w:rFonts w:ascii="Arial" w:cs="Arial" w:eastAsia="Arial" w:hAnsi="Arial"/>
          <w:sz w:val="20"/>
          <w:szCs w:val="20"/>
        </w:rPr>
        <w:t xml:space="preserve">1 g de proteína = 4 kcal (não contabilizar nas calorias não-proteicas na formulação)</w:t>
      </w:r>
    </w:p>
    <w:p>
      <w:pPr>
        <w:pStyle w:val="ListParagraph"/>
        <w:numPr>
          <w:ilvl w:val="0"/>
          <w:numId w:val="2"/>
        </w:numPr>
        <w:spacing w:after="40" w:before="40"/>
      </w:pPr>
      <w:r>
        <w:rPr>
          <w:rFonts w:ascii="Arial" w:cs="Arial" w:eastAsia="Arial" w:hAnsi="Arial"/>
          <w:sz w:val="20"/>
          <w:szCs w:val="20"/>
        </w:rPr>
        <w:t xml:space="preserve">Soluções padrão: Aminoplasmal® / Aminoven® / Freamine® — soluções cristalinas 10–15%</w:t>
      </w:r>
    </w:p>
    <w:p>
      <w:pPr>
        <w:pStyle w:val="ListParagraph"/>
        <w:numPr>
          <w:ilvl w:val="0"/>
          <w:numId w:val="2"/>
        </w:numPr>
        <w:spacing w:after="40" w:before="40"/>
      </w:pPr>
      <w:r>
        <w:rPr>
          <w:rFonts w:ascii="Arial" w:cs="Arial" w:eastAsia="Arial" w:hAnsi="Arial"/>
          <w:sz w:val="20"/>
          <w:szCs w:val="20"/>
        </w:rPr>
        <w:t xml:space="preserve">Fórmulas específicas:</w:t>
      </w:r>
    </w:p>
    <w:p>
      <w:pPr>
        <w:pStyle w:val="ListParagraph"/>
        <w:numPr>
          <w:ilvl w:val="1"/>
          <w:numId w:val="2"/>
        </w:numPr>
        <w:spacing w:after="40" w:before="40"/>
      </w:pPr>
      <w:r>
        <w:rPr>
          <w:rFonts w:ascii="Arial" w:cs="Arial" w:eastAsia="Arial" w:hAnsi="Arial"/>
          <w:sz w:val="20"/>
          <w:szCs w:val="20"/>
        </w:rPr>
        <w:t xml:space="preserve">Aminoácidos de cadeia ramificada (BCAA — Leucina, Isoleucina, Valina): hepatopatia grave / encefalopatia hepática</w:t>
      </w:r>
    </w:p>
    <w:p>
      <w:pPr>
        <w:pStyle w:val="ListParagraph"/>
        <w:numPr>
          <w:ilvl w:val="1"/>
          <w:numId w:val="2"/>
        </w:numPr>
        <w:spacing w:after="40" w:before="40"/>
      </w:pPr>
      <w:r>
        <w:rPr>
          <w:rFonts w:ascii="Arial" w:cs="Arial" w:eastAsia="Arial" w:hAnsi="Arial"/>
          <w:sz w:val="20"/>
          <w:szCs w:val="20"/>
        </w:rPr>
        <w:t xml:space="preserve">Aminoácidos renais (EAA enriquecidos — Nephramine®): IRA sem TRS — uso controverso; ESPEN não recomenda formulações especiais para rins</w:t>
      </w:r>
    </w:p>
    <w:p>
      <w:pPr>
        <w:pStyle w:val="ListParagraph"/>
        <w:numPr>
          <w:ilvl w:val="1"/>
          <w:numId w:val="2"/>
        </w:numPr>
        <w:spacing w:after="40" w:before="40"/>
      </w:pPr>
      <w:r>
        <w:rPr>
          <w:rFonts w:ascii="Arial" w:cs="Arial" w:eastAsia="Arial" w:hAnsi="Arial"/>
          <w:sz w:val="20"/>
          <w:szCs w:val="20"/>
        </w:rPr>
        <w:t xml:space="preserve">Glutamina EV (Dipeptiven® 20% — Ala-Gln 0,3–0,5 g/kg/dia): indicado apenas em queimados e trauma — NÃO usar em choque ou FMO (REDOXS 2013)</w:t>
      </w:r>
    </w:p>
    <w:p>
      <w:pPr>
        <w:spacing w:after="100" w:before="10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8"/>
              <w:left w:val="single" w:color="C0392B" w:sz="8"/>
              <w:bottom w:val="single" w:color="C0392B" w:sz="8"/>
              <w:right w:val="single" w:color="C0392B" w:sz="8"/>
            </w:tcBorders>
            <w:shd w:fill="FADBD8" w:val="clear"/>
            <w:tcMar>
              <w:top w:type="dxa" w:w="120"/>
              <w:left w:type="dxa" w:w="200"/>
              <w:bottom w:type="dxa" w:w="120"/>
              <w:right w:type="dxa" w:w="200"/>
            </w:tcMar>
          </w:tcPr>
          <w:p>
            <w:r>
              <w:rPr>
                <w:rFonts w:ascii="Arial" w:cs="Arial" w:eastAsia="Arial" w:hAnsi="Arial"/>
                <w:b/>
                <w:bCs/>
                <w:color w:val="C0392B"/>
                <w:sz w:val="22"/>
                <w:szCs w:val="22"/>
              </w:rPr>
              <w:t xml:space="preserve">⚠ ALERTA — GLUTAMINA EV: USO RESTRITO EM UTI</w:t>
            </w:r>
          </w:p>
          <w:p>
            <w:pPr>
              <w:spacing w:before="60"/>
            </w:pPr>
            <w:r>
              <w:rPr>
                <w:rFonts w:ascii="Arial" w:cs="Arial" w:eastAsia="Arial" w:hAnsi="Arial"/>
                <w:color w:val="000000"/>
                <w:sz w:val="20"/>
                <w:szCs w:val="20"/>
              </w:rPr>
              <w:t xml:space="preserve">GLUTAMINA PARENTERAL EM UTI: Após os estudos REDOXS (2013) e METAPLUS (2014), a suplementação de glutamina EV está CONTRAINDICADA em falência de múltiplos órgãos e choque. Usar APENAS em queimados graves ou trauma com TGI não funcionante. Dose: 0,3–0,5 g/kg/dia como dipeptídeo.</w:t>
            </w:r>
          </w:p>
        </w:tc>
      </w:tr>
    </w:tbl>
    <w:p>
      <w:pPr>
        <w:spacing w:after="40" w:before="80"/>
      </w:pPr>
      <w:r>
        <w:rPr>
          <w:sz w:val="20"/>
          <w:szCs w:val="20"/>
        </w:rPr>
        <w:t xml:space="preserve"/>
      </w:r>
    </w:p>
    <w:p>
      <w:pPr>
        <w:pStyle w:val="Heading2"/>
        <w:spacing w:after="120" w:before="240"/>
      </w:pPr>
      <w:r>
        <w:rPr>
          <w:rFonts w:ascii="Arial" w:cs="Arial" w:eastAsia="Arial" w:hAnsi="Arial"/>
          <w:b/>
          <w:bCs/>
          <w:color w:val="2E5FA3"/>
          <w:sz w:val="28"/>
          <w:szCs w:val="28"/>
        </w:rPr>
        <w:t xml:space="preserve">7.4 Sistemas de Preparação</w:t>
      </w:r>
    </w:p>
    <w:p>
      <w:pPr>
        <w:pStyle w:val="Heading3"/>
        <w:spacing w:after="80" w:before="180"/>
      </w:pPr>
      <w:r>
        <w:rPr>
          <w:rFonts w:ascii="Arial" w:cs="Arial" w:eastAsia="Arial" w:hAnsi="Arial"/>
          <w:b/>
          <w:bCs/>
          <w:color w:val="1B3A6B"/>
          <w:sz w:val="24"/>
          <w:szCs w:val="24"/>
        </w:rPr>
        <w:t xml:space="preserve">Saco 3 em 1 (All-in-One / TNA):</w:t>
      </w:r>
    </w:p>
    <w:p>
      <w:pPr>
        <w:pStyle w:val="ListParagraph"/>
        <w:numPr>
          <w:ilvl w:val="0"/>
          <w:numId w:val="2"/>
        </w:numPr>
        <w:spacing w:after="40" w:before="40"/>
      </w:pPr>
      <w:r>
        <w:rPr>
          <w:rFonts w:ascii="Arial" w:cs="Arial" w:eastAsia="Arial" w:hAnsi="Arial"/>
          <w:sz w:val="20"/>
          <w:szCs w:val="20"/>
        </w:rPr>
        <w:t xml:space="preserve">Glicose + aminoácidos + lipídeos + eletrólitos + vitaminas + oligoelementos em bolsa única</w:t>
      </w:r>
    </w:p>
    <w:p>
      <w:pPr>
        <w:pStyle w:val="ListParagraph"/>
        <w:numPr>
          <w:ilvl w:val="0"/>
          <w:numId w:val="2"/>
        </w:numPr>
        <w:spacing w:after="40" w:before="40"/>
      </w:pPr>
      <w:r>
        <w:rPr>
          <w:rFonts w:ascii="Arial" w:cs="Arial" w:eastAsia="Arial" w:hAnsi="Arial"/>
          <w:sz w:val="20"/>
          <w:szCs w:val="20"/>
        </w:rPr>
        <w:t xml:space="preserve">Vantagem: praticidade, menor risco de contaminação, menor custo de enfermagem</w:t>
      </w:r>
    </w:p>
    <w:p>
      <w:pPr>
        <w:pStyle w:val="ListParagraph"/>
        <w:numPr>
          <w:ilvl w:val="0"/>
          <w:numId w:val="2"/>
        </w:numPr>
        <w:spacing w:after="40" w:before="40"/>
      </w:pPr>
      <w:r>
        <w:rPr>
          <w:rFonts w:ascii="Arial" w:cs="Arial" w:eastAsia="Arial" w:hAnsi="Arial"/>
          <w:sz w:val="20"/>
          <w:szCs w:val="20"/>
        </w:rPr>
        <w:t xml:space="preserve">Desvantagem: instabilidade da emulsão lipídica se pH inadequado; incompatibilidades com certos fármacos</w:t>
      </w:r>
    </w:p>
    <w:p>
      <w:pPr>
        <w:pStyle w:val="ListParagraph"/>
        <w:numPr>
          <w:ilvl w:val="0"/>
          <w:numId w:val="2"/>
        </w:numPr>
        <w:spacing w:after="40" w:before="40"/>
      </w:pPr>
      <w:r>
        <w:rPr>
          <w:rFonts w:ascii="Arial" w:cs="Arial" w:eastAsia="Arial" w:hAnsi="Arial"/>
          <w:sz w:val="20"/>
          <w:szCs w:val="20"/>
        </w:rPr>
        <w:t xml:space="preserve">Estabilidade: 24–72h (refrigerado 2–8°C); verificar aparência antes de infundir (NUNCA infundir se aspecto oleoso ou precipitado)</w:t>
      </w:r>
    </w:p>
    <w:p>
      <w:pPr>
        <w:spacing w:after="40" w:before="60"/>
      </w:pPr>
      <w:r>
        <w:rPr>
          <w:sz w:val="20"/>
          <w:szCs w:val="20"/>
        </w:rPr>
        <w:t xml:space="preserve"/>
      </w:r>
    </w:p>
    <w:p>
      <w:pPr>
        <w:pStyle w:val="Heading3"/>
        <w:spacing w:after="80" w:before="180"/>
      </w:pPr>
      <w:r>
        <w:rPr>
          <w:rFonts w:ascii="Arial" w:cs="Arial" w:eastAsia="Arial" w:hAnsi="Arial"/>
          <w:b/>
          <w:bCs/>
          <w:color w:val="1B3A6B"/>
          <w:sz w:val="24"/>
          <w:szCs w:val="24"/>
        </w:rPr>
        <w:t xml:space="preserve">Saco 2 em 1 + Lipídeo Separado:</w:t>
      </w:r>
    </w:p>
    <w:p>
      <w:pPr>
        <w:pStyle w:val="ListParagraph"/>
        <w:numPr>
          <w:ilvl w:val="0"/>
          <w:numId w:val="2"/>
        </w:numPr>
        <w:spacing w:after="40" w:before="40"/>
      </w:pPr>
      <w:r>
        <w:rPr>
          <w:rFonts w:ascii="Arial" w:cs="Arial" w:eastAsia="Arial" w:hAnsi="Arial"/>
          <w:sz w:val="20"/>
          <w:szCs w:val="20"/>
        </w:rPr>
        <w:t xml:space="preserve">Aminoácidos + glicose em uma bolsa; lipídeos em frasco/bolsa separada (Y-set ou via separada)</w:t>
      </w:r>
    </w:p>
    <w:p>
      <w:pPr>
        <w:pStyle w:val="ListParagraph"/>
        <w:numPr>
          <w:ilvl w:val="0"/>
          <w:numId w:val="2"/>
        </w:numPr>
        <w:spacing w:after="40" w:before="40"/>
      </w:pPr>
      <w:r>
        <w:rPr>
          <w:rFonts w:ascii="Arial" w:cs="Arial" w:eastAsia="Arial" w:hAnsi="Arial"/>
          <w:sz w:val="20"/>
          <w:szCs w:val="20"/>
        </w:rPr>
        <w:t xml:space="preserve">Vantagem: maior estabilidade individual; lipídeos em bomba própria</w:t>
      </w:r>
    </w:p>
    <w:p>
      <w:pPr>
        <w:pStyle w:val="ListParagraph"/>
        <w:numPr>
          <w:ilvl w:val="0"/>
          <w:numId w:val="2"/>
        </w:numPr>
        <w:spacing w:after="40" w:before="40"/>
      </w:pPr>
      <w:r>
        <w:rPr>
          <w:rFonts w:ascii="Arial" w:cs="Arial" w:eastAsia="Arial" w:hAnsi="Arial"/>
          <w:sz w:val="20"/>
          <w:szCs w:val="20"/>
        </w:rPr>
        <w:t xml:space="preserve">Desvantagem: dois sistemas de infusão; maior custo; maior risco de erro</w:t>
      </w:r>
    </w:p>
    <w:p>
      <w:pPr>
        <w:spacing w:after="40" w:before="60"/>
      </w:pPr>
      <w:r>
        <w:rPr>
          <w:sz w:val="20"/>
          <w:szCs w:val="20"/>
        </w:rPr>
        <w:t xml:space="preserve"/>
      </w:r>
    </w:p>
    <w:p>
      <w:pPr>
        <w:pStyle w:val="Heading3"/>
        <w:spacing w:after="80" w:before="180"/>
      </w:pPr>
      <w:r>
        <w:rPr>
          <w:rFonts w:ascii="Arial" w:cs="Arial" w:eastAsia="Arial" w:hAnsi="Arial"/>
          <w:b/>
          <w:bCs/>
          <w:color w:val="1B3A6B"/>
          <w:sz w:val="24"/>
          <w:szCs w:val="24"/>
        </w:rPr>
        <w:t xml:space="preserve">Fórmulas Industrializadas (Câmaras Múltiplas):</w:t>
      </w:r>
    </w:p>
    <w:p>
      <w:pPr>
        <w:pStyle w:val="ListParagraph"/>
        <w:numPr>
          <w:ilvl w:val="0"/>
          <w:numId w:val="2"/>
        </w:numPr>
        <w:spacing w:after="40" w:before="40"/>
      </w:pPr>
      <w:r>
        <w:rPr>
          <w:rFonts w:ascii="Arial" w:cs="Arial" w:eastAsia="Arial" w:hAnsi="Arial"/>
          <w:sz w:val="20"/>
          <w:szCs w:val="20"/>
        </w:rPr>
        <w:t xml:space="preserve">Oliclinomel® (Baxter): bolsas multicâmaras com glicose + AA ± lipídeos; mix na quebra da câmara</w:t>
      </w:r>
    </w:p>
    <w:p>
      <w:pPr>
        <w:pStyle w:val="ListParagraph"/>
        <w:numPr>
          <w:ilvl w:val="0"/>
          <w:numId w:val="2"/>
        </w:numPr>
        <w:spacing w:after="40" w:before="40"/>
      </w:pPr>
      <w:r>
        <w:rPr>
          <w:rFonts w:ascii="Arial" w:cs="Arial" w:eastAsia="Arial" w:hAnsi="Arial"/>
          <w:sz w:val="20"/>
          <w:szCs w:val="20"/>
        </w:rPr>
        <w:t xml:space="preserve">Olimel®, Kabiven®, Nutriflex®: variedades comerciais com diferentes concentrações</w:t>
      </w:r>
    </w:p>
    <w:p>
      <w:pPr>
        <w:pStyle w:val="ListParagraph"/>
        <w:numPr>
          <w:ilvl w:val="0"/>
          <w:numId w:val="2"/>
        </w:numPr>
        <w:spacing w:after="40" w:before="40"/>
      </w:pPr>
      <w:r>
        <w:rPr>
          <w:rFonts w:ascii="Arial" w:cs="Arial" w:eastAsia="Arial" w:hAnsi="Arial"/>
          <w:sz w:val="20"/>
          <w:szCs w:val="20"/>
        </w:rPr>
        <w:t xml:space="preserve">Vantagem: praticidade; menor risco de contaminação em preparo; disponibilidade hospitalar</w:t>
      </w:r>
    </w:p>
    <w:p>
      <w:pPr>
        <w:pStyle w:val="ListParagraph"/>
        <w:numPr>
          <w:ilvl w:val="0"/>
          <w:numId w:val="2"/>
        </w:numPr>
        <w:spacing w:after="40" w:before="40"/>
      </w:pPr>
      <w:r>
        <w:rPr>
          <w:rFonts w:ascii="Arial" w:cs="Arial" w:eastAsia="Arial" w:hAnsi="Arial"/>
          <w:sz w:val="20"/>
          <w:szCs w:val="20"/>
        </w:rPr>
        <w:t xml:space="preserve">Desvantagem: menor personalização de eletrólitos; adição de eletrólitos extras exige cuidado de compatibilidade</w:t>
      </w:r>
    </w:p>
    <w:p>
      <w:pPr>
        <w:spacing w:after="100" w:before="100"/>
      </w:pPr>
      <w:r>
        <w:rPr>
          <w:sz w:val="20"/>
          <w:szCs w:val="20"/>
        </w:rPr>
        <w:t xml:space="preserve"/>
      </w:r>
    </w:p>
    <w:p>
      <w:pPr>
        <w:pBdr>
          <w:bottom w:val="single" w:color="D6E4F0" w:sz="4" w:space="1"/>
        </w:pBdr>
        <w:spacing w:after="200" w:before="200"/>
      </w:pPr>
      <w:r>
        <w:t xml:space="preserve"/>
      </w:r>
    </w:p>
    <w:p>
      <w:pPr>
        <w:pStyle w:val="Heading1"/>
        <w:pBdr>
          <w:bottom w:val="single" w:color="2E5FA3" w:sz="8" w:space="4"/>
        </w:pBdr>
        <w:spacing w:after="160" w:before="320"/>
      </w:pPr>
      <w:r>
        <w:rPr>
          <w:rFonts w:ascii="Arial" w:cs="Arial" w:eastAsia="Arial" w:hAnsi="Arial"/>
          <w:b/>
          <w:bCs/>
          <w:color w:val="1B3A6B"/>
          <w:sz w:val="36"/>
          <w:szCs w:val="36"/>
        </w:rPr>
        <w:t xml:space="preserve">8. PRESCRIÇÃO PRÁTICA DA NPT — PASSO A PASSO</w:t>
      </w:r>
    </w:p>
    <w:p>
      <w:pPr>
        <w:pStyle w:val="Heading2"/>
        <w:spacing w:after="120" w:before="240"/>
      </w:pPr>
      <w:r>
        <w:rPr>
          <w:rFonts w:ascii="Arial" w:cs="Arial" w:eastAsia="Arial" w:hAnsi="Arial"/>
          <w:b/>
          <w:bCs/>
          <w:color w:val="2E5FA3"/>
          <w:sz w:val="28"/>
          <w:szCs w:val="28"/>
        </w:rPr>
        <w:t xml:space="preserve">8.1 Modelo de Cálculo — Exemplo Clínico</w:t>
      </w:r>
    </w:p>
    <w:p>
      <w:pPr>
        <w:spacing w:after="60" w:before="60"/>
        <w:jc w:val="both"/>
      </w:pPr>
      <w:r>
        <w:rPr>
          <w:rFonts w:ascii="Arial" w:cs="Arial" w:eastAsia="Arial" w:hAnsi="Arial"/>
          <w:b w:val="false"/>
          <w:bCs w:val="false"/>
          <w:color w:val="000000"/>
          <w:sz w:val="20"/>
          <w:szCs w:val="20"/>
        </w:rPr>
        <w:t xml:space="preserve">Paciente: 70 kg, homem, séptico, fase estabilização (D5 UTI), NE impossível por íleo paralítico.</w:t>
      </w:r>
    </w:p>
    <w:p>
      <w:pPr>
        <w:spacing w:after="20" w:before="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COMPONENTE</w:t>
            </w:r>
          </w:p>
        </w:tc>
        <w:tc>
          <w:tcPr>
            <w:tcW w:type="dxa" w:w="2340"/>
            <w:gridSpan w:val="1"/>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META</w:t>
            </w:r>
          </w:p>
        </w:tc>
        <w:tc>
          <w:tcPr>
            <w:tcW w:type="dxa" w:w="2340"/>
            <w:gridSpan w:val="1"/>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CÁLCULO (70 kg)</w:t>
            </w:r>
          </w:p>
        </w:tc>
        <w:tc>
          <w:tcPr>
            <w:tcW w:type="dxa" w:w="2340"/>
            <w:gridSpan w:val="1"/>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RESULTADO</w:t>
            </w:r>
          </w:p>
        </w:tc>
      </w:tr>
      <w:tr>
        <w:tc>
          <w:tcPr>
            <w:tcW w:type="dxa" w:w="234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Calorias totais</w:t>
            </w:r>
          </w:p>
        </w:tc>
        <w:tc>
          <w:tcPr>
            <w:tcW w:type="dxa" w:w="234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22 kcal/kg/dia</w:t>
            </w:r>
          </w:p>
        </w:tc>
        <w:tc>
          <w:tcPr>
            <w:tcW w:type="dxa" w:w="234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22 × 70 = 1540 kcal/dia</w:t>
            </w:r>
          </w:p>
        </w:tc>
        <w:tc>
          <w:tcPr>
            <w:tcW w:type="dxa" w:w="234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bCs/>
                <w:color w:val="2E5FA3"/>
                <w:sz w:val="20"/>
                <w:szCs w:val="20"/>
              </w:rPr>
              <w:t xml:space="preserve">1540 kcal/dia</w:t>
            </w:r>
          </w:p>
        </w:tc>
      </w:tr>
      <w:tr>
        <w:tc>
          <w:tcPr>
            <w:tcW w:type="dxa" w:w="234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Glicose (55% das kcal)</w:t>
            </w:r>
          </w:p>
        </w:tc>
        <w:tc>
          <w:tcPr>
            <w:tcW w:type="dxa" w:w="234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 g/kg/dia</w:t>
            </w:r>
          </w:p>
        </w:tc>
        <w:tc>
          <w:tcPr>
            <w:tcW w:type="dxa" w:w="234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 × 70 = 280 g → 280 × 3,4 = 952 kcal</w:t>
            </w:r>
          </w:p>
        </w:tc>
        <w:tc>
          <w:tcPr>
            <w:tcW w:type="dxa" w:w="234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280 g glicose anidra</w:t>
            </w:r>
          </w:p>
        </w:tc>
      </w:tr>
      <w:tr>
        <w:tc>
          <w:tcPr>
            <w:tcW w:type="dxa" w:w="234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Lipídeos (35% das kcal)</w:t>
            </w:r>
          </w:p>
        </w:tc>
        <w:tc>
          <w:tcPr>
            <w:tcW w:type="dxa" w:w="234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 g/kg/dia</w:t>
            </w:r>
          </w:p>
        </w:tc>
        <w:tc>
          <w:tcPr>
            <w:tcW w:type="dxa" w:w="234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 × 70 = 70 g → 70 × 9 = 630 kcal</w:t>
            </w:r>
          </w:p>
        </w:tc>
        <w:tc>
          <w:tcPr>
            <w:tcW w:type="dxa" w:w="234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70 g lipídeo</w:t>
            </w:r>
          </w:p>
        </w:tc>
      </w:tr>
      <w:tr>
        <w:tc>
          <w:tcPr>
            <w:tcW w:type="dxa" w:w="234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Aminoácidos (proteína)</w:t>
            </w:r>
          </w:p>
        </w:tc>
        <w:tc>
          <w:tcPr>
            <w:tcW w:type="dxa" w:w="234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1,5 g/kg/dia</w:t>
            </w:r>
          </w:p>
        </w:tc>
        <w:tc>
          <w:tcPr>
            <w:tcW w:type="dxa" w:w="234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1,5 × 70 = 105 g → 105 × 4 = 420 kcal (não conta)</w:t>
            </w:r>
          </w:p>
        </w:tc>
        <w:tc>
          <w:tcPr>
            <w:tcW w:type="dxa" w:w="234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105 g aminoácidos</w:t>
            </w:r>
          </w:p>
        </w:tc>
      </w:tr>
      <w:tr>
        <w:tc>
          <w:tcPr>
            <w:tcW w:type="dxa" w:w="2340"/>
            <w:gridSpan w:val="1"/>
            <w:tcBorders>
              <w:top w:val="single" w:color="BBBBBB" w:sz="1"/>
              <w:left w:val="single" w:color="BBBBBB" w:sz="1"/>
              <w:bottom w:val="single" w:color="BBBBBB" w:sz="1"/>
              <w:right w:val="single" w:color="BBBBBB" w:sz="1"/>
            </w:tcBorders>
            <w:shd w:fill="D5F5E3"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Volume total NPT</w:t>
            </w:r>
          </w:p>
        </w:tc>
        <w:tc>
          <w:tcPr>
            <w:tcW w:type="dxa" w:w="2340"/>
            <w:gridSpan w:val="1"/>
            <w:tcBorders>
              <w:top w:val="single" w:color="BBBBBB" w:sz="1"/>
              <w:left w:val="single" w:color="BBBBBB" w:sz="1"/>
              <w:bottom w:val="single" w:color="BBBBBB" w:sz="1"/>
              <w:right w:val="single" w:color="BBBBBB"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~30–35 mL/kg/dia</w:t>
            </w:r>
          </w:p>
        </w:tc>
        <w:tc>
          <w:tcPr>
            <w:tcW w:type="dxa" w:w="2340"/>
            <w:gridSpan w:val="1"/>
            <w:tcBorders>
              <w:top w:val="single" w:color="BBBBBB" w:sz="1"/>
              <w:left w:val="single" w:color="BBBBBB" w:sz="1"/>
              <w:bottom w:val="single" w:color="BBBBBB" w:sz="1"/>
              <w:right w:val="single" w:color="BBBBBB"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30 × 70 = 2100 mL/dia</w:t>
            </w:r>
          </w:p>
        </w:tc>
        <w:tc>
          <w:tcPr>
            <w:tcW w:type="dxa" w:w="2340"/>
            <w:gridSpan w:val="1"/>
            <w:tcBorders>
              <w:top w:val="single" w:color="BBBBBB" w:sz="1"/>
              <w:left w:val="single" w:color="BBBBBB" w:sz="1"/>
              <w:bottom w:val="single" w:color="BBBBBB" w:sz="1"/>
              <w:right w:val="single" w:color="BBBBBB" w:sz="1"/>
            </w:tcBorders>
            <w:shd w:fill="D5F5E3" w:val="clear"/>
            <w:tcMar>
              <w:top w:type="dxa" w:w="80"/>
              <w:left w:type="dxa" w:w="120"/>
              <w:bottom w:type="dxa" w:w="80"/>
              <w:right w:type="dxa" w:w="120"/>
            </w:tcMar>
            <w:vAlign w:val="center"/>
          </w:tcPr>
          <w:p>
            <w:pPr>
              <w:jc w:val="left"/>
            </w:pPr>
            <w:r>
              <w:rPr>
                <w:rFonts w:ascii="Arial" w:cs="Arial" w:eastAsia="Arial" w:hAnsi="Arial"/>
                <w:b/>
                <w:bCs/>
                <w:color w:val="1E8449"/>
                <w:sz w:val="20"/>
                <w:szCs w:val="20"/>
              </w:rPr>
              <w:t xml:space="preserve">2100 mL/24h (87,5 mL/h)</w:t>
            </w:r>
          </w:p>
        </w:tc>
      </w:tr>
    </w:tbl>
    <w:p>
      <w:pPr>
        <w:spacing w:after="40" w:before="80"/>
      </w:pPr>
      <w:r>
        <w:rPr>
          <w:sz w:val="20"/>
          <w:szCs w:val="20"/>
        </w:rPr>
        <w:t xml:space="preserve"/>
      </w:r>
    </w:p>
    <w:p>
      <w:pPr>
        <w:pStyle w:val="Heading2"/>
        <w:spacing w:after="120" w:before="240"/>
      </w:pPr>
      <w:r>
        <w:rPr>
          <w:rFonts w:ascii="Arial" w:cs="Arial" w:eastAsia="Arial" w:hAnsi="Arial"/>
          <w:b/>
          <w:bCs/>
          <w:color w:val="2E5FA3"/>
          <w:sz w:val="28"/>
          <w:szCs w:val="28"/>
        </w:rPr>
        <w:t xml:space="preserve">8.2 Eletrólitos na NPT (Adições Padrão por Litro)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ELETRÓLITO</w:t>
            </w:r>
          </w:p>
        </w:tc>
        <w:tc>
          <w:tcPr>
            <w:tcW w:type="dxa" w:w="2340"/>
            <w:gridSpan w:val="1"/>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DOSE PADRÃO / DIA</w:t>
            </w:r>
          </w:p>
        </w:tc>
        <w:tc>
          <w:tcPr>
            <w:tcW w:type="dxa" w:w="2340"/>
            <w:gridSpan w:val="1"/>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FORMA DE ADIÇÃO</w:t>
            </w:r>
          </w:p>
        </w:tc>
        <w:tc>
          <w:tcPr>
            <w:tcW w:type="dxa" w:w="2340"/>
            <w:gridSpan w:val="1"/>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OBSERVAÇÕES</w:t>
            </w:r>
          </w:p>
        </w:tc>
      </w:tr>
      <w:tr>
        <w:tc>
          <w:tcPr>
            <w:tcW w:type="dxa" w:w="234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Sódio (Na⁺)</w:t>
            </w:r>
          </w:p>
        </w:tc>
        <w:tc>
          <w:tcPr>
            <w:tcW w:type="dxa" w:w="234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60–150 mEq/dia</w:t>
            </w:r>
          </w:p>
        </w:tc>
        <w:tc>
          <w:tcPr>
            <w:tcW w:type="dxa" w:w="234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NaCl 20%</w:t>
            </w:r>
          </w:p>
        </w:tc>
        <w:tc>
          <w:tcPr>
            <w:tcW w:type="dxa" w:w="234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Ajustar conforme natremia e balanço hídrico</w:t>
            </w:r>
          </w:p>
        </w:tc>
      </w:tr>
      <w:tr>
        <w:tc>
          <w:tcPr>
            <w:tcW w:type="dxa" w:w="234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Potássio (K⁺)</w:t>
            </w:r>
          </w:p>
        </w:tc>
        <w:tc>
          <w:tcPr>
            <w:tcW w:type="dxa" w:w="234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60–120 mEq/dia</w:t>
            </w:r>
          </w:p>
        </w:tc>
        <w:tc>
          <w:tcPr>
            <w:tcW w:type="dxa" w:w="234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KCl 19,1% ou KH₂PO₄</w:t>
            </w:r>
          </w:p>
        </w:tc>
        <w:tc>
          <w:tcPr>
            <w:tcW w:type="dxa" w:w="234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Não ultrapassar 10 mEq/h via CVC; monitorar ECG</w:t>
            </w:r>
          </w:p>
        </w:tc>
      </w:tr>
      <w:tr>
        <w:tc>
          <w:tcPr>
            <w:tcW w:type="dxa" w:w="234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Cálcio (Ca²⁺)</w:t>
            </w:r>
          </w:p>
        </w:tc>
        <w:tc>
          <w:tcPr>
            <w:tcW w:type="dxa" w:w="234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10–15 mEq/dia</w:t>
            </w:r>
          </w:p>
        </w:tc>
        <w:tc>
          <w:tcPr>
            <w:tcW w:type="dxa" w:w="234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Gluconato de cálcio 10%</w:t>
            </w:r>
          </w:p>
        </w:tc>
        <w:tc>
          <w:tcPr>
            <w:tcW w:type="dxa" w:w="234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NUNCA junto com fosfato na mesma bolsa (precipitação)</w:t>
            </w:r>
          </w:p>
        </w:tc>
      </w:tr>
      <w:tr>
        <w:tc>
          <w:tcPr>
            <w:tcW w:type="dxa" w:w="234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Fósforo (PO₄³⁻)</w:t>
            </w:r>
          </w:p>
        </w:tc>
        <w:tc>
          <w:tcPr>
            <w:tcW w:type="dxa" w:w="234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20–40 mmol/dia</w:t>
            </w:r>
          </w:p>
        </w:tc>
        <w:tc>
          <w:tcPr>
            <w:tcW w:type="dxa" w:w="234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KH₂PO₄ ou NaH₂PO₄</w:t>
            </w:r>
          </w:p>
        </w:tc>
        <w:tc>
          <w:tcPr>
            <w:tcW w:type="dxa" w:w="234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bCs/>
                <w:color w:val="C0392B"/>
                <w:sz w:val="20"/>
                <w:szCs w:val="20"/>
              </w:rPr>
              <w:t xml:space="preserve">Crítico na Sínd. Realimentação; MONITORAR</w:t>
            </w:r>
          </w:p>
        </w:tc>
      </w:tr>
      <w:tr>
        <w:tc>
          <w:tcPr>
            <w:tcW w:type="dxa" w:w="234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Magnésio (Mg²⁺)</w:t>
            </w:r>
          </w:p>
        </w:tc>
        <w:tc>
          <w:tcPr>
            <w:tcW w:type="dxa" w:w="234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8–24 mEq/dia</w:t>
            </w:r>
          </w:p>
        </w:tc>
        <w:tc>
          <w:tcPr>
            <w:tcW w:type="dxa" w:w="234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MgSO₄ 50%</w:t>
            </w:r>
          </w:p>
        </w:tc>
        <w:tc>
          <w:tcPr>
            <w:tcW w:type="dxa" w:w="234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Hipomagnesemia refratária → corrigir antes de NPT plena</w:t>
            </w:r>
          </w:p>
        </w:tc>
      </w:tr>
      <w:tr>
        <w:tc>
          <w:tcPr>
            <w:tcW w:type="dxa" w:w="234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Cloro (Cl⁻)</w:t>
            </w:r>
          </w:p>
        </w:tc>
        <w:tc>
          <w:tcPr>
            <w:tcW w:type="dxa" w:w="234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Variável com Na⁺ e K⁺</w:t>
            </w:r>
          </w:p>
        </w:tc>
        <w:tc>
          <w:tcPr>
            <w:tcW w:type="dxa" w:w="234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Fornecido junto com Na⁺/K⁺</w:t>
            </w:r>
          </w:p>
        </w:tc>
        <w:tc>
          <w:tcPr>
            <w:tcW w:type="dxa" w:w="234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Acidose hiperclorêmica: substituir por acetato</w:t>
            </w:r>
          </w:p>
        </w:tc>
      </w:tr>
      <w:tr>
        <w:tc>
          <w:tcPr>
            <w:tcW w:type="dxa" w:w="234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Zinco (Zn)</w:t>
            </w:r>
          </w:p>
        </w:tc>
        <w:tc>
          <w:tcPr>
            <w:tcW w:type="dxa" w:w="234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3–5 mg/dia</w:t>
            </w:r>
          </w:p>
        </w:tc>
        <w:tc>
          <w:tcPr>
            <w:tcW w:type="dxa" w:w="234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Oligoelementos compostos</w:t>
            </w:r>
          </w:p>
        </w:tc>
        <w:tc>
          <w:tcPr>
            <w:tcW w:type="dxa" w:w="234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Aumentar em queimados e enteropatia perdedora</w:t>
            </w:r>
          </w:p>
        </w:tc>
      </w:tr>
    </w:tbl>
    <w:p>
      <w:pPr>
        <w:spacing w:after="100" w:before="100"/>
      </w:pPr>
      <w:r>
        <w:rPr>
          <w:sz w:val="20"/>
          <w:szCs w:val="20"/>
        </w:rPr>
        <w:t xml:space="preserve"/>
      </w:r>
    </w:p>
    <w:p>
      <w:pPr>
        <w:pBdr>
          <w:bottom w:val="single" w:color="D6E4F0" w:sz="4" w:space="1"/>
        </w:pBdr>
        <w:spacing w:after="200" w:before="200"/>
      </w:pPr>
      <w:r>
        <w:t xml:space="preserve"/>
      </w:r>
    </w:p>
    <w:p>
      <w:pPr>
        <w:pStyle w:val="Heading1"/>
        <w:pBdr>
          <w:bottom w:val="single" w:color="2E5FA3" w:sz="8" w:space="4"/>
        </w:pBdr>
        <w:spacing w:after="160" w:before="320"/>
      </w:pPr>
      <w:r>
        <w:rPr>
          <w:rFonts w:ascii="Arial" w:cs="Arial" w:eastAsia="Arial" w:hAnsi="Arial"/>
          <w:b/>
          <w:bCs/>
          <w:color w:val="1B3A6B"/>
          <w:sz w:val="36"/>
          <w:szCs w:val="36"/>
        </w:rPr>
        <w:t xml:space="preserve">9. SUPLEMENTAÇÕES NECESSÁRIAS NA NPT</w:t>
      </w:r>
    </w:p>
    <w:p>
      <w:pPr>
        <w:pStyle w:val="Heading2"/>
        <w:spacing w:after="120" w:before="240"/>
      </w:pPr>
      <w:r>
        <w:rPr>
          <w:rFonts w:ascii="Arial" w:cs="Arial" w:eastAsia="Arial" w:hAnsi="Arial"/>
          <w:b/>
          <w:bCs/>
          <w:color w:val="2E5FA3"/>
          <w:sz w:val="28"/>
          <w:szCs w:val="28"/>
        </w:rPr>
        <w:t xml:space="preserve">9.1 Vitaminas</w:t>
      </w:r>
    </w:p>
    <w:p>
      <w:pPr>
        <w:pStyle w:val="ListParagraph"/>
        <w:numPr>
          <w:ilvl w:val="0"/>
          <w:numId w:val="2"/>
        </w:numPr>
        <w:spacing w:after="40" w:before="40"/>
      </w:pPr>
      <w:r>
        <w:rPr>
          <w:rFonts w:ascii="Arial" w:cs="Arial" w:eastAsia="Arial" w:hAnsi="Arial"/>
          <w:sz w:val="20"/>
          <w:szCs w:val="20"/>
        </w:rPr>
        <w:t xml:space="preserve">Vitaminas hidrossolúveis: B1 (tiamina), B2, B3, B5, B6, B7, B9 (ácido fólico), B12, C</w:t>
      </w:r>
    </w:p>
    <w:p>
      <w:pPr>
        <w:pStyle w:val="ListParagraph"/>
        <w:numPr>
          <w:ilvl w:val="0"/>
          <w:numId w:val="2"/>
        </w:numPr>
        <w:spacing w:after="40" w:before="40"/>
      </w:pPr>
      <w:r>
        <w:rPr>
          <w:rFonts w:ascii="Arial" w:cs="Arial" w:eastAsia="Arial" w:hAnsi="Arial"/>
          <w:sz w:val="20"/>
          <w:szCs w:val="20"/>
        </w:rPr>
        <w:t xml:space="preserve">Vitaminas lipossolúveis: A, D, E, K — adicionadas APENAS quando lipídeos estão na formulação</w:t>
      </w:r>
    </w:p>
    <w:p>
      <w:pPr>
        <w:pStyle w:val="ListParagraph"/>
        <w:numPr>
          <w:ilvl w:val="0"/>
          <w:numId w:val="2"/>
        </w:numPr>
        <w:spacing w:after="40" w:before="40"/>
      </w:pPr>
      <w:r>
        <w:rPr>
          <w:rFonts w:ascii="Arial" w:cs="Arial" w:eastAsia="Arial" w:hAnsi="Arial"/>
          <w:sz w:val="20"/>
          <w:szCs w:val="20"/>
        </w:rPr>
        <w:t xml:space="preserve">Formulação multivitamínica padrão: Multibionta® / Vitalipid N® (lipossolúveis) + Soluvit N® (hidrossolúveis) — adicionar DIARIAMENTE</w:t>
      </w:r>
    </w:p>
    <w:p>
      <w:pPr>
        <w:spacing w:after="20" w:before="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8"/>
              <w:left w:val="single" w:color="C0392B" w:sz="8"/>
              <w:bottom w:val="single" w:color="C0392B" w:sz="8"/>
              <w:right w:val="single" w:color="C0392B" w:sz="8"/>
            </w:tcBorders>
            <w:shd w:fill="FADBD8" w:val="clear"/>
            <w:tcMar>
              <w:top w:type="dxa" w:w="120"/>
              <w:left w:type="dxa" w:w="200"/>
              <w:bottom w:type="dxa" w:w="120"/>
              <w:right w:type="dxa" w:w="200"/>
            </w:tcMar>
          </w:tcPr>
          <w:p>
            <w:r>
              <w:rPr>
                <w:rFonts w:ascii="Arial" w:cs="Arial" w:eastAsia="Arial" w:hAnsi="Arial"/>
                <w:b/>
                <w:bCs/>
                <w:color w:val="C0392B"/>
                <w:sz w:val="22"/>
                <w:szCs w:val="22"/>
              </w:rPr>
              <w:t xml:space="preserve">⚠ TIAMINA — PROTOCOLO OBRIGATÓRIO PRÉ-REALIMENTAÇÃO</w:t>
            </w:r>
          </w:p>
          <w:p>
            <w:pPr>
              <w:spacing w:before="60"/>
            </w:pPr>
            <w:r>
              <w:rPr>
                <w:rFonts w:ascii="Arial" w:cs="Arial" w:eastAsia="Arial" w:hAnsi="Arial"/>
                <w:color w:val="000000"/>
                <w:sz w:val="20"/>
                <w:szCs w:val="20"/>
              </w:rPr>
              <w:t xml:space="preserve">VITAMINA B1 (TIAMINA) — CRÍTICA EM UTI: Antes de iniciar qualquer aporte de glicose (NE ou NPT), suplementar tiamina 200–300 mg IV em pacientes com risco (alcoolismo, desnutrição, jejum prolongado). Glicose sem tiamina pode precipitar Encefalopatia de Wernicke e colapso cardiovascular (beribéri úmido) — EMERGÊNCIA NEUROLÓGICA IRREVERSÍVEL.</w:t>
            </w:r>
          </w:p>
        </w:tc>
      </w:tr>
    </w:tbl>
    <w:p>
      <w:pPr>
        <w:spacing w:after="40" w:before="80"/>
      </w:pPr>
      <w:r>
        <w:rPr>
          <w:sz w:val="20"/>
          <w:szCs w:val="20"/>
        </w:rPr>
        <w:t xml:space="preserve"/>
      </w:r>
    </w:p>
    <w:p>
      <w:pPr>
        <w:pStyle w:val="Heading2"/>
        <w:spacing w:after="120" w:before="240"/>
      </w:pPr>
      <w:r>
        <w:rPr>
          <w:rFonts w:ascii="Arial" w:cs="Arial" w:eastAsia="Arial" w:hAnsi="Arial"/>
          <w:b/>
          <w:bCs/>
          <w:color w:val="2E5FA3"/>
          <w:sz w:val="28"/>
          <w:szCs w:val="28"/>
        </w:rPr>
        <w:t xml:space="preserve">9.2 Oligoelementos</w:t>
      </w:r>
    </w:p>
    <w:p>
      <w:pPr>
        <w:pStyle w:val="ListParagraph"/>
        <w:numPr>
          <w:ilvl w:val="0"/>
          <w:numId w:val="2"/>
        </w:numPr>
        <w:spacing w:after="40" w:before="40"/>
      </w:pPr>
      <w:r>
        <w:rPr>
          <w:rFonts w:ascii="Arial" w:cs="Arial" w:eastAsia="Arial" w:hAnsi="Arial"/>
          <w:sz w:val="20"/>
          <w:szCs w:val="20"/>
        </w:rPr>
        <w:t xml:space="preserve">Fornecidos como preparação comercial composta (Tracutil® / Addamel® / Oligoelementos AMB®)</w:t>
      </w:r>
    </w:p>
    <w:p>
      <w:pPr>
        <w:pStyle w:val="ListParagraph"/>
        <w:numPr>
          <w:ilvl w:val="0"/>
          <w:numId w:val="2"/>
        </w:numPr>
        <w:spacing w:after="40" w:before="40"/>
      </w:pPr>
      <w:r>
        <w:rPr>
          <w:rFonts w:ascii="Arial" w:cs="Arial" w:eastAsia="Arial" w:hAnsi="Arial"/>
          <w:sz w:val="20"/>
          <w:szCs w:val="20"/>
        </w:rPr>
        <w:t xml:space="preserve">Contêm: Zinco, Cobre, Manganês, Selênio, Cromo, Molibdênio, Iodo, Flúor</w:t>
      </w:r>
    </w:p>
    <w:p>
      <w:pPr>
        <w:pStyle w:val="ListParagraph"/>
        <w:numPr>
          <w:ilvl w:val="0"/>
          <w:numId w:val="2"/>
        </w:numPr>
        <w:spacing w:after="40" w:before="40"/>
      </w:pPr>
      <w:r>
        <w:rPr>
          <w:rFonts w:ascii="Arial" w:cs="Arial" w:eastAsia="Arial" w:hAnsi="Arial"/>
          <w:sz w:val="20"/>
          <w:szCs w:val="20"/>
        </w:rPr>
        <w:t xml:space="preserve">Selênio: suplementação adicional em sepse/queimados — 500–1000 mcg/dia IV (Selenase®) — dados conflitantes mas ESPEN aceita</w:t>
      </w:r>
    </w:p>
    <w:p>
      <w:pPr>
        <w:pStyle w:val="ListParagraph"/>
        <w:numPr>
          <w:ilvl w:val="0"/>
          <w:numId w:val="2"/>
        </w:numPr>
        <w:spacing w:after="40" w:before="40"/>
      </w:pPr>
      <w:r>
        <w:rPr>
          <w:rFonts w:ascii="Arial" w:cs="Arial" w:eastAsia="Arial" w:hAnsi="Arial"/>
          <w:sz w:val="20"/>
          <w:szCs w:val="20"/>
        </w:rPr>
        <w:t xml:space="preserve">Cobre: monitorar em NPT prolongada (&gt; 3 semanas) — deficiência → anemia e neuropatia</w:t>
      </w:r>
    </w:p>
    <w:p>
      <w:pPr>
        <w:pStyle w:val="ListParagraph"/>
        <w:numPr>
          <w:ilvl w:val="0"/>
          <w:numId w:val="2"/>
        </w:numPr>
        <w:spacing w:after="40" w:before="40"/>
      </w:pPr>
      <w:r>
        <w:rPr>
          <w:rFonts w:ascii="Arial" w:cs="Arial" w:eastAsia="Arial" w:hAnsi="Arial"/>
          <w:sz w:val="20"/>
          <w:szCs w:val="20"/>
        </w:rPr>
        <w:t xml:space="preserve">Manganês: NÃO adicionar em excesso em hepatopatia — acúmulo nos gânglios da base → parkinsonismo</w:t>
      </w:r>
    </w:p>
    <w:p>
      <w:pPr>
        <w:spacing w:after="100" w:before="100"/>
      </w:pPr>
      <w:r>
        <w:rPr>
          <w:sz w:val="20"/>
          <w:szCs w:val="20"/>
        </w:rPr>
        <w:t xml:space="preserve"/>
      </w:r>
    </w:p>
    <w:p>
      <w:pPr>
        <w:pStyle w:val="Heading2"/>
        <w:spacing w:after="120" w:before="240"/>
      </w:pPr>
      <w:r>
        <w:rPr>
          <w:rFonts w:ascii="Arial" w:cs="Arial" w:eastAsia="Arial" w:hAnsi="Arial"/>
          <w:b/>
          <w:bCs/>
          <w:color w:val="2E5FA3"/>
          <w:sz w:val="28"/>
          <w:szCs w:val="28"/>
        </w:rPr>
        <w:t xml:space="preserve">9.3 Outros Suplementos a Considerar</w:t>
      </w:r>
    </w:p>
    <w:p>
      <w:pPr>
        <w:pStyle w:val="ListParagraph"/>
        <w:numPr>
          <w:ilvl w:val="0"/>
          <w:numId w:val="2"/>
        </w:numPr>
        <w:spacing w:after="40" w:before="40"/>
      </w:pPr>
      <w:r>
        <w:rPr>
          <w:rFonts w:ascii="Arial" w:cs="Arial" w:eastAsia="Arial" w:hAnsi="Arial"/>
          <w:sz w:val="20"/>
          <w:szCs w:val="20"/>
        </w:rPr>
        <w:t xml:space="preserve">Carnitina (Levocarnitina® 1g IV/dia): se NPT &gt; 4 semanas ou cardiomiopatia metabólica</w:t>
      </w:r>
    </w:p>
    <w:p>
      <w:pPr>
        <w:pStyle w:val="ListParagraph"/>
        <w:numPr>
          <w:ilvl w:val="0"/>
          <w:numId w:val="2"/>
        </w:numPr>
        <w:spacing w:after="40" w:before="40"/>
      </w:pPr>
      <w:r>
        <w:rPr>
          <w:rFonts w:ascii="Arial" w:cs="Arial" w:eastAsia="Arial" w:hAnsi="Arial"/>
          <w:sz w:val="20"/>
          <w:szCs w:val="20"/>
        </w:rPr>
        <w:t xml:space="preserve">Zinco adicional (5–10 mg/dia): queimados, fístulas intestinais de alto débito, enteropatia</w:t>
      </w:r>
    </w:p>
    <w:p>
      <w:pPr>
        <w:pStyle w:val="ListParagraph"/>
        <w:numPr>
          <w:ilvl w:val="0"/>
          <w:numId w:val="2"/>
        </w:numPr>
        <w:spacing w:after="40" w:before="40"/>
      </w:pPr>
      <w:r>
        <w:rPr>
          <w:rFonts w:ascii="Arial" w:cs="Arial" w:eastAsia="Arial" w:hAnsi="Arial"/>
          <w:sz w:val="20"/>
          <w:szCs w:val="20"/>
        </w:rPr>
        <w:t xml:space="preserve">Colina (disponível em algumas formulações): previne esteatose hepática em NPT prolongada</w:t>
      </w:r>
    </w:p>
    <w:p>
      <w:pPr>
        <w:pStyle w:val="ListParagraph"/>
        <w:numPr>
          <w:ilvl w:val="0"/>
          <w:numId w:val="2"/>
        </w:numPr>
        <w:spacing w:after="40" w:before="40"/>
      </w:pPr>
      <w:r>
        <w:rPr>
          <w:rFonts w:ascii="Arial" w:cs="Arial" w:eastAsia="Arial" w:hAnsi="Arial"/>
          <w:sz w:val="20"/>
          <w:szCs w:val="20"/>
        </w:rPr>
        <w:t xml:space="preserve">Vitamina D3: se deficiência documentada (25-OH-D &lt; 20 ng/mL) — reposição IM ou IV</w:t>
      </w:r>
    </w:p>
    <w:p>
      <w:pPr>
        <w:spacing w:after="100" w:before="100"/>
      </w:pPr>
      <w:r>
        <w:rPr>
          <w:sz w:val="20"/>
          <w:szCs w:val="20"/>
        </w:rPr>
        <w:t xml:space="preserve"/>
      </w:r>
    </w:p>
    <w:p>
      <w:pPr>
        <w:pBdr>
          <w:bottom w:val="single" w:color="D6E4F0" w:sz="4" w:space="1"/>
        </w:pBdr>
        <w:spacing w:after="200" w:before="200"/>
      </w:pPr>
      <w:r>
        <w:t xml:space="preserve"/>
      </w:r>
    </w:p>
    <w:p>
      <w:pPr>
        <w:pStyle w:val="Heading1"/>
        <w:pBdr>
          <w:bottom w:val="single" w:color="2E5FA3" w:sz="8" w:space="4"/>
        </w:pBdr>
        <w:spacing w:after="160" w:before="320"/>
      </w:pPr>
      <w:r>
        <w:rPr>
          <w:rFonts w:ascii="Arial" w:cs="Arial" w:eastAsia="Arial" w:hAnsi="Arial"/>
          <w:b/>
          <w:bCs/>
          <w:color w:val="1B3A6B"/>
          <w:sz w:val="36"/>
          <w:szCs w:val="36"/>
        </w:rPr>
        <w:t xml:space="preserve">10. SÍNDROME DE REALIMENTAÇÃO (SR)</w:t>
      </w:r>
    </w:p>
    <w:p>
      <w:pPr>
        <w:spacing w:after="60" w:before="60"/>
        <w:jc w:val="both"/>
      </w:pPr>
      <w:r>
        <w:rPr>
          <w:rFonts w:ascii="Arial" w:cs="Arial" w:eastAsia="Arial" w:hAnsi="Arial"/>
          <w:b w:val="false"/>
          <w:bCs w:val="false"/>
          <w:color w:val="000000"/>
          <w:sz w:val="20"/>
          <w:szCs w:val="20"/>
        </w:rPr>
        <w:t xml:space="preserve">A Síndrome de Realimentação (SR) é uma das complicações mais graves e potencialmente fatais da nutrição em pacientes previamente desnutridos ou submetidos a jejum prolongado. Caracteriza-se por distúrbios hidroeletrolíticos graves — principalmente hipofosfatemia — precipitados pela administração de carboidratos após período de depleção.</w:t>
      </w:r>
    </w:p>
    <w:p>
      <w:pPr>
        <w:spacing w:after="40" w:before="60"/>
      </w:pPr>
      <w:r>
        <w:rPr>
          <w:sz w:val="20"/>
          <w:szCs w:val="20"/>
        </w:rPr>
        <w:t xml:space="preserve"/>
      </w:r>
    </w:p>
    <w:p>
      <w:pPr>
        <w:pStyle w:val="Heading2"/>
        <w:spacing w:after="120" w:before="240"/>
      </w:pPr>
      <w:r>
        <w:rPr>
          <w:rFonts w:ascii="Arial" w:cs="Arial" w:eastAsia="Arial" w:hAnsi="Arial"/>
          <w:b/>
          <w:bCs/>
          <w:color w:val="2E5FA3"/>
          <w:sz w:val="28"/>
          <w:szCs w:val="28"/>
        </w:rPr>
        <w:t xml:space="preserve">10.1 Fisiopatologia</w:t>
      </w:r>
    </w:p>
    <w:p>
      <w:pPr>
        <w:spacing w:after="60" w:before="60"/>
        <w:jc w:val="both"/>
      </w:pPr>
      <w:r>
        <w:rPr>
          <w:rFonts w:ascii="Arial" w:cs="Arial" w:eastAsia="Arial" w:hAnsi="Arial"/>
          <w:b w:val="false"/>
          <w:bCs w:val="false"/>
          <w:color w:val="000000"/>
          <w:sz w:val="20"/>
          <w:szCs w:val="20"/>
        </w:rPr>
        <w:t xml:space="preserve">No estado de jejum prolongado, ocorre adaptação metabólica com predomínio do catabolismo e depleção dos estoques intracelulares de fósforo, magnésio e potássio (com manutenção de níveis séricos relativamente normais). Ao reintroduzir carboidratos, a insulina é secretada em grande quantidade → entrada maciça de glicose nas células → ativação da via glicolítica → consumo intenso de fósforo, magnésio e potássio intracelular → queda abrupta dos níveis séricos → SR.</w:t>
      </w:r>
    </w:p>
    <w:p>
      <w:pPr>
        <w:spacing w:after="40" w:before="60"/>
      </w:pPr>
      <w:r>
        <w:rPr>
          <w:sz w:val="20"/>
          <w:szCs w:val="20"/>
        </w:rPr>
        <w:t xml:space="preserve"/>
      </w:r>
    </w:p>
    <w:p>
      <w:pPr>
        <w:pStyle w:val="Heading2"/>
        <w:spacing w:after="120" w:before="240"/>
      </w:pPr>
      <w:r>
        <w:rPr>
          <w:rFonts w:ascii="Arial" w:cs="Arial" w:eastAsia="Arial" w:hAnsi="Arial"/>
          <w:b/>
          <w:bCs/>
          <w:color w:val="2E5FA3"/>
          <w:sz w:val="28"/>
          <w:szCs w:val="28"/>
        </w:rPr>
        <w:t xml:space="preserve">10.2 Critérios de Alto Risco — NICE 2006 (Revisado ASPEN 2020)</w:t>
      </w:r>
    </w:p>
    <w:p>
      <w:pPr>
        <w:pStyle w:val="Heading3"/>
        <w:spacing w:after="80" w:before="180"/>
      </w:pPr>
      <w:r>
        <w:rPr>
          <w:rFonts w:ascii="Arial" w:cs="Arial" w:eastAsia="Arial" w:hAnsi="Arial"/>
          <w:b/>
          <w:bCs/>
          <w:color w:val="1B3A6B"/>
          <w:sz w:val="24"/>
          <w:szCs w:val="24"/>
        </w:rPr>
        <w:t xml:space="preserve">CRITÉRIOS MAIORES (1 critério = ALTO RISCO):</w:t>
      </w:r>
    </w:p>
    <w:p>
      <w:pPr>
        <w:pStyle w:val="ListParagraph"/>
        <w:numPr>
          <w:ilvl w:val="0"/>
          <w:numId w:val="2"/>
        </w:numPr>
        <w:spacing w:after="40" w:before="40"/>
      </w:pPr>
      <w:r>
        <w:rPr>
          <w:rFonts w:ascii="Arial" w:cs="Arial" w:eastAsia="Arial" w:hAnsi="Arial"/>
          <w:sz w:val="20"/>
          <w:szCs w:val="20"/>
        </w:rPr>
        <w:t xml:space="preserve">IMC &lt; 16 kg/m²</w:t>
      </w:r>
    </w:p>
    <w:p>
      <w:pPr>
        <w:pStyle w:val="ListParagraph"/>
        <w:numPr>
          <w:ilvl w:val="0"/>
          <w:numId w:val="2"/>
        </w:numPr>
        <w:spacing w:after="40" w:before="40"/>
      </w:pPr>
      <w:r>
        <w:rPr>
          <w:rFonts w:ascii="Arial" w:cs="Arial" w:eastAsia="Arial" w:hAnsi="Arial"/>
          <w:sz w:val="20"/>
          <w:szCs w:val="20"/>
        </w:rPr>
        <w:t xml:space="preserve">Perda de peso involuntária &gt; 15% em 3–6 meses</w:t>
      </w:r>
    </w:p>
    <w:p>
      <w:pPr>
        <w:pStyle w:val="ListParagraph"/>
        <w:numPr>
          <w:ilvl w:val="0"/>
          <w:numId w:val="2"/>
        </w:numPr>
        <w:spacing w:after="40" w:before="40"/>
      </w:pPr>
      <w:r>
        <w:rPr>
          <w:rFonts w:ascii="Arial" w:cs="Arial" w:eastAsia="Arial" w:hAnsi="Arial"/>
          <w:sz w:val="20"/>
          <w:szCs w:val="20"/>
        </w:rPr>
        <w:t xml:space="preserve">Pouca ou nenhuma ingestão nutricional por &gt; 10 dias</w:t>
      </w:r>
    </w:p>
    <w:p>
      <w:pPr>
        <w:pStyle w:val="ListParagraph"/>
        <w:numPr>
          <w:ilvl w:val="0"/>
          <w:numId w:val="2"/>
        </w:numPr>
        <w:spacing w:after="40" w:before="40"/>
      </w:pPr>
      <w:r>
        <w:rPr>
          <w:rFonts w:ascii="Arial" w:cs="Arial" w:eastAsia="Arial" w:hAnsi="Arial"/>
          <w:sz w:val="20"/>
          <w:szCs w:val="20"/>
        </w:rPr>
        <w:t xml:space="preserve">Hipofosfatemia, hipocalemia ou hipomagnesemia ANTES do início da alimentação</w:t>
      </w:r>
    </w:p>
    <w:p>
      <w:pPr>
        <w:spacing w:after="20" w:before="40"/>
      </w:pPr>
      <w:r>
        <w:rPr>
          <w:sz w:val="20"/>
          <w:szCs w:val="20"/>
        </w:rPr>
        <w:t xml:space="preserve"/>
      </w:r>
    </w:p>
    <w:p>
      <w:pPr>
        <w:pStyle w:val="Heading3"/>
        <w:spacing w:after="80" w:before="180"/>
      </w:pPr>
      <w:r>
        <w:rPr>
          <w:rFonts w:ascii="Arial" w:cs="Arial" w:eastAsia="Arial" w:hAnsi="Arial"/>
          <w:b/>
          <w:bCs/>
          <w:color w:val="1B3A6B"/>
          <w:sz w:val="24"/>
          <w:szCs w:val="24"/>
        </w:rPr>
        <w:t xml:space="preserve">CRITÉRIOS MENORES (2 critérios = ALTO RISCO):</w:t>
      </w:r>
    </w:p>
    <w:p>
      <w:pPr>
        <w:pStyle w:val="ListParagraph"/>
        <w:numPr>
          <w:ilvl w:val="0"/>
          <w:numId w:val="2"/>
        </w:numPr>
        <w:spacing w:after="40" w:before="40"/>
      </w:pPr>
      <w:r>
        <w:rPr>
          <w:rFonts w:ascii="Arial" w:cs="Arial" w:eastAsia="Arial" w:hAnsi="Arial"/>
          <w:sz w:val="20"/>
          <w:szCs w:val="20"/>
        </w:rPr>
        <w:t xml:space="preserve">IMC &lt; 18,5 kg/m²</w:t>
      </w:r>
    </w:p>
    <w:p>
      <w:pPr>
        <w:pStyle w:val="ListParagraph"/>
        <w:numPr>
          <w:ilvl w:val="0"/>
          <w:numId w:val="2"/>
        </w:numPr>
        <w:spacing w:after="40" w:before="40"/>
      </w:pPr>
      <w:r>
        <w:rPr>
          <w:rFonts w:ascii="Arial" w:cs="Arial" w:eastAsia="Arial" w:hAnsi="Arial"/>
          <w:sz w:val="20"/>
          <w:szCs w:val="20"/>
        </w:rPr>
        <w:t xml:space="preserve">Perda de peso involuntária &gt; 10% em 3–6 meses</w:t>
      </w:r>
    </w:p>
    <w:p>
      <w:pPr>
        <w:pStyle w:val="ListParagraph"/>
        <w:numPr>
          <w:ilvl w:val="0"/>
          <w:numId w:val="2"/>
        </w:numPr>
        <w:spacing w:after="40" w:before="40"/>
      </w:pPr>
      <w:r>
        <w:rPr>
          <w:rFonts w:ascii="Arial" w:cs="Arial" w:eastAsia="Arial" w:hAnsi="Arial"/>
          <w:sz w:val="20"/>
          <w:szCs w:val="20"/>
        </w:rPr>
        <w:t xml:space="preserve">Pouca ou nenhuma ingestão por &gt; 5 dias</w:t>
      </w:r>
    </w:p>
    <w:p>
      <w:pPr>
        <w:pStyle w:val="ListParagraph"/>
        <w:numPr>
          <w:ilvl w:val="0"/>
          <w:numId w:val="2"/>
        </w:numPr>
        <w:spacing w:after="40" w:before="40"/>
      </w:pPr>
      <w:r>
        <w:rPr>
          <w:rFonts w:ascii="Arial" w:cs="Arial" w:eastAsia="Arial" w:hAnsi="Arial"/>
          <w:sz w:val="20"/>
          <w:szCs w:val="20"/>
        </w:rPr>
        <w:t xml:space="preserve">Alcoolismo, uso de insulina/quimio/antiácidos/diuréticos</w:t>
      </w:r>
    </w:p>
    <w:p>
      <w:pPr>
        <w:spacing w:after="40" w:before="60"/>
      </w:pPr>
      <w:r>
        <w:rPr>
          <w:sz w:val="20"/>
          <w:szCs w:val="20"/>
        </w:rPr>
        <w:t xml:space="preserve"/>
      </w:r>
    </w:p>
    <w:p>
      <w:pPr>
        <w:pStyle w:val="Heading2"/>
        <w:spacing w:after="120" w:before="240"/>
      </w:pPr>
      <w:r>
        <w:rPr>
          <w:rFonts w:ascii="Arial" w:cs="Arial" w:eastAsia="Arial" w:hAnsi="Arial"/>
          <w:b/>
          <w:bCs/>
          <w:color w:val="2E5FA3"/>
          <w:sz w:val="28"/>
          <w:szCs w:val="28"/>
        </w:rPr>
        <w:t xml:space="preserve">10.3 Manifestações Clínicas da Síndrome de Realimentação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gridSpan w:val="1"/>
            <w:tcBorders>
              <w:top w:val="single" w:color="FFFFFF" w:sz="1"/>
              <w:left w:val="single" w:color="FFFFFF" w:sz="1"/>
              <w:bottom w:val="single" w:color="FFFFFF" w:sz="1"/>
              <w:right w:val="single" w:color="FFFFFF"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ELETRÓLITO</w:t>
            </w:r>
          </w:p>
        </w:tc>
        <w:tc>
          <w:tcPr>
            <w:tcW w:type="dxa" w:w="3780"/>
            <w:gridSpan w:val="1"/>
            <w:tcBorders>
              <w:top w:val="single" w:color="FFFFFF" w:sz="1"/>
              <w:left w:val="single" w:color="FFFFFF" w:sz="1"/>
              <w:bottom w:val="single" w:color="FFFFFF" w:sz="1"/>
              <w:right w:val="single" w:color="FFFFFF"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MANIFESTAÇÕES CLÍNICAS</w:t>
            </w:r>
          </w:p>
        </w:tc>
        <w:tc>
          <w:tcPr>
            <w:tcW w:type="dxa" w:w="3780"/>
            <w:gridSpan w:val="1"/>
            <w:tcBorders>
              <w:top w:val="single" w:color="FFFFFF" w:sz="1"/>
              <w:left w:val="single" w:color="FFFFFF" w:sz="1"/>
              <w:bottom w:val="single" w:color="FFFFFF" w:sz="1"/>
              <w:right w:val="single" w:color="FFFFFF"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GRAVIDADE / RISCO VITAL</w:t>
            </w:r>
          </w:p>
        </w:tc>
      </w:tr>
      <w:tr>
        <w:tc>
          <w:tcPr>
            <w:tcW w:type="dxa" w:w="1800"/>
            <w:gridSpan w:val="1"/>
            <w:tcBorders>
              <w:top w:val="single" w:color="BBBBBB" w:sz="1"/>
              <w:left w:val="single" w:color="BBBBBB" w:sz="1"/>
              <w:bottom w:val="single" w:color="BBBBBB" w:sz="1"/>
              <w:right w:val="single" w:color="BBBBBB" w:sz="1"/>
            </w:tcBorders>
            <w:shd w:fill="FADBD8" w:val="clear"/>
            <w:tcMar>
              <w:top w:type="dxa" w:w="80"/>
              <w:left w:type="dxa" w:w="120"/>
              <w:bottom w:type="dxa" w:w="80"/>
              <w:right w:type="dxa" w:w="120"/>
            </w:tcMar>
            <w:vAlign w:val="center"/>
          </w:tcPr>
          <w:p>
            <w:pPr>
              <w:jc w:val="left"/>
            </w:pPr>
            <w:r>
              <w:rPr>
                <w:rFonts w:ascii="Arial" w:cs="Arial" w:eastAsia="Arial" w:hAnsi="Arial"/>
                <w:b/>
                <w:bCs/>
                <w:color w:val="C0392B"/>
                <w:sz w:val="20"/>
                <w:szCs w:val="20"/>
              </w:rPr>
              <w:t xml:space="preserve">↓ Fósforo (PRINCIPAL)</w:t>
            </w:r>
          </w:p>
        </w:tc>
        <w:tc>
          <w:tcPr>
            <w:tcW w:type="dxa" w:w="3780"/>
            <w:gridSpan w:val="1"/>
            <w:tcBorders>
              <w:top w:val="single" w:color="BBBBBB" w:sz="1"/>
              <w:left w:val="single" w:color="BBBBBB" w:sz="1"/>
              <w:bottom w:val="single" w:color="BBBBBB" w:sz="1"/>
              <w:right w:val="single" w:color="BBBBBB" w:sz="1"/>
            </w:tcBorders>
            <w:shd w:fill="FADBD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Fraqueza muscular, insuficiência respiratória (↓ força diafragma), disfunção miocárdica, hemólise, trombocitopenia, parestesias, rabdomiólise</w:t>
            </w:r>
          </w:p>
        </w:tc>
        <w:tc>
          <w:tcPr>
            <w:tcW w:type="dxa" w:w="3780"/>
            <w:gridSpan w:val="1"/>
            <w:tcBorders>
              <w:top w:val="single" w:color="BBBBBB" w:sz="1"/>
              <w:left w:val="single" w:color="BBBBBB" w:sz="1"/>
              <w:bottom w:val="single" w:color="BBBBBB" w:sz="1"/>
              <w:right w:val="single" w:color="BBBBBB" w:sz="1"/>
            </w:tcBorders>
            <w:shd w:fill="FADBD8" w:val="clear"/>
            <w:tcMar>
              <w:top w:type="dxa" w:w="80"/>
              <w:left w:type="dxa" w:w="120"/>
              <w:bottom w:type="dxa" w:w="80"/>
              <w:right w:type="dxa" w:w="120"/>
            </w:tcMar>
            <w:vAlign w:val="center"/>
          </w:tcPr>
          <w:p>
            <w:pPr>
              <w:jc w:val="left"/>
            </w:pPr>
            <w:r>
              <w:rPr>
                <w:rFonts w:ascii="Arial" w:cs="Arial" w:eastAsia="Arial" w:hAnsi="Arial"/>
                <w:b/>
                <w:bCs/>
                <w:color w:val="C0392B"/>
                <w:sz w:val="20"/>
                <w:szCs w:val="20"/>
              </w:rPr>
              <w:t xml:space="preserve">Parada respiratória, PCR — PRINCIPAL CAUSA DE MORTE na SR</w:t>
            </w:r>
          </w:p>
        </w:tc>
      </w:tr>
      <w:tr>
        <w:tc>
          <w:tcPr>
            <w:tcW w:type="dxa" w:w="1800"/>
            <w:gridSpan w:val="1"/>
            <w:tcBorders>
              <w:top w:val="single" w:color="BBBBBB" w:sz="1"/>
              <w:left w:val="single" w:color="BBBBBB" w:sz="1"/>
              <w:bottom w:val="single" w:color="BBBBBB" w:sz="1"/>
              <w:right w:val="single" w:color="BBBBBB" w:sz="1"/>
            </w:tcBorders>
            <w:shd w:fill="FDEBD0" w:val="clear"/>
            <w:tcMar>
              <w:top w:type="dxa" w:w="80"/>
              <w:left w:type="dxa" w:w="120"/>
              <w:bottom w:type="dxa" w:w="80"/>
              <w:right w:type="dxa" w:w="120"/>
            </w:tcMar>
            <w:vAlign w:val="center"/>
          </w:tcPr>
          <w:p>
            <w:pPr>
              <w:jc w:val="left"/>
            </w:pPr>
            <w:r>
              <w:rPr>
                <w:rFonts w:ascii="Arial" w:cs="Arial" w:eastAsia="Arial" w:hAnsi="Arial"/>
                <w:b/>
                <w:bCs/>
                <w:color w:val="E67E22"/>
                <w:sz w:val="20"/>
                <w:szCs w:val="20"/>
              </w:rPr>
              <w:t xml:space="preserve">↓ Magnésio</w:t>
            </w:r>
          </w:p>
        </w:tc>
        <w:tc>
          <w:tcPr>
            <w:tcW w:type="dxa" w:w="3780"/>
            <w:gridSpan w:val="1"/>
            <w:tcBorders>
              <w:top w:val="single" w:color="BBBBBB" w:sz="1"/>
              <w:left w:val="single" w:color="BBBBBB" w:sz="1"/>
              <w:bottom w:val="single" w:color="BBBBBB" w:sz="1"/>
              <w:right w:val="single" w:color="BBBBBB" w:sz="1"/>
            </w:tcBorders>
            <w:shd w:fill="FDEBD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Tremores, tetania, arritmias, convulsões, confusão mental, hiperexcitabilidade neuromuscular (Chvostek, Trousseau)</w:t>
            </w:r>
          </w:p>
        </w:tc>
        <w:tc>
          <w:tcPr>
            <w:tcW w:type="dxa" w:w="3780"/>
            <w:gridSpan w:val="1"/>
            <w:tcBorders>
              <w:top w:val="single" w:color="BBBBBB" w:sz="1"/>
              <w:left w:val="single" w:color="BBBBBB" w:sz="1"/>
              <w:bottom w:val="single" w:color="BBBBBB" w:sz="1"/>
              <w:right w:val="single" w:color="BBBBBB" w:sz="1"/>
            </w:tcBorders>
            <w:shd w:fill="FDEBD0" w:val="clear"/>
            <w:tcMar>
              <w:top w:type="dxa" w:w="80"/>
              <w:left w:type="dxa" w:w="120"/>
              <w:bottom w:type="dxa" w:w="80"/>
              <w:right w:type="dxa" w:w="120"/>
            </w:tcMar>
            <w:vAlign w:val="center"/>
          </w:tcPr>
          <w:p>
            <w:pPr>
              <w:jc w:val="left"/>
            </w:pPr>
            <w:r>
              <w:rPr>
                <w:rFonts w:ascii="Arial" w:cs="Arial" w:eastAsia="Arial" w:hAnsi="Arial"/>
                <w:b/>
                <w:bCs/>
                <w:color w:val="E67E22"/>
                <w:sz w:val="20"/>
                <w:szCs w:val="20"/>
              </w:rPr>
              <w:t xml:space="preserve">Fibrilação ventricular se Mg &lt; 1,0 mEq/L</w:t>
            </w:r>
          </w:p>
        </w:tc>
      </w:tr>
      <w:tr>
        <w:tc>
          <w:tcPr>
            <w:tcW w:type="dxa" w:w="1800"/>
            <w:gridSpan w:val="1"/>
            <w:tcBorders>
              <w:top w:val="single" w:color="BBBBBB" w:sz="1"/>
              <w:left w:val="single" w:color="BBBBBB" w:sz="1"/>
              <w:bottom w:val="single" w:color="BBBBBB" w:sz="1"/>
              <w:right w:val="single" w:color="BBBBBB" w:sz="1"/>
            </w:tcBorders>
            <w:shd w:fill="FDEBD0" w:val="clear"/>
            <w:tcMar>
              <w:top w:type="dxa" w:w="80"/>
              <w:left w:type="dxa" w:w="120"/>
              <w:bottom w:type="dxa" w:w="80"/>
              <w:right w:type="dxa" w:w="120"/>
            </w:tcMar>
            <w:vAlign w:val="center"/>
          </w:tcPr>
          <w:p>
            <w:pPr>
              <w:jc w:val="left"/>
            </w:pPr>
            <w:r>
              <w:rPr>
                <w:rFonts w:ascii="Arial" w:cs="Arial" w:eastAsia="Arial" w:hAnsi="Arial"/>
                <w:b/>
                <w:bCs/>
                <w:color w:val="E67E22"/>
                <w:sz w:val="20"/>
                <w:szCs w:val="20"/>
              </w:rPr>
              <w:t xml:space="preserve">↓ Potássio</w:t>
            </w:r>
          </w:p>
        </w:tc>
        <w:tc>
          <w:tcPr>
            <w:tcW w:type="dxa" w:w="3780"/>
            <w:gridSpan w:val="1"/>
            <w:tcBorders>
              <w:top w:val="single" w:color="BBBBBB" w:sz="1"/>
              <w:left w:val="single" w:color="BBBBBB" w:sz="1"/>
              <w:bottom w:val="single" w:color="BBBBBB" w:sz="1"/>
              <w:right w:val="single" w:color="BBBBBB" w:sz="1"/>
            </w:tcBorders>
            <w:shd w:fill="FDEBD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Fraqueza muscular, paralisia flácida, íleo, ECG: ondas U, alargamento QT, ST changes</w:t>
            </w:r>
          </w:p>
        </w:tc>
        <w:tc>
          <w:tcPr>
            <w:tcW w:type="dxa" w:w="3780"/>
            <w:gridSpan w:val="1"/>
            <w:tcBorders>
              <w:top w:val="single" w:color="BBBBBB" w:sz="1"/>
              <w:left w:val="single" w:color="BBBBBB" w:sz="1"/>
              <w:bottom w:val="single" w:color="BBBBBB" w:sz="1"/>
              <w:right w:val="single" w:color="BBBBBB" w:sz="1"/>
            </w:tcBorders>
            <w:shd w:fill="FDEBD0" w:val="clear"/>
            <w:tcMar>
              <w:top w:type="dxa" w:w="80"/>
              <w:left w:type="dxa" w:w="120"/>
              <w:bottom w:type="dxa" w:w="80"/>
              <w:right w:type="dxa" w:w="120"/>
            </w:tcMar>
            <w:vAlign w:val="center"/>
          </w:tcPr>
          <w:p>
            <w:pPr>
              <w:jc w:val="left"/>
            </w:pPr>
            <w:r>
              <w:rPr>
                <w:rFonts w:ascii="Arial" w:cs="Arial" w:eastAsia="Arial" w:hAnsi="Arial"/>
                <w:b/>
                <w:bCs/>
                <w:color w:val="E67E22"/>
                <w:sz w:val="20"/>
                <w:szCs w:val="20"/>
              </w:rPr>
              <w:t xml:space="preserve">Torsades de pointes, FV — monitorar ECG contínuo</w:t>
            </w:r>
          </w:p>
        </w:tc>
      </w:tr>
      <w:tr>
        <w:tc>
          <w:tcPr>
            <w:tcW w:type="dxa" w:w="180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Hiperglicemia + Retenção Na/H₂O</w:t>
            </w:r>
          </w:p>
        </w:tc>
        <w:tc>
          <w:tcPr>
            <w:tcW w:type="dxa" w:w="378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Edema agudo de pulmão, ICC descompensada, sobrecarga volêmica</w:t>
            </w:r>
          </w:p>
        </w:tc>
        <w:tc>
          <w:tcPr>
            <w:tcW w:type="dxa" w:w="378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bCs/>
                <w:color w:val="2E5FA3"/>
                <w:sz w:val="20"/>
                <w:szCs w:val="20"/>
              </w:rPr>
              <w:t xml:space="preserve">Insuficiência respiratória aguda — ICC de realimentação</w:t>
            </w:r>
          </w:p>
        </w:tc>
      </w:tr>
      <w:tr>
        <w:tc>
          <w:tcPr>
            <w:tcW w:type="dxa" w:w="1800"/>
            <w:gridSpan w:val="1"/>
            <w:tcBorders>
              <w:top w:val="single" w:color="BBBBBB" w:sz="1"/>
              <w:left w:val="single" w:color="BBBBBB" w:sz="1"/>
              <w:bottom w:val="single" w:color="BBBBBB" w:sz="1"/>
              <w:right w:val="single" w:color="BBBBBB" w:sz="1"/>
            </w:tcBorders>
            <w:shd w:fill="FADBD8" w:val="clear"/>
            <w:tcMar>
              <w:top w:type="dxa" w:w="80"/>
              <w:left w:type="dxa" w:w="120"/>
              <w:bottom w:type="dxa" w:w="80"/>
              <w:right w:type="dxa" w:w="120"/>
            </w:tcMar>
            <w:vAlign w:val="center"/>
          </w:tcPr>
          <w:p>
            <w:pPr>
              <w:jc w:val="left"/>
            </w:pPr>
            <w:r>
              <w:rPr>
                <w:rFonts w:ascii="Arial" w:cs="Arial" w:eastAsia="Arial" w:hAnsi="Arial"/>
                <w:b/>
                <w:bCs/>
                <w:color w:val="C0392B"/>
                <w:sz w:val="20"/>
                <w:szCs w:val="20"/>
              </w:rPr>
              <w:t xml:space="preserve">Déficit Tiamina (B1)</w:t>
            </w:r>
          </w:p>
        </w:tc>
        <w:tc>
          <w:tcPr>
            <w:tcW w:type="dxa" w:w="3780"/>
            <w:gridSpan w:val="1"/>
            <w:tcBorders>
              <w:top w:val="single" w:color="BBBBBB" w:sz="1"/>
              <w:left w:val="single" w:color="BBBBBB" w:sz="1"/>
              <w:bottom w:val="single" w:color="BBBBBB" w:sz="1"/>
              <w:right w:val="single" w:color="BBBBBB" w:sz="1"/>
            </w:tcBorders>
            <w:shd w:fill="FADBD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Encefalopatia de Wernicke (tríade: oftalmoplegia, ataxia, confusão), Korsakoff, beribéri</w:t>
            </w:r>
          </w:p>
        </w:tc>
        <w:tc>
          <w:tcPr>
            <w:tcW w:type="dxa" w:w="3780"/>
            <w:gridSpan w:val="1"/>
            <w:tcBorders>
              <w:top w:val="single" w:color="BBBBBB" w:sz="1"/>
              <w:left w:val="single" w:color="BBBBBB" w:sz="1"/>
              <w:bottom w:val="single" w:color="BBBBBB" w:sz="1"/>
              <w:right w:val="single" w:color="BBBBBB" w:sz="1"/>
            </w:tcBorders>
            <w:shd w:fill="FADBD8" w:val="clear"/>
            <w:tcMar>
              <w:top w:type="dxa" w:w="80"/>
              <w:left w:type="dxa" w:w="120"/>
              <w:bottom w:type="dxa" w:w="80"/>
              <w:right w:type="dxa" w:w="120"/>
            </w:tcMar>
            <w:vAlign w:val="center"/>
          </w:tcPr>
          <w:p>
            <w:pPr>
              <w:jc w:val="left"/>
            </w:pPr>
            <w:r>
              <w:rPr>
                <w:rFonts w:ascii="Arial" w:cs="Arial" w:eastAsia="Arial" w:hAnsi="Arial"/>
                <w:b/>
                <w:bCs/>
                <w:color w:val="C0392B"/>
                <w:sz w:val="20"/>
                <w:szCs w:val="20"/>
              </w:rPr>
              <w:t xml:space="preserve">Dano neurológico permanente se não tratado imediatamente</w:t>
            </w:r>
          </w:p>
        </w:tc>
      </w:tr>
    </w:tbl>
    <w:p>
      <w:pPr>
        <w:spacing w:after="100" w:before="100"/>
      </w:pPr>
      <w:r>
        <w:rPr>
          <w:sz w:val="20"/>
          <w:szCs w:val="20"/>
        </w:rPr>
        <w:t xml:space="preserve"/>
      </w:r>
    </w:p>
    <w:p>
      <w:pPr>
        <w:pStyle w:val="Heading2"/>
        <w:spacing w:after="120" w:before="240"/>
      </w:pPr>
      <w:r>
        <w:rPr>
          <w:rFonts w:ascii="Arial" w:cs="Arial" w:eastAsia="Arial" w:hAnsi="Arial"/>
          <w:b/>
          <w:bCs/>
          <w:color w:val="2E5FA3"/>
          <w:sz w:val="28"/>
          <w:szCs w:val="28"/>
        </w:rPr>
        <w:t xml:space="preserve">10.4 Protocolo de Manejo da SR — UTI</w:t>
      </w:r>
    </w:p>
    <w:p>
      <w:pPr>
        <w:pStyle w:val="ListParagraph"/>
        <w:numPr>
          <w:ilvl w:val="0"/>
          <w:numId w:val="3"/>
        </w:numPr>
        <w:spacing w:after="40" w:before="40"/>
      </w:pPr>
      <w:r>
        <w:rPr>
          <w:rFonts w:ascii="Arial" w:cs="Arial" w:eastAsia="Arial" w:hAnsi="Arial"/>
          <w:sz w:val="20"/>
          <w:szCs w:val="20"/>
        </w:rPr>
        <w:t xml:space="preserve">Identificar pacientes de ALTO RISCO antes de iniciar qualquer aporte calórico</w:t>
      </w:r>
    </w:p>
    <w:p>
      <w:pPr>
        <w:pStyle w:val="ListParagraph"/>
        <w:numPr>
          <w:ilvl w:val="0"/>
          <w:numId w:val="3"/>
        </w:numPr>
        <w:spacing w:after="40" w:before="40"/>
      </w:pPr>
      <w:r>
        <w:rPr>
          <w:rFonts w:ascii="Arial" w:cs="Arial" w:eastAsia="Arial" w:hAnsi="Arial"/>
          <w:sz w:val="20"/>
          <w:szCs w:val="20"/>
        </w:rPr>
        <w:t xml:space="preserve">Suplementar TIAMINA 100–300 mg IV ANTES de qualquer glicose ou NPT</w:t>
      </w:r>
    </w:p>
    <w:p>
      <w:pPr>
        <w:pStyle w:val="ListParagraph"/>
        <w:numPr>
          <w:ilvl w:val="0"/>
          <w:numId w:val="3"/>
        </w:numPr>
        <w:spacing w:after="40" w:before="40"/>
      </w:pPr>
      <w:r>
        <w:rPr>
          <w:rFonts w:ascii="Arial" w:cs="Arial" w:eastAsia="Arial" w:hAnsi="Arial"/>
          <w:sz w:val="20"/>
          <w:szCs w:val="20"/>
        </w:rPr>
        <w:t xml:space="preserve">Corrigir eletrólitos PRÉ-INÍCIO: fósforo &gt; 0,5 mmol/L, K &gt; 3,5 mEq/L, Mg &gt; 0,6 mmol/L</w:t>
      </w:r>
    </w:p>
    <w:p>
      <w:pPr>
        <w:pStyle w:val="ListParagraph"/>
        <w:numPr>
          <w:ilvl w:val="0"/>
          <w:numId w:val="3"/>
        </w:numPr>
        <w:spacing w:after="40" w:before="40"/>
      </w:pPr>
      <w:r>
        <w:rPr>
          <w:rFonts w:ascii="Arial" w:cs="Arial" w:eastAsia="Arial" w:hAnsi="Arial"/>
          <w:sz w:val="20"/>
          <w:szCs w:val="20"/>
        </w:rPr>
        <w:t xml:space="preserve">Iniciar NPT/NE com 10–15 kcal/kg/dia (máx 50% da meta) — NUNCA full rate de início</w:t>
      </w:r>
    </w:p>
    <w:p>
      <w:pPr>
        <w:pStyle w:val="ListParagraph"/>
        <w:numPr>
          <w:ilvl w:val="0"/>
          <w:numId w:val="3"/>
        </w:numPr>
        <w:spacing w:after="40" w:before="40"/>
      </w:pPr>
      <w:r>
        <w:rPr>
          <w:rFonts w:ascii="Arial" w:cs="Arial" w:eastAsia="Arial" w:hAnsi="Arial"/>
          <w:sz w:val="20"/>
          <w:szCs w:val="20"/>
        </w:rPr>
        <w:t xml:space="preserve">Progredir lentamente: +33% a cada 24–48h conforme eletrólitos e tolerância</w:t>
      </w:r>
    </w:p>
    <w:p>
      <w:pPr>
        <w:pStyle w:val="ListParagraph"/>
        <w:numPr>
          <w:ilvl w:val="0"/>
          <w:numId w:val="3"/>
        </w:numPr>
        <w:spacing w:after="40" w:before="40"/>
      </w:pPr>
      <w:r>
        <w:rPr>
          <w:rFonts w:ascii="Arial" w:cs="Arial" w:eastAsia="Arial" w:hAnsi="Arial"/>
          <w:sz w:val="20"/>
          <w:szCs w:val="20"/>
        </w:rPr>
        <w:t xml:space="preserve">Monitorar eletrólitos a cada 6–12h nas primeiras 48–72h</w:t>
      </w:r>
    </w:p>
    <w:p>
      <w:pPr>
        <w:pStyle w:val="ListParagraph"/>
        <w:numPr>
          <w:ilvl w:val="0"/>
          <w:numId w:val="3"/>
        </w:numPr>
        <w:spacing w:after="40" w:before="40"/>
      </w:pPr>
      <w:r>
        <w:rPr>
          <w:rFonts w:ascii="Arial" w:cs="Arial" w:eastAsia="Arial" w:hAnsi="Arial"/>
          <w:sz w:val="20"/>
          <w:szCs w:val="20"/>
        </w:rPr>
        <w:t xml:space="preserve">Repor fósforo, magnésio e potássio agressivamente se queda mesmo antes dos sintomas</w:t>
      </w:r>
    </w:p>
    <w:p>
      <w:pPr>
        <w:pStyle w:val="ListParagraph"/>
        <w:numPr>
          <w:ilvl w:val="0"/>
          <w:numId w:val="3"/>
        </w:numPr>
        <w:spacing w:after="40" w:before="40"/>
      </w:pPr>
      <w:r>
        <w:rPr>
          <w:rFonts w:ascii="Arial" w:cs="Arial" w:eastAsia="Arial" w:hAnsi="Arial"/>
          <w:sz w:val="20"/>
          <w:szCs w:val="20"/>
        </w:rPr>
        <w:t xml:space="preserve">Restricão de sódio e volume nas primeiras 24–48h (risco de edema de realimentação)</w:t>
      </w:r>
    </w:p>
    <w:p>
      <w:pPr>
        <w:pStyle w:val="ListParagraph"/>
        <w:numPr>
          <w:ilvl w:val="0"/>
          <w:numId w:val="3"/>
        </w:numPr>
        <w:spacing w:after="40" w:before="40"/>
      </w:pPr>
      <w:r>
        <w:rPr>
          <w:rFonts w:ascii="Arial" w:cs="Arial" w:eastAsia="Arial" w:hAnsi="Arial"/>
          <w:sz w:val="20"/>
          <w:szCs w:val="20"/>
        </w:rPr>
        <w:t xml:space="preserve">Monitorar ECG contínuo se K &lt; 3,0 mEq/L ou Mg &lt; 1,5 mg/dL</w:t>
      </w:r>
    </w:p>
    <w:p>
      <w:pPr>
        <w:pStyle w:val="ListParagraph"/>
        <w:numPr>
          <w:ilvl w:val="0"/>
          <w:numId w:val="3"/>
        </w:numPr>
        <w:spacing w:after="40" w:before="40"/>
      </w:pPr>
      <w:r>
        <w:rPr>
          <w:rFonts w:ascii="Arial" w:cs="Arial" w:eastAsia="Arial" w:hAnsi="Arial"/>
          <w:sz w:val="20"/>
          <w:szCs w:val="20"/>
        </w:rPr>
        <w:t xml:space="preserve">Se SR grave (fosfatemia &lt; 0,5 mmol/L com sintomas): SUSPENDER NPT temporariamente</w:t>
      </w:r>
    </w:p>
    <w:p>
      <w:pPr>
        <w:spacing w:after="40" w:before="80"/>
      </w:pPr>
      <w:r>
        <w:rPr>
          <w:sz w:val="20"/>
          <w:szCs w:val="20"/>
        </w:rPr>
        <w:t xml:space="preserve"/>
      </w:r>
    </w:p>
    <w:p>
      <w:pPr>
        <w:pStyle w:val="Heading2"/>
        <w:spacing w:after="120" w:before="240"/>
      </w:pPr>
      <w:r>
        <w:rPr>
          <w:rFonts w:ascii="Arial" w:cs="Arial" w:eastAsia="Arial" w:hAnsi="Arial"/>
          <w:b/>
          <w:bCs/>
          <w:color w:val="2E5FA3"/>
          <w:sz w:val="28"/>
          <w:szCs w:val="28"/>
        </w:rPr>
        <w:t xml:space="preserve">10.5 Reposição de Fósforo em UTI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FFFFFF" w:sz="1"/>
              <w:left w:val="single" w:color="FFFFFF" w:sz="1"/>
              <w:bottom w:val="single" w:color="FFFFFF" w:sz="1"/>
              <w:right w:val="single" w:color="FFFFFF"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FOSFATEMIA (mmol/L)</w:t>
            </w:r>
          </w:p>
        </w:tc>
        <w:tc>
          <w:tcPr>
            <w:tcW w:type="dxa" w:w="2340"/>
            <w:gridSpan w:val="1"/>
            <w:tcBorders>
              <w:top w:val="single" w:color="FFFFFF" w:sz="1"/>
              <w:left w:val="single" w:color="FFFFFF" w:sz="1"/>
              <w:bottom w:val="single" w:color="FFFFFF" w:sz="1"/>
              <w:right w:val="single" w:color="FFFFFF"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SEVERIDADE</w:t>
            </w:r>
          </w:p>
        </w:tc>
        <w:tc>
          <w:tcPr>
            <w:tcW w:type="dxa" w:w="2340"/>
            <w:gridSpan w:val="1"/>
            <w:tcBorders>
              <w:top w:val="single" w:color="FFFFFF" w:sz="1"/>
              <w:left w:val="single" w:color="FFFFFF" w:sz="1"/>
              <w:bottom w:val="single" w:color="FFFFFF" w:sz="1"/>
              <w:right w:val="single" w:color="FFFFFF"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DOSE IV (mmol/4–6h)</w:t>
            </w:r>
          </w:p>
        </w:tc>
        <w:tc>
          <w:tcPr>
            <w:tcW w:type="dxa" w:w="2340"/>
            <w:gridSpan w:val="1"/>
            <w:tcBorders>
              <w:top w:val="single" w:color="FFFFFF" w:sz="1"/>
              <w:left w:val="single" w:color="FFFFFF" w:sz="1"/>
              <w:bottom w:val="single" w:color="FFFFFF" w:sz="1"/>
              <w:right w:val="single" w:color="FFFFFF"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VELOCIDADE MÁX</w:t>
            </w:r>
          </w:p>
        </w:tc>
      </w:tr>
      <w:tr>
        <w:tc>
          <w:tcPr>
            <w:tcW w:type="dxa" w:w="2340"/>
            <w:gridSpan w:val="1"/>
            <w:tcBorders>
              <w:top w:val="single" w:color="BBBBBB" w:sz="1"/>
              <w:left w:val="single" w:color="BBBBBB" w:sz="1"/>
              <w:bottom w:val="single" w:color="BBBBBB" w:sz="1"/>
              <w:right w:val="single" w:color="BBBBBB" w:sz="1"/>
            </w:tcBorders>
            <w:shd w:fill="FDEBD0" w:val="clear"/>
            <w:tcMar>
              <w:top w:type="dxa" w:w="80"/>
              <w:left w:type="dxa" w:w="120"/>
              <w:bottom w:type="dxa" w:w="80"/>
              <w:right w:type="dxa" w:w="120"/>
            </w:tcMar>
            <w:vAlign w:val="center"/>
          </w:tcPr>
          <w:p>
            <w:pPr>
              <w:jc w:val="left"/>
            </w:pPr>
            <w:r>
              <w:rPr>
                <w:rFonts w:ascii="Arial" w:cs="Arial" w:eastAsia="Arial" w:hAnsi="Arial"/>
                <w:b/>
                <w:bCs/>
                <w:color w:val="E67E22"/>
                <w:sz w:val="20"/>
                <w:szCs w:val="20"/>
              </w:rPr>
              <w:t xml:space="preserve">0,6 – 0,85</w:t>
            </w:r>
          </w:p>
        </w:tc>
        <w:tc>
          <w:tcPr>
            <w:tcW w:type="dxa" w:w="2340"/>
            <w:gridSpan w:val="1"/>
            <w:tcBorders>
              <w:top w:val="single" w:color="BBBBBB" w:sz="1"/>
              <w:left w:val="single" w:color="BBBBBB" w:sz="1"/>
              <w:bottom w:val="single" w:color="BBBBBB" w:sz="1"/>
              <w:right w:val="single" w:color="BBBBBB" w:sz="1"/>
            </w:tcBorders>
            <w:shd w:fill="FDEBD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Leve</w:t>
            </w:r>
          </w:p>
        </w:tc>
        <w:tc>
          <w:tcPr>
            <w:tcW w:type="dxa" w:w="2340"/>
            <w:gridSpan w:val="1"/>
            <w:tcBorders>
              <w:top w:val="single" w:color="BBBBBB" w:sz="1"/>
              <w:left w:val="single" w:color="BBBBBB" w:sz="1"/>
              <w:bottom w:val="single" w:color="BBBBBB" w:sz="1"/>
              <w:right w:val="single" w:color="BBBBBB" w:sz="1"/>
            </w:tcBorders>
            <w:shd w:fill="FDEBD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0,16 mmol/kg IV</w:t>
            </w:r>
          </w:p>
        </w:tc>
        <w:tc>
          <w:tcPr>
            <w:tcW w:type="dxa" w:w="2340"/>
            <w:gridSpan w:val="1"/>
            <w:tcBorders>
              <w:top w:val="single" w:color="BBBBBB" w:sz="1"/>
              <w:left w:val="single" w:color="BBBBBB" w:sz="1"/>
              <w:bottom w:val="single" w:color="BBBBBB" w:sz="1"/>
              <w:right w:val="single" w:color="BBBBBB" w:sz="1"/>
            </w:tcBorders>
            <w:shd w:fill="FDEBD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7,5 mmol/h</w:t>
            </w:r>
          </w:p>
        </w:tc>
      </w:tr>
      <w:tr>
        <w:tc>
          <w:tcPr>
            <w:tcW w:type="dxa" w:w="2340"/>
            <w:gridSpan w:val="1"/>
            <w:tcBorders>
              <w:top w:val="single" w:color="BBBBBB" w:sz="1"/>
              <w:left w:val="single" w:color="BBBBBB" w:sz="1"/>
              <w:bottom w:val="single" w:color="BBBBBB" w:sz="1"/>
              <w:right w:val="single" w:color="BBBBBB" w:sz="1"/>
            </w:tcBorders>
            <w:shd w:fill="FADBD8" w:val="clear"/>
            <w:tcMar>
              <w:top w:type="dxa" w:w="80"/>
              <w:left w:type="dxa" w:w="120"/>
              <w:bottom w:type="dxa" w:w="80"/>
              <w:right w:type="dxa" w:w="120"/>
            </w:tcMar>
            <w:vAlign w:val="center"/>
          </w:tcPr>
          <w:p>
            <w:pPr>
              <w:jc w:val="left"/>
            </w:pPr>
            <w:r>
              <w:rPr>
                <w:rFonts w:ascii="Arial" w:cs="Arial" w:eastAsia="Arial" w:hAnsi="Arial"/>
                <w:b/>
                <w:bCs/>
                <w:color w:val="C0392B"/>
                <w:sz w:val="20"/>
                <w:szCs w:val="20"/>
              </w:rPr>
              <w:t xml:space="preserve">0,32 – 0,6</w:t>
            </w:r>
          </w:p>
        </w:tc>
        <w:tc>
          <w:tcPr>
            <w:tcW w:type="dxa" w:w="2340"/>
            <w:gridSpan w:val="1"/>
            <w:tcBorders>
              <w:top w:val="single" w:color="BBBBBB" w:sz="1"/>
              <w:left w:val="single" w:color="BBBBBB" w:sz="1"/>
              <w:bottom w:val="single" w:color="BBBBBB" w:sz="1"/>
              <w:right w:val="single" w:color="BBBBBB" w:sz="1"/>
            </w:tcBorders>
            <w:shd w:fill="FADBD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Moderada</w:t>
            </w:r>
          </w:p>
        </w:tc>
        <w:tc>
          <w:tcPr>
            <w:tcW w:type="dxa" w:w="2340"/>
            <w:gridSpan w:val="1"/>
            <w:tcBorders>
              <w:top w:val="single" w:color="BBBBBB" w:sz="1"/>
              <w:left w:val="single" w:color="BBBBBB" w:sz="1"/>
              <w:bottom w:val="single" w:color="BBBBBB" w:sz="1"/>
              <w:right w:val="single" w:color="BBBBBB" w:sz="1"/>
            </w:tcBorders>
            <w:shd w:fill="FADBD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0,32 mmol/kg IV</w:t>
            </w:r>
          </w:p>
        </w:tc>
        <w:tc>
          <w:tcPr>
            <w:tcW w:type="dxa" w:w="2340"/>
            <w:gridSpan w:val="1"/>
            <w:tcBorders>
              <w:top w:val="single" w:color="BBBBBB" w:sz="1"/>
              <w:left w:val="single" w:color="BBBBBB" w:sz="1"/>
              <w:bottom w:val="single" w:color="BBBBBB" w:sz="1"/>
              <w:right w:val="single" w:color="BBBBBB" w:sz="1"/>
            </w:tcBorders>
            <w:shd w:fill="FADBD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15 mmol/h</w:t>
            </w:r>
          </w:p>
        </w:tc>
      </w:tr>
      <w:tr>
        <w:tc>
          <w:tcPr>
            <w:tcW w:type="dxa" w:w="2340"/>
            <w:gridSpan w:val="1"/>
            <w:tcBorders>
              <w:top w:val="single" w:color="BBBBBB" w:sz="1"/>
              <w:left w:val="single" w:color="BBBBBB" w:sz="1"/>
              <w:bottom w:val="single" w:color="BBBBBB" w:sz="1"/>
              <w:right w:val="single" w:color="BBBBBB" w:sz="1"/>
            </w:tcBorders>
            <w:shd w:fill="B03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&lt; 0,32</w:t>
            </w:r>
          </w:p>
        </w:tc>
        <w:tc>
          <w:tcPr>
            <w:tcW w:type="dxa" w:w="2340"/>
            <w:gridSpan w:val="1"/>
            <w:tcBorders>
              <w:top w:val="single" w:color="BBBBBB" w:sz="1"/>
              <w:left w:val="single" w:color="BBBBBB" w:sz="1"/>
              <w:bottom w:val="single" w:color="BBBBBB" w:sz="1"/>
              <w:right w:val="single" w:color="BBBBBB" w:sz="1"/>
            </w:tcBorders>
            <w:shd w:fill="B03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GRAVE — EMERGÊNCIA</w:t>
            </w:r>
          </w:p>
        </w:tc>
        <w:tc>
          <w:tcPr>
            <w:tcW w:type="dxa" w:w="2340"/>
            <w:gridSpan w:val="1"/>
            <w:tcBorders>
              <w:top w:val="single" w:color="BBBBBB" w:sz="1"/>
              <w:left w:val="single" w:color="BBBBBB" w:sz="1"/>
              <w:bottom w:val="single" w:color="BBBBBB" w:sz="1"/>
              <w:right w:val="single" w:color="BBBBBB" w:sz="1"/>
            </w:tcBorders>
            <w:shd w:fill="B03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0,64 mmol/kg IV + UTI</w:t>
            </w:r>
          </w:p>
        </w:tc>
        <w:tc>
          <w:tcPr>
            <w:tcW w:type="dxa" w:w="2340"/>
            <w:gridSpan w:val="1"/>
            <w:tcBorders>
              <w:top w:val="single" w:color="BBBBBB" w:sz="1"/>
              <w:left w:val="single" w:color="BBBBBB" w:sz="1"/>
              <w:bottom w:val="single" w:color="BBBBBB" w:sz="1"/>
              <w:right w:val="single" w:color="BBBBBB" w:sz="1"/>
            </w:tcBorders>
            <w:shd w:fill="B03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20 mmol/h — monitorar ECG</w:t>
            </w:r>
          </w:p>
        </w:tc>
      </w:tr>
    </w:tbl>
    <w:p>
      <w:pPr>
        <w:spacing w:after="100" w:before="100"/>
      </w:pPr>
      <w:r>
        <w:rPr>
          <w:sz w:val="20"/>
          <w:szCs w:val="20"/>
        </w:rPr>
        <w:t xml:space="preserve"/>
      </w:r>
    </w:p>
    <w:p>
      <w:pPr>
        <w:pBdr>
          <w:bottom w:val="single" w:color="D6E4F0" w:sz="4" w:space="1"/>
        </w:pBdr>
        <w:spacing w:after="200" w:before="200"/>
      </w:pPr>
      <w:r>
        <w:t xml:space="preserve"/>
      </w:r>
    </w:p>
    <w:p>
      <w:pPr>
        <w:pStyle w:val="Heading1"/>
        <w:pBdr>
          <w:bottom w:val="single" w:color="2E5FA3" w:sz="8" w:space="4"/>
        </w:pBdr>
        <w:spacing w:after="160" w:before="320"/>
      </w:pPr>
      <w:r>
        <w:rPr>
          <w:rFonts w:ascii="Arial" w:cs="Arial" w:eastAsia="Arial" w:hAnsi="Arial"/>
          <w:b/>
          <w:bCs/>
          <w:color w:val="1B3A6B"/>
          <w:sz w:val="36"/>
          <w:szCs w:val="36"/>
        </w:rPr>
        <w:t xml:space="preserve">11. DISTÚRBIOS HIDROELETROLÍTICOS ASSOCIADOS À NPT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880"/>
        <w:gridCol w:w="2880"/>
      </w:tblGrid>
      <w:tr>
        <w:tc>
          <w:tcPr>
            <w:tcW w:type="dxa" w:w="1800"/>
            <w:gridSpan w:val="1"/>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DISTÚRBIO</w:t>
            </w:r>
          </w:p>
        </w:tc>
        <w:tc>
          <w:tcPr>
            <w:tcW w:type="dxa" w:w="1800"/>
            <w:gridSpan w:val="1"/>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CAUSA NA NPT</w:t>
            </w:r>
          </w:p>
        </w:tc>
        <w:tc>
          <w:tcPr>
            <w:tcW w:type="dxa" w:w="2880"/>
            <w:gridSpan w:val="1"/>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PREVENÇÃO / MONITORIZAÇÃO</w:t>
            </w:r>
          </w:p>
        </w:tc>
        <w:tc>
          <w:tcPr>
            <w:tcW w:type="dxa" w:w="2880"/>
            <w:gridSpan w:val="1"/>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TRATAMENTO</w:t>
            </w:r>
          </w:p>
        </w:tc>
      </w:tr>
      <w:tr>
        <w:tc>
          <w:tcPr>
            <w:tcW w:type="dxa" w:w="1800"/>
            <w:gridSpan w:val="1"/>
            <w:tcBorders>
              <w:top w:val="single" w:color="BBBBBB" w:sz="1"/>
              <w:left w:val="single" w:color="BBBBBB" w:sz="1"/>
              <w:bottom w:val="single" w:color="BBBBBB" w:sz="1"/>
              <w:right w:val="single" w:color="BBBBBB" w:sz="1"/>
            </w:tcBorders>
            <w:shd w:fill="FADBD8" w:val="clear"/>
            <w:tcMar>
              <w:top w:type="dxa" w:w="80"/>
              <w:left w:type="dxa" w:w="120"/>
              <w:bottom w:type="dxa" w:w="80"/>
              <w:right w:type="dxa" w:w="120"/>
            </w:tcMar>
            <w:vAlign w:val="center"/>
          </w:tcPr>
          <w:p>
            <w:pPr>
              <w:jc w:val="left"/>
            </w:pPr>
            <w:r>
              <w:rPr>
                <w:rFonts w:ascii="Arial" w:cs="Arial" w:eastAsia="Arial" w:hAnsi="Arial"/>
                <w:b/>
                <w:bCs/>
                <w:color w:val="C0392B"/>
                <w:sz w:val="20"/>
                <w:szCs w:val="20"/>
              </w:rPr>
              <w:t xml:space="preserve">Hiperglicemia</w:t>
            </w:r>
          </w:p>
        </w:tc>
        <w:tc>
          <w:tcPr>
            <w:tcW w:type="dxa" w:w="1800"/>
            <w:gridSpan w:val="1"/>
            <w:tcBorders>
              <w:top w:val="single" w:color="BBBBBB" w:sz="1"/>
              <w:left w:val="single" w:color="BBBBBB" w:sz="1"/>
              <w:bottom w:val="single" w:color="BBBBBB" w:sz="1"/>
              <w:right w:val="single" w:color="BBBBBB" w:sz="1"/>
            </w:tcBorders>
            <w:shd w:fill="FADBD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Excesso de glicose; estresse; corticoides</w:t>
            </w:r>
          </w:p>
        </w:tc>
        <w:tc>
          <w:tcPr>
            <w:tcW w:type="dxa" w:w="2880"/>
            <w:gridSpan w:val="1"/>
            <w:tcBorders>
              <w:top w:val="single" w:color="BBBBBB" w:sz="1"/>
              <w:left w:val="single" w:color="BBBBBB" w:sz="1"/>
              <w:bottom w:val="single" w:color="BBBBBB" w:sz="1"/>
              <w:right w:val="single" w:color="BBBBBB" w:sz="1"/>
            </w:tcBorders>
            <w:shd w:fill="FADBD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Glicemia 4/4–6h; não ultrapassar 5 g/kg/dia; limitar taxa de infusão</w:t>
            </w:r>
          </w:p>
        </w:tc>
        <w:tc>
          <w:tcPr>
            <w:tcW w:type="dxa" w:w="2880"/>
            <w:gridSpan w:val="1"/>
            <w:tcBorders>
              <w:top w:val="single" w:color="BBBBBB" w:sz="1"/>
              <w:left w:val="single" w:color="BBBBBB" w:sz="1"/>
              <w:bottom w:val="single" w:color="BBBBBB" w:sz="1"/>
              <w:right w:val="single" w:color="BBBBBB" w:sz="1"/>
            </w:tcBorders>
            <w:shd w:fill="FADBD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Insulina regular em bomba; reduzir glicose na fórmula; meta 140–180 mg/dL</w:t>
            </w:r>
          </w:p>
        </w:tc>
      </w:tr>
      <w:tr>
        <w:tc>
          <w:tcPr>
            <w:tcW w:type="dxa" w:w="1800"/>
            <w:gridSpan w:val="1"/>
            <w:tcBorders>
              <w:top w:val="single" w:color="BBBBBB" w:sz="1"/>
              <w:left w:val="single" w:color="BBBBBB" w:sz="1"/>
              <w:bottom w:val="single" w:color="BBBBBB" w:sz="1"/>
              <w:right w:val="single" w:color="BBBBBB" w:sz="1"/>
            </w:tcBorders>
            <w:shd w:fill="FDEBD0" w:val="clear"/>
            <w:tcMar>
              <w:top w:type="dxa" w:w="80"/>
              <w:left w:type="dxa" w:w="120"/>
              <w:bottom w:type="dxa" w:w="80"/>
              <w:right w:type="dxa" w:w="120"/>
            </w:tcMar>
            <w:vAlign w:val="center"/>
          </w:tcPr>
          <w:p>
            <w:pPr>
              <w:jc w:val="left"/>
            </w:pPr>
            <w:r>
              <w:rPr>
                <w:rFonts w:ascii="Arial" w:cs="Arial" w:eastAsia="Arial" w:hAnsi="Arial"/>
                <w:b/>
                <w:bCs/>
                <w:color w:val="E67E22"/>
                <w:sz w:val="20"/>
                <w:szCs w:val="20"/>
              </w:rPr>
              <w:t xml:space="preserve">Hipernatremia</w:t>
            </w:r>
          </w:p>
        </w:tc>
        <w:tc>
          <w:tcPr>
            <w:tcW w:type="dxa" w:w="1800"/>
            <w:gridSpan w:val="1"/>
            <w:tcBorders>
              <w:top w:val="single" w:color="BBBBBB" w:sz="1"/>
              <w:left w:val="single" w:color="BBBBBB" w:sz="1"/>
              <w:bottom w:val="single" w:color="BBBBBB" w:sz="1"/>
              <w:right w:val="single" w:color="BBBBBB" w:sz="1"/>
            </w:tcBorders>
            <w:shd w:fill="FDEBD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Excesso de NaCl na fórmula; desidratação</w:t>
            </w:r>
          </w:p>
        </w:tc>
        <w:tc>
          <w:tcPr>
            <w:tcW w:type="dxa" w:w="2880"/>
            <w:gridSpan w:val="1"/>
            <w:tcBorders>
              <w:top w:val="single" w:color="BBBBBB" w:sz="1"/>
              <w:left w:val="single" w:color="BBBBBB" w:sz="1"/>
              <w:bottom w:val="single" w:color="BBBBBB" w:sz="1"/>
              <w:right w:val="single" w:color="BBBBBB" w:sz="1"/>
            </w:tcBorders>
            <w:shd w:fill="FDEBD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Calcular necessidades de Na com precisão; acompanhar balanço hídrico</w:t>
            </w:r>
          </w:p>
        </w:tc>
        <w:tc>
          <w:tcPr>
            <w:tcW w:type="dxa" w:w="2880"/>
            <w:gridSpan w:val="1"/>
            <w:tcBorders>
              <w:top w:val="single" w:color="BBBBBB" w:sz="1"/>
              <w:left w:val="single" w:color="BBBBBB" w:sz="1"/>
              <w:bottom w:val="single" w:color="BBBBBB" w:sz="1"/>
              <w:right w:val="single" w:color="BBBBBB" w:sz="1"/>
            </w:tcBorders>
            <w:shd w:fill="FDEBD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Reduzir Na na NPT; aumentar volume; SG 5% livre</w:t>
            </w:r>
          </w:p>
        </w:tc>
      </w:tr>
      <w:tr>
        <w:tc>
          <w:tcPr>
            <w:tcW w:type="dxa" w:w="180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Hiponatremia</w:t>
            </w:r>
          </w:p>
        </w:tc>
        <w:tc>
          <w:tcPr>
            <w:tcW w:type="dxa" w:w="180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Excesso de água livre; SIADH; reposição insuficiente</w:t>
            </w:r>
          </w:p>
        </w:tc>
        <w:tc>
          <w:tcPr>
            <w:tcW w:type="dxa" w:w="288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Osmolaridade sérica diária; restringir H₂O livre se SIADH</w:t>
            </w:r>
          </w:p>
        </w:tc>
        <w:tc>
          <w:tcPr>
            <w:tcW w:type="dxa" w:w="288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Restringir água; aumentar Na na NPT; tolvaptan em SIADH refratário</w:t>
            </w:r>
          </w:p>
        </w:tc>
      </w:tr>
      <w:tr>
        <w:tc>
          <w:tcPr>
            <w:tcW w:type="dxa" w:w="1800"/>
            <w:gridSpan w:val="1"/>
            <w:tcBorders>
              <w:top w:val="single" w:color="BBBBBB" w:sz="1"/>
              <w:left w:val="single" w:color="BBBBBB" w:sz="1"/>
              <w:bottom w:val="single" w:color="BBBBBB" w:sz="1"/>
              <w:right w:val="single" w:color="BBBBBB" w:sz="1"/>
            </w:tcBorders>
            <w:shd w:fill="FDEBD0" w:val="clear"/>
            <w:tcMar>
              <w:top w:type="dxa" w:w="80"/>
              <w:left w:type="dxa" w:w="120"/>
              <w:bottom w:type="dxa" w:w="80"/>
              <w:right w:type="dxa" w:w="120"/>
            </w:tcMar>
            <w:vAlign w:val="center"/>
          </w:tcPr>
          <w:p>
            <w:pPr>
              <w:jc w:val="left"/>
            </w:pPr>
            <w:r>
              <w:rPr>
                <w:rFonts w:ascii="Arial" w:cs="Arial" w:eastAsia="Arial" w:hAnsi="Arial"/>
                <w:b/>
                <w:bCs/>
                <w:color w:val="E67E22"/>
                <w:sz w:val="20"/>
                <w:szCs w:val="20"/>
              </w:rPr>
              <w:t xml:space="preserve">Hipercalemia</w:t>
            </w:r>
          </w:p>
        </w:tc>
        <w:tc>
          <w:tcPr>
            <w:tcW w:type="dxa" w:w="1800"/>
            <w:gridSpan w:val="1"/>
            <w:tcBorders>
              <w:top w:val="single" w:color="BBBBBB" w:sz="1"/>
              <w:left w:val="single" w:color="BBBBBB" w:sz="1"/>
              <w:bottom w:val="single" w:color="BBBBBB" w:sz="1"/>
              <w:right w:val="single" w:color="BBBBBB" w:sz="1"/>
            </w:tcBorders>
            <w:shd w:fill="FDEBD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IRA; excesso de K; acidose metabólica</w:t>
            </w:r>
          </w:p>
        </w:tc>
        <w:tc>
          <w:tcPr>
            <w:tcW w:type="dxa" w:w="2880"/>
            <w:gridSpan w:val="1"/>
            <w:tcBorders>
              <w:top w:val="single" w:color="BBBBBB" w:sz="1"/>
              <w:left w:val="single" w:color="BBBBBB" w:sz="1"/>
              <w:bottom w:val="single" w:color="BBBBBB" w:sz="1"/>
              <w:right w:val="single" w:color="BBBBBB" w:sz="1"/>
            </w:tcBorders>
            <w:shd w:fill="FDEBD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 sérico diário; ajustar dose na fórmula</w:t>
            </w:r>
          </w:p>
        </w:tc>
        <w:tc>
          <w:tcPr>
            <w:tcW w:type="dxa" w:w="2880"/>
            <w:gridSpan w:val="1"/>
            <w:tcBorders>
              <w:top w:val="single" w:color="BBBBBB" w:sz="1"/>
              <w:left w:val="single" w:color="BBBBBB" w:sz="1"/>
              <w:bottom w:val="single" w:color="BBBBBB" w:sz="1"/>
              <w:right w:val="single" w:color="BBBBBB" w:sz="1"/>
            </w:tcBorders>
            <w:shd w:fill="FDEBD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Reduzir/eliminar K da NPT; resinas; diálise se refratário</w:t>
            </w:r>
          </w:p>
        </w:tc>
      </w:tr>
      <w:tr>
        <w:tc>
          <w:tcPr>
            <w:tcW w:type="dxa" w:w="1800"/>
            <w:gridSpan w:val="1"/>
            <w:tcBorders>
              <w:top w:val="single" w:color="BBBBBB" w:sz="1"/>
              <w:left w:val="single" w:color="BBBBBB" w:sz="1"/>
              <w:bottom w:val="single" w:color="BBBBBB" w:sz="1"/>
              <w:right w:val="single" w:color="BBBBBB" w:sz="1"/>
            </w:tcBorders>
            <w:shd w:fill="FADBD8" w:val="clear"/>
            <w:tcMar>
              <w:top w:type="dxa" w:w="80"/>
              <w:left w:type="dxa" w:w="120"/>
              <w:bottom w:type="dxa" w:w="80"/>
              <w:right w:type="dxa" w:w="120"/>
            </w:tcMar>
            <w:vAlign w:val="center"/>
          </w:tcPr>
          <w:p>
            <w:pPr>
              <w:jc w:val="left"/>
            </w:pPr>
            <w:r>
              <w:rPr>
                <w:rFonts w:ascii="Arial" w:cs="Arial" w:eastAsia="Arial" w:hAnsi="Arial"/>
                <w:b/>
                <w:bCs/>
                <w:color w:val="C0392B"/>
                <w:sz w:val="20"/>
                <w:szCs w:val="20"/>
              </w:rPr>
              <w:t xml:space="preserve">Hipertrigliceridemia</w:t>
            </w:r>
          </w:p>
        </w:tc>
        <w:tc>
          <w:tcPr>
            <w:tcW w:type="dxa" w:w="1800"/>
            <w:gridSpan w:val="1"/>
            <w:tcBorders>
              <w:top w:val="single" w:color="BBBBBB" w:sz="1"/>
              <w:left w:val="single" w:color="BBBBBB" w:sz="1"/>
              <w:bottom w:val="single" w:color="BBBBBB" w:sz="1"/>
              <w:right w:val="single" w:color="BBBBBB" w:sz="1"/>
            </w:tcBorders>
            <w:shd w:fill="FADBD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Excesso de lipídeos; infusão rápida; deficiência de LPL</w:t>
            </w:r>
          </w:p>
        </w:tc>
        <w:tc>
          <w:tcPr>
            <w:tcW w:type="dxa" w:w="2880"/>
            <w:gridSpan w:val="1"/>
            <w:tcBorders>
              <w:top w:val="single" w:color="BBBBBB" w:sz="1"/>
              <w:left w:val="single" w:color="BBBBBB" w:sz="1"/>
              <w:bottom w:val="single" w:color="BBBBBB" w:sz="1"/>
              <w:right w:val="single" w:color="BBBBBB" w:sz="1"/>
            </w:tcBorders>
            <w:shd w:fill="FADBD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TG basal; medir 24–48h após lipídeo; não ultrapassar 0,1 g/kg/h</w:t>
            </w:r>
          </w:p>
        </w:tc>
        <w:tc>
          <w:tcPr>
            <w:tcW w:type="dxa" w:w="2880"/>
            <w:gridSpan w:val="1"/>
            <w:tcBorders>
              <w:top w:val="single" w:color="BBBBBB" w:sz="1"/>
              <w:left w:val="single" w:color="BBBBBB" w:sz="1"/>
              <w:bottom w:val="single" w:color="BBBBBB" w:sz="1"/>
              <w:right w:val="single" w:color="BBBBBB" w:sz="1"/>
            </w:tcBorders>
            <w:shd w:fill="FADBD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Suspender lipídeo se TG &gt; 500 mg/dL; reduzir dose se 400–500</w:t>
            </w:r>
          </w:p>
        </w:tc>
      </w:tr>
      <w:tr>
        <w:tc>
          <w:tcPr>
            <w:tcW w:type="dxa" w:w="180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Hipervolemia</w:t>
            </w:r>
          </w:p>
        </w:tc>
        <w:tc>
          <w:tcPr>
            <w:tcW w:type="dxa" w:w="180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Volume excessivo da NPT; ICC; IRA oligúrica</w:t>
            </w:r>
          </w:p>
        </w:tc>
        <w:tc>
          <w:tcPr>
            <w:tcW w:type="dxa" w:w="288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Balanço hídrico diário; limitar volume NPT em restrito hídrico</w:t>
            </w:r>
          </w:p>
        </w:tc>
        <w:tc>
          <w:tcPr>
            <w:tcW w:type="dxa" w:w="288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NPT concentrada (&lt; 1500 mL); diuréticos; UF em TRS</w:t>
            </w:r>
          </w:p>
        </w:tc>
      </w:tr>
      <w:tr>
        <w:tc>
          <w:tcPr>
            <w:tcW w:type="dxa" w:w="1800"/>
            <w:gridSpan w:val="1"/>
            <w:tcBorders>
              <w:top w:val="single" w:color="BBBBBB" w:sz="1"/>
              <w:left w:val="single" w:color="BBBBBB" w:sz="1"/>
              <w:bottom w:val="single" w:color="BBBBBB" w:sz="1"/>
              <w:right w:val="single" w:color="BBBBBB" w:sz="1"/>
            </w:tcBorders>
            <w:shd w:fill="FDEBD0" w:val="clear"/>
            <w:tcMar>
              <w:top w:type="dxa" w:w="80"/>
              <w:left w:type="dxa" w:w="120"/>
              <w:bottom w:type="dxa" w:w="80"/>
              <w:right w:type="dxa" w:w="120"/>
            </w:tcMar>
            <w:vAlign w:val="center"/>
          </w:tcPr>
          <w:p>
            <w:pPr>
              <w:jc w:val="left"/>
            </w:pPr>
            <w:r>
              <w:rPr>
                <w:rFonts w:ascii="Arial" w:cs="Arial" w:eastAsia="Arial" w:hAnsi="Arial"/>
                <w:b/>
                <w:bCs/>
                <w:color w:val="E67E22"/>
                <w:sz w:val="20"/>
                <w:szCs w:val="20"/>
              </w:rPr>
              <w:t xml:space="preserve">Acidose metabólica (hiperclorêmica)</w:t>
            </w:r>
          </w:p>
        </w:tc>
        <w:tc>
          <w:tcPr>
            <w:tcW w:type="dxa" w:w="1800"/>
            <w:gridSpan w:val="1"/>
            <w:tcBorders>
              <w:top w:val="single" w:color="BBBBBB" w:sz="1"/>
              <w:left w:val="single" w:color="BBBBBB" w:sz="1"/>
              <w:bottom w:val="single" w:color="BBBBBB" w:sz="1"/>
              <w:right w:val="single" w:color="BBBBBB" w:sz="1"/>
            </w:tcBorders>
            <w:shd w:fill="FDEBD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Excesso de cloro (NaCl, KCl na formulação)</w:t>
            </w:r>
          </w:p>
        </w:tc>
        <w:tc>
          <w:tcPr>
            <w:tcW w:type="dxa" w:w="2880"/>
            <w:gridSpan w:val="1"/>
            <w:tcBorders>
              <w:top w:val="single" w:color="BBBBBB" w:sz="1"/>
              <w:left w:val="single" w:color="BBBBBB" w:sz="1"/>
              <w:bottom w:val="single" w:color="BBBBBB" w:sz="1"/>
              <w:right w:val="single" w:color="BBBBBB" w:sz="1"/>
            </w:tcBorders>
            <w:shd w:fill="FDEBD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 e gasometria 2–3× semana; verificar anion gap</w:t>
            </w:r>
          </w:p>
        </w:tc>
        <w:tc>
          <w:tcPr>
            <w:tcW w:type="dxa" w:w="2880"/>
            <w:gridSpan w:val="1"/>
            <w:tcBorders>
              <w:top w:val="single" w:color="BBBBBB" w:sz="1"/>
              <w:left w:val="single" w:color="BBBBBB" w:sz="1"/>
              <w:bottom w:val="single" w:color="BBBBBB" w:sz="1"/>
              <w:right w:val="single" w:color="BBBBBB" w:sz="1"/>
            </w:tcBorders>
            <w:shd w:fill="FDEBD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Substituir NaCl por NaAcetato; KCl por KAcetato na fórmula</w:t>
            </w:r>
          </w:p>
        </w:tc>
      </w:tr>
    </w:tbl>
    <w:p>
      <w:pPr>
        <w:spacing w:after="100" w:before="100"/>
      </w:pPr>
      <w:r>
        <w:rPr>
          <w:sz w:val="20"/>
          <w:szCs w:val="20"/>
        </w:rPr>
        <w:t xml:space="preserve"/>
      </w:r>
    </w:p>
    <w:p>
      <w:pPr>
        <w:pBdr>
          <w:bottom w:val="single" w:color="D6E4F0" w:sz="4" w:space="1"/>
        </w:pBdr>
        <w:spacing w:after="200" w:before="200"/>
      </w:pPr>
      <w:r>
        <w:t xml:space="preserve"/>
      </w:r>
    </w:p>
    <w:p>
      <w:pPr>
        <w:pStyle w:val="Heading1"/>
        <w:pBdr>
          <w:bottom w:val="single" w:color="2E5FA3" w:sz="8" w:space="4"/>
        </w:pBdr>
        <w:spacing w:after="160" w:before="320"/>
      </w:pPr>
      <w:r>
        <w:rPr>
          <w:rFonts w:ascii="Arial" w:cs="Arial" w:eastAsia="Arial" w:hAnsi="Arial"/>
          <w:b/>
          <w:bCs/>
          <w:color w:val="1B3A6B"/>
          <w:sz w:val="36"/>
          <w:szCs w:val="36"/>
        </w:rPr>
        <w:t xml:space="preserve">12. COMPLICAÇÕES E RISCOS DA NPT EM UTI</w:t>
      </w:r>
    </w:p>
    <w:p>
      <w:pPr>
        <w:pStyle w:val="Heading2"/>
        <w:spacing w:after="120" w:before="240"/>
      </w:pPr>
      <w:r>
        <w:rPr>
          <w:rFonts w:ascii="Arial" w:cs="Arial" w:eastAsia="Arial" w:hAnsi="Arial"/>
          <w:b/>
          <w:bCs/>
          <w:color w:val="2E5FA3"/>
          <w:sz w:val="28"/>
          <w:szCs w:val="28"/>
        </w:rPr>
        <w:t xml:space="preserve">12.1 Complicações do Cateter (CVC)</w:t>
      </w:r>
    </w:p>
    <w:p>
      <w:pPr>
        <w:pStyle w:val="ListParagraph"/>
        <w:numPr>
          <w:ilvl w:val="0"/>
          <w:numId w:val="2"/>
        </w:numPr>
        <w:spacing w:after="40" w:before="40"/>
      </w:pPr>
      <w:r>
        <w:rPr>
          <w:rFonts w:ascii="Arial" w:cs="Arial" w:eastAsia="Arial" w:hAnsi="Arial"/>
          <w:sz w:val="20"/>
          <w:szCs w:val="20"/>
        </w:rPr>
        <w:t xml:space="preserve">Infecção relacionada ao cateter (ICSRC): principal causa de complicação da NPT — incidência 2–5/1000 cateter-dia</w:t>
      </w:r>
    </w:p>
    <w:p>
      <w:pPr>
        <w:pStyle w:val="ListParagraph"/>
        <w:numPr>
          <w:ilvl w:val="0"/>
          <w:numId w:val="2"/>
        </w:numPr>
        <w:spacing w:after="40" w:before="40"/>
      </w:pPr>
      <w:r>
        <w:rPr>
          <w:rFonts w:ascii="Arial" w:cs="Arial" w:eastAsia="Arial" w:hAnsi="Arial"/>
          <w:sz w:val="20"/>
          <w:szCs w:val="20"/>
        </w:rPr>
        <w:t xml:space="preserve">Trombose venosa central: tromboflebite no CVC — NPT é fator de risco independente</w:t>
      </w:r>
    </w:p>
    <w:p>
      <w:pPr>
        <w:pStyle w:val="ListParagraph"/>
        <w:numPr>
          <w:ilvl w:val="0"/>
          <w:numId w:val="2"/>
        </w:numPr>
        <w:spacing w:after="40" w:before="40"/>
      </w:pPr>
      <w:r>
        <w:rPr>
          <w:rFonts w:ascii="Arial" w:cs="Arial" w:eastAsia="Arial" w:hAnsi="Arial"/>
          <w:sz w:val="20"/>
          <w:szCs w:val="20"/>
        </w:rPr>
        <w:t xml:space="preserve">Pneumotórax / hemotórax na inserção</w:t>
      </w:r>
    </w:p>
    <w:p>
      <w:pPr>
        <w:pStyle w:val="ListParagraph"/>
        <w:numPr>
          <w:ilvl w:val="0"/>
          <w:numId w:val="2"/>
        </w:numPr>
        <w:spacing w:after="40" w:before="40"/>
      </w:pPr>
      <w:r>
        <w:rPr>
          <w:rFonts w:ascii="Arial" w:cs="Arial" w:eastAsia="Arial" w:hAnsi="Arial"/>
          <w:sz w:val="20"/>
          <w:szCs w:val="20"/>
        </w:rPr>
        <w:t xml:space="preserve">Embolia aérea (risco na desconexão inadvertida)</w:t>
      </w:r>
    </w:p>
    <w:p>
      <w:pPr>
        <w:pStyle w:val="ListParagraph"/>
        <w:numPr>
          <w:ilvl w:val="0"/>
          <w:numId w:val="2"/>
        </w:numPr>
        <w:spacing w:after="40" w:before="40"/>
      </w:pPr>
      <w:r>
        <w:rPr>
          <w:rFonts w:ascii="Arial" w:cs="Arial" w:eastAsia="Arial" w:hAnsi="Arial"/>
          <w:sz w:val="20"/>
          <w:szCs w:val="20"/>
        </w:rPr>
        <w:t xml:space="preserve">Embolia lipídica — rara com emulsões modernas</w:t>
      </w:r>
    </w:p>
    <w:p>
      <w:pPr>
        <w:spacing w:after="20" w:before="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8"/>
              <w:left w:val="single" w:color="2E5FA3" w:sz="8"/>
              <w:bottom w:val="single" w:color="2E5FA3" w:sz="8"/>
              <w:right w:val="single" w:color="2E5FA3" w:sz="8"/>
            </w:tcBorders>
            <w:shd w:fill="D6E4F0" w:val="clear"/>
            <w:tcMar>
              <w:top w:type="dxa" w:w="120"/>
              <w:left w:type="dxa" w:w="200"/>
              <w:bottom w:type="dxa" w:w="120"/>
              <w:right w:type="dxa" w:w="200"/>
            </w:tcMar>
          </w:tcPr>
          <w:p>
            <w:r>
              <w:rPr>
                <w:rFonts w:ascii="Arial" w:cs="Arial" w:eastAsia="Arial" w:hAnsi="Arial"/>
                <w:b/>
                <w:bCs/>
                <w:color w:val="2E5FA3"/>
                <w:sz w:val="22"/>
                <w:szCs w:val="22"/>
              </w:rPr>
              <w:t xml:space="preserve">🛡 BUNDLE DE PREVENÇÃO — ICSRC</w:t>
            </w:r>
          </w:p>
          <w:p>
            <w:pPr>
              <w:spacing w:before="60"/>
            </w:pPr>
            <w:r>
              <w:rPr>
                <w:rFonts w:ascii="Arial" w:cs="Arial" w:eastAsia="Arial" w:hAnsi="Arial"/>
                <w:color w:val="000000"/>
                <w:sz w:val="20"/>
                <w:szCs w:val="20"/>
              </w:rPr>
              <w:t xml:space="preserve">BUNDLE DE PREVENÇÃO DE ICSRC (CDC/ANVISA): 1) Higienização das mãos; 2) Barreira máxima na inserção (avental, luvas, gorro, máscara, campo estéril amplo); 3) Clorexidina alcoólica 2% para antissepsia do sítio; 4) Preferir subclávia à femoral; 5) Remover CVC quando não necessário. Meta: zero ICSRC.</w:t>
            </w:r>
          </w:p>
        </w:tc>
      </w:tr>
    </w:tbl>
    <w:p>
      <w:pPr>
        <w:spacing w:after="40" w:before="80"/>
      </w:pPr>
      <w:r>
        <w:rPr>
          <w:sz w:val="20"/>
          <w:szCs w:val="20"/>
        </w:rPr>
        <w:t xml:space="preserve"/>
      </w:r>
    </w:p>
    <w:p>
      <w:pPr>
        <w:pStyle w:val="Heading2"/>
        <w:spacing w:after="120" w:before="240"/>
      </w:pPr>
      <w:r>
        <w:rPr>
          <w:rFonts w:ascii="Arial" w:cs="Arial" w:eastAsia="Arial" w:hAnsi="Arial"/>
          <w:b/>
          <w:bCs/>
          <w:color w:val="2E5FA3"/>
          <w:sz w:val="28"/>
          <w:szCs w:val="28"/>
        </w:rPr>
        <w:t xml:space="preserve">12.2 Complicações Metabólicas</w:t>
      </w:r>
    </w:p>
    <w:p>
      <w:pPr>
        <w:pStyle w:val="ListParagraph"/>
        <w:numPr>
          <w:ilvl w:val="0"/>
          <w:numId w:val="2"/>
        </w:numPr>
        <w:spacing w:after="40" w:before="40"/>
      </w:pPr>
      <w:r>
        <w:rPr>
          <w:rFonts w:ascii="Arial" w:cs="Arial" w:eastAsia="Arial" w:hAnsi="Arial"/>
          <w:sz w:val="20"/>
          <w:szCs w:val="20"/>
        </w:rPr>
        <w:t xml:space="preserve">Hiperglicemia: mais comum (30–50% dos pacientes em NPT) → risco de ICSRC, miopatia, polineuropatia, mortalidade</w:t>
      </w:r>
    </w:p>
    <w:p>
      <w:pPr>
        <w:pStyle w:val="ListParagraph"/>
        <w:numPr>
          <w:ilvl w:val="0"/>
          <w:numId w:val="2"/>
        </w:numPr>
        <w:spacing w:after="40" w:before="40"/>
      </w:pPr>
      <w:r>
        <w:rPr>
          <w:rFonts w:ascii="Arial" w:cs="Arial" w:eastAsia="Arial" w:hAnsi="Arial"/>
          <w:sz w:val="20"/>
          <w:szCs w:val="20"/>
        </w:rPr>
        <w:t xml:space="preserve">Hipoglicemia de rebote: ao interromper NPT abruptamente → reduzir gradualmente em 2–4h antes de suspender</w:t>
      </w:r>
    </w:p>
    <w:p>
      <w:pPr>
        <w:pStyle w:val="ListParagraph"/>
        <w:numPr>
          <w:ilvl w:val="0"/>
          <w:numId w:val="2"/>
        </w:numPr>
        <w:spacing w:after="40" w:before="40"/>
      </w:pPr>
      <w:r>
        <w:rPr>
          <w:rFonts w:ascii="Arial" w:cs="Arial" w:eastAsia="Arial" w:hAnsi="Arial"/>
          <w:sz w:val="20"/>
          <w:szCs w:val="20"/>
        </w:rPr>
        <w:t xml:space="preserve">Síndrome de Realimentação: ver Seção 10 — potencialmente fatal</w:t>
      </w:r>
    </w:p>
    <w:p>
      <w:pPr>
        <w:pStyle w:val="ListParagraph"/>
        <w:numPr>
          <w:ilvl w:val="0"/>
          <w:numId w:val="2"/>
        </w:numPr>
        <w:spacing w:after="40" w:before="40"/>
      </w:pPr>
      <w:r>
        <w:rPr>
          <w:rFonts w:ascii="Arial" w:cs="Arial" w:eastAsia="Arial" w:hAnsi="Arial"/>
          <w:sz w:val="20"/>
          <w:szCs w:val="20"/>
        </w:rPr>
        <w:t xml:space="preserve">Hipertrigliceridemia: risco de pancreatite aguda se TG &gt; 1000 mg/dL</w:t>
      </w:r>
    </w:p>
    <w:p>
      <w:pPr>
        <w:pStyle w:val="ListParagraph"/>
        <w:numPr>
          <w:ilvl w:val="0"/>
          <w:numId w:val="2"/>
        </w:numPr>
        <w:spacing w:after="40" w:before="40"/>
      </w:pPr>
      <w:r>
        <w:rPr>
          <w:rFonts w:ascii="Arial" w:cs="Arial" w:eastAsia="Arial" w:hAnsi="Arial"/>
          <w:sz w:val="20"/>
          <w:szCs w:val="20"/>
        </w:rPr>
        <w:t xml:space="preserve">Acidose metabólica hiperclorêmica: excesso de Cl⁻ na formulação</w:t>
      </w:r>
    </w:p>
    <w:p>
      <w:pPr>
        <w:pStyle w:val="ListParagraph"/>
        <w:numPr>
          <w:ilvl w:val="0"/>
          <w:numId w:val="2"/>
        </w:numPr>
        <w:spacing w:after="40" w:before="40"/>
      </w:pPr>
      <w:r>
        <w:rPr>
          <w:rFonts w:ascii="Arial" w:cs="Arial" w:eastAsia="Arial" w:hAnsi="Arial"/>
          <w:sz w:val="20"/>
          <w:szCs w:val="20"/>
        </w:rPr>
        <w:t xml:space="preserve">Hiperamonemia: aminoácidos excessivos + disfunção hepática</w:t>
      </w:r>
    </w:p>
    <w:p>
      <w:pPr>
        <w:spacing w:after="40" w:before="60"/>
      </w:pPr>
      <w:r>
        <w:rPr>
          <w:sz w:val="20"/>
          <w:szCs w:val="20"/>
        </w:rPr>
        <w:t xml:space="preserve"/>
      </w:r>
    </w:p>
    <w:p>
      <w:pPr>
        <w:pStyle w:val="Heading2"/>
        <w:spacing w:after="120" w:before="240"/>
      </w:pPr>
      <w:r>
        <w:rPr>
          <w:rFonts w:ascii="Arial" w:cs="Arial" w:eastAsia="Arial" w:hAnsi="Arial"/>
          <w:b/>
          <w:bCs/>
          <w:color w:val="2E5FA3"/>
          <w:sz w:val="28"/>
          <w:szCs w:val="28"/>
        </w:rPr>
        <w:t xml:space="preserve">12.3 Complicações Hepáticas e Biliares</w:t>
      </w:r>
    </w:p>
    <w:p>
      <w:pPr>
        <w:spacing w:after="60" w:before="60"/>
        <w:jc w:val="both"/>
      </w:pPr>
      <w:r>
        <w:rPr>
          <w:rFonts w:ascii="Arial" w:cs="Arial" w:eastAsia="Arial" w:hAnsi="Arial"/>
          <w:b w:val="false"/>
          <w:bCs w:val="false"/>
          <w:color w:val="000000"/>
          <w:sz w:val="20"/>
          <w:szCs w:val="20"/>
        </w:rPr>
        <w:t xml:space="preserve">A disfunção hepática associada à NPT (PNALD — Parenteral Nutrition Associated Liver Disease) é a complicação mais temida em NPT de longo prazo.</w:t>
      </w:r>
    </w:p>
    <w:p>
      <w:pPr>
        <w:pStyle w:val="ListParagraph"/>
        <w:numPr>
          <w:ilvl w:val="0"/>
          <w:numId w:val="2"/>
        </w:numPr>
        <w:spacing w:after="40" w:before="40"/>
      </w:pPr>
      <w:r>
        <w:rPr>
          <w:rFonts w:ascii="Arial" w:cs="Arial" w:eastAsia="Arial" w:hAnsi="Arial"/>
          <w:sz w:val="20"/>
          <w:szCs w:val="20"/>
        </w:rPr>
        <w:t xml:space="preserve">Esteatose hepática: mais precoce (dias–semanas) — hiperglicemia, excesso calórico total, deficiência de colina</w:t>
      </w:r>
    </w:p>
    <w:p>
      <w:pPr>
        <w:pStyle w:val="ListParagraph"/>
        <w:numPr>
          <w:ilvl w:val="0"/>
          <w:numId w:val="2"/>
        </w:numPr>
        <w:spacing w:after="40" w:before="40"/>
      </w:pPr>
      <w:r>
        <w:rPr>
          <w:rFonts w:ascii="Arial" w:cs="Arial" w:eastAsia="Arial" w:hAnsi="Arial"/>
          <w:sz w:val="20"/>
          <w:szCs w:val="20"/>
        </w:rPr>
        <w:t xml:space="preserve">Colestase intra-hepática: ausência de estímulo enteral → ↓ CCK → estase biliar → lithiasis</w:t>
      </w:r>
    </w:p>
    <w:p>
      <w:pPr>
        <w:pStyle w:val="ListParagraph"/>
        <w:numPr>
          <w:ilvl w:val="0"/>
          <w:numId w:val="2"/>
        </w:numPr>
        <w:spacing w:after="40" w:before="40"/>
      </w:pPr>
      <w:r>
        <w:rPr>
          <w:rFonts w:ascii="Arial" w:cs="Arial" w:eastAsia="Arial" w:hAnsi="Arial"/>
          <w:sz w:val="20"/>
          <w:szCs w:val="20"/>
        </w:rPr>
        <w:t xml:space="preserve">Colelitíase / Colecistite alitiásica: NPT &gt; 4 semanas → cálculos em 50% dos casos</w:t>
      </w:r>
    </w:p>
    <w:p>
      <w:pPr>
        <w:pStyle w:val="ListParagraph"/>
        <w:numPr>
          <w:ilvl w:val="0"/>
          <w:numId w:val="2"/>
        </w:numPr>
        <w:spacing w:after="40" w:before="40"/>
      </w:pPr>
      <w:r>
        <w:rPr>
          <w:rFonts w:ascii="Arial" w:cs="Arial" w:eastAsia="Arial" w:hAnsi="Arial"/>
          <w:sz w:val="20"/>
          <w:szCs w:val="20"/>
        </w:rPr>
        <w:t xml:space="preserve">Cirrose hepática: NPT &gt; 6 meses (especialmente em crianças)</w:t>
      </w:r>
    </w:p>
    <w:p>
      <w:pPr>
        <w:spacing w:after="20" w:before="40"/>
      </w:pPr>
      <w:r>
        <w:rPr>
          <w:sz w:val="20"/>
          <w:szCs w:val="20"/>
        </w:rPr>
        <w:t xml:space="preserve"/>
      </w:r>
    </w:p>
    <w:p>
      <w:pPr>
        <w:spacing w:after="60" w:before="60"/>
        <w:jc w:val="both"/>
      </w:pPr>
      <w:r>
        <w:rPr>
          <w:rFonts w:ascii="Arial" w:cs="Arial" w:eastAsia="Arial" w:hAnsi="Arial"/>
          <w:b w:val="false"/>
          <w:bCs w:val="false"/>
          <w:color w:val="000000"/>
          <w:sz w:val="20"/>
          <w:szCs w:val="20"/>
        </w:rPr>
        <w:t xml:space="preserve">Prevenção: limitar aporte calórico total; usar emulsões SMOF com ômega-3; estimular NE mínima quando possível (trofismo intestinal e estímulo de CCK); ciclização da NPT (infusão 12–16h/dia em NPT domiciliar/prolongada); mínimo de ácidos graxos essenciais ômega-6.</w:t>
      </w:r>
    </w:p>
    <w:p>
      <w:pPr>
        <w:spacing w:after="40" w:before="60"/>
      </w:pPr>
      <w:r>
        <w:rPr>
          <w:sz w:val="20"/>
          <w:szCs w:val="20"/>
        </w:rPr>
        <w:t xml:space="preserve"/>
      </w:r>
    </w:p>
    <w:p>
      <w:pPr>
        <w:pStyle w:val="Heading2"/>
        <w:spacing w:after="120" w:before="240"/>
      </w:pPr>
      <w:r>
        <w:rPr>
          <w:rFonts w:ascii="Arial" w:cs="Arial" w:eastAsia="Arial" w:hAnsi="Arial"/>
          <w:b/>
          <w:bCs/>
          <w:color w:val="2E5FA3"/>
          <w:sz w:val="28"/>
          <w:szCs w:val="28"/>
        </w:rPr>
        <w:t xml:space="preserve">12.4 Complicações Intestinais</w:t>
      </w:r>
    </w:p>
    <w:p>
      <w:pPr>
        <w:pStyle w:val="ListParagraph"/>
        <w:numPr>
          <w:ilvl w:val="0"/>
          <w:numId w:val="2"/>
        </w:numPr>
        <w:spacing w:after="40" w:before="40"/>
      </w:pPr>
      <w:r>
        <w:rPr>
          <w:rFonts w:ascii="Arial" w:cs="Arial" w:eastAsia="Arial" w:hAnsi="Arial"/>
          <w:sz w:val="20"/>
          <w:szCs w:val="20"/>
        </w:rPr>
        <w:t xml:space="preserve">Atrofia da mucosa intestinal (gut disuse): redução das vilosidades por falta de estímulo enteral → translocação bacteriana</w:t>
      </w:r>
    </w:p>
    <w:p>
      <w:pPr>
        <w:pStyle w:val="ListParagraph"/>
        <w:numPr>
          <w:ilvl w:val="0"/>
          <w:numId w:val="2"/>
        </w:numPr>
        <w:spacing w:after="40" w:before="40"/>
      </w:pPr>
      <w:r>
        <w:rPr>
          <w:rFonts w:ascii="Arial" w:cs="Arial" w:eastAsia="Arial" w:hAnsi="Arial"/>
          <w:sz w:val="20"/>
          <w:szCs w:val="20"/>
        </w:rPr>
        <w:t xml:space="preserve">Translocação bacteriana: bactérias gram-negativas intestinais → corrente sanguínea → bacteremia / sepse → prioridade: NE mínima (trófica) sempre que possível</w:t>
      </w:r>
    </w:p>
    <w:p>
      <w:pPr>
        <w:pStyle w:val="ListParagraph"/>
        <w:numPr>
          <w:ilvl w:val="0"/>
          <w:numId w:val="2"/>
        </w:numPr>
        <w:spacing w:after="40" w:before="40"/>
      </w:pPr>
      <w:r>
        <w:rPr>
          <w:rFonts w:ascii="Arial" w:cs="Arial" w:eastAsia="Arial" w:hAnsi="Arial"/>
          <w:sz w:val="20"/>
          <w:szCs w:val="20"/>
        </w:rPr>
        <w:t xml:space="preserve">Supercrescimento bacteriano intestinal: estase + antibióticos + NPT prolongada</w:t>
      </w:r>
    </w:p>
    <w:p>
      <w:pPr>
        <w:spacing w:after="100" w:before="100"/>
      </w:pPr>
      <w:r>
        <w:rPr>
          <w:sz w:val="20"/>
          <w:szCs w:val="20"/>
        </w:rPr>
        <w:t xml:space="preserve"/>
      </w:r>
    </w:p>
    <w:p>
      <w:pPr>
        <w:pBdr>
          <w:bottom w:val="single" w:color="D6E4F0" w:sz="4" w:space="1"/>
        </w:pBdr>
        <w:spacing w:after="200" w:before="200"/>
      </w:pPr>
      <w:r>
        <w:t xml:space="preserve"/>
      </w:r>
    </w:p>
    <w:p>
      <w:pPr>
        <w:pStyle w:val="Heading1"/>
        <w:pBdr>
          <w:bottom w:val="single" w:color="2E5FA3" w:sz="8" w:space="4"/>
        </w:pBdr>
        <w:spacing w:after="160" w:before="320"/>
      </w:pPr>
      <w:r>
        <w:rPr>
          <w:rFonts w:ascii="Arial" w:cs="Arial" w:eastAsia="Arial" w:hAnsi="Arial"/>
          <w:b/>
          <w:bCs/>
          <w:color w:val="1B3A6B"/>
          <w:sz w:val="36"/>
          <w:szCs w:val="36"/>
        </w:rPr>
        <w:t xml:space="preserve">13. TEMPO DE USO, CICLIZAÇÃO E PECULIARIDADES</w:t>
      </w:r>
    </w:p>
    <w:p>
      <w:pPr>
        <w:pStyle w:val="Heading2"/>
        <w:spacing w:after="120" w:before="240"/>
      </w:pPr>
      <w:r>
        <w:rPr>
          <w:rFonts w:ascii="Arial" w:cs="Arial" w:eastAsia="Arial" w:hAnsi="Arial"/>
          <w:b/>
          <w:bCs/>
          <w:color w:val="2E5FA3"/>
          <w:sz w:val="28"/>
          <w:szCs w:val="28"/>
        </w:rPr>
        <w:t xml:space="preserve">13.1 Duração Recomendada</w:t>
      </w:r>
    </w:p>
    <w:p>
      <w:pPr>
        <w:pStyle w:val="ListParagraph"/>
        <w:numPr>
          <w:ilvl w:val="0"/>
          <w:numId w:val="2"/>
        </w:numPr>
        <w:spacing w:after="40" w:before="40"/>
      </w:pPr>
      <w:r>
        <w:rPr>
          <w:rFonts w:ascii="Arial" w:cs="Arial" w:eastAsia="Arial" w:hAnsi="Arial"/>
          <w:sz w:val="20"/>
          <w:szCs w:val="20"/>
        </w:rPr>
        <w:t xml:space="preserve">NPT hospitalar em UTI: geralmente 7–14 dias até viabilidade do TGI</w:t>
      </w:r>
    </w:p>
    <w:p>
      <w:pPr>
        <w:pStyle w:val="ListParagraph"/>
        <w:numPr>
          <w:ilvl w:val="0"/>
          <w:numId w:val="2"/>
        </w:numPr>
        <w:spacing w:after="40" w:before="40"/>
      </w:pPr>
      <w:r>
        <w:rPr>
          <w:rFonts w:ascii="Arial" w:cs="Arial" w:eastAsia="Arial" w:hAnsi="Arial"/>
          <w:sz w:val="20"/>
          <w:szCs w:val="20"/>
        </w:rPr>
        <w:t xml:space="preserve">NPT prolongada (&gt; 3–4 semanas): risco crescente de PNALD, colestase e complicações metabólicas</w:t>
      </w:r>
    </w:p>
    <w:p>
      <w:pPr>
        <w:pStyle w:val="ListParagraph"/>
        <w:numPr>
          <w:ilvl w:val="0"/>
          <w:numId w:val="2"/>
        </w:numPr>
        <w:spacing w:after="40" w:before="40"/>
      </w:pPr>
      <w:r>
        <w:rPr>
          <w:rFonts w:ascii="Arial" w:cs="Arial" w:eastAsia="Arial" w:hAnsi="Arial"/>
          <w:sz w:val="20"/>
          <w:szCs w:val="20"/>
        </w:rPr>
        <w:t xml:space="preserve">NPT domiciliar: casos selecionados (síndrome do intestino curto, dismotilidade grave, fístulas irressecáveis)</w:t>
      </w:r>
    </w:p>
    <w:p>
      <w:pPr>
        <w:spacing w:after="40" w:before="60"/>
      </w:pPr>
      <w:r>
        <w:rPr>
          <w:sz w:val="20"/>
          <w:szCs w:val="20"/>
        </w:rPr>
        <w:t xml:space="preserve"/>
      </w:r>
    </w:p>
    <w:p>
      <w:pPr>
        <w:pStyle w:val="Heading2"/>
        <w:spacing w:after="120" w:before="240"/>
      </w:pPr>
      <w:r>
        <w:rPr>
          <w:rFonts w:ascii="Arial" w:cs="Arial" w:eastAsia="Arial" w:hAnsi="Arial"/>
          <w:b/>
          <w:bCs/>
          <w:color w:val="2E5FA3"/>
          <w:sz w:val="28"/>
          <w:szCs w:val="28"/>
        </w:rPr>
        <w:t xml:space="preserve">13.2 Ciclização da NPT (NPT Cíclica)</w:t>
      </w:r>
    </w:p>
    <w:p>
      <w:pPr>
        <w:spacing w:after="60" w:before="60"/>
        <w:jc w:val="both"/>
      </w:pPr>
      <w:r>
        <w:rPr>
          <w:rFonts w:ascii="Arial" w:cs="Arial" w:eastAsia="Arial" w:hAnsi="Arial"/>
          <w:b w:val="false"/>
          <w:bCs w:val="false"/>
          <w:color w:val="000000"/>
          <w:sz w:val="20"/>
          <w:szCs w:val="20"/>
        </w:rPr>
        <w:t xml:space="preserve">Infusão de NPT em 12–16h/dia (geralmente noturna), com período de pausa de 8–12h.</w:t>
      </w:r>
    </w:p>
    <w:p>
      <w:pPr>
        <w:pStyle w:val="ListParagraph"/>
        <w:numPr>
          <w:ilvl w:val="0"/>
          <w:numId w:val="2"/>
        </w:numPr>
        <w:spacing w:after="40" w:before="40"/>
      </w:pPr>
      <w:r>
        <w:rPr>
          <w:rFonts w:ascii="Arial" w:cs="Arial" w:eastAsia="Arial" w:hAnsi="Arial"/>
          <w:sz w:val="20"/>
          <w:szCs w:val="20"/>
        </w:rPr>
        <w:t xml:space="preserve">Vantagens: prevenir PNALD; permitir atividade diurna (NPT domiciliar); normalizar insulina/glucagon diurnos; melhora da função hepática</w:t>
      </w:r>
    </w:p>
    <w:p>
      <w:pPr>
        <w:pStyle w:val="ListParagraph"/>
        <w:numPr>
          <w:ilvl w:val="0"/>
          <w:numId w:val="2"/>
        </w:numPr>
        <w:spacing w:after="40" w:before="40"/>
      </w:pPr>
      <w:r>
        <w:rPr>
          <w:rFonts w:ascii="Arial" w:cs="Arial" w:eastAsia="Arial" w:hAnsi="Arial"/>
          <w:sz w:val="20"/>
          <w:szCs w:val="20"/>
        </w:rPr>
        <w:t xml:space="preserve">Indicação: NPT &gt; 3–4 semanas; PNALD em desenvolvimento (elevação de GGT/BT); NPT domiciliar</w:t>
      </w:r>
    </w:p>
    <w:p>
      <w:pPr>
        <w:pStyle w:val="ListParagraph"/>
        <w:numPr>
          <w:ilvl w:val="0"/>
          <w:numId w:val="2"/>
        </w:numPr>
        <w:spacing w:after="40" w:before="40"/>
      </w:pPr>
      <w:r>
        <w:rPr>
          <w:rFonts w:ascii="Arial" w:cs="Arial" w:eastAsia="Arial" w:hAnsi="Arial"/>
          <w:sz w:val="20"/>
          <w:szCs w:val="20"/>
        </w:rPr>
        <w:t xml:space="preserve">Cuidado: ao iniciar e terminar ciclo — titulação gradual (50% da dose nas 1ª e última hora) para evitar hiper/hipoglicemia de rebote</w:t>
      </w:r>
    </w:p>
    <w:p>
      <w:pPr>
        <w:spacing w:after="40" w:before="60"/>
      </w:pPr>
      <w:r>
        <w:rPr>
          <w:sz w:val="20"/>
          <w:szCs w:val="20"/>
        </w:rPr>
        <w:t xml:space="preserve"/>
      </w:r>
    </w:p>
    <w:p>
      <w:pPr>
        <w:pStyle w:val="Heading2"/>
        <w:spacing w:after="120" w:before="240"/>
      </w:pPr>
      <w:r>
        <w:rPr>
          <w:rFonts w:ascii="Arial" w:cs="Arial" w:eastAsia="Arial" w:hAnsi="Arial"/>
          <w:b/>
          <w:bCs/>
          <w:color w:val="2E5FA3"/>
          <w:sz w:val="28"/>
          <w:szCs w:val="28"/>
        </w:rPr>
        <w:t xml:space="preserve">13.3 Peculiaridades Clínicas da NPT</w:t>
      </w:r>
    </w:p>
    <w:p>
      <w:pPr>
        <w:pStyle w:val="ListParagraph"/>
        <w:numPr>
          <w:ilvl w:val="0"/>
          <w:numId w:val="2"/>
        </w:numPr>
        <w:spacing w:after="40" w:before="40"/>
      </w:pPr>
      <w:r>
        <w:rPr>
          <w:rFonts w:ascii="Arial" w:cs="Arial" w:eastAsia="Arial" w:hAnsi="Arial"/>
          <w:sz w:val="20"/>
          <w:szCs w:val="20"/>
        </w:rPr>
        <w:t xml:space="preserve">NPT em pancreatite aguda grave: indicada se NE impossível ou não tolerada; via jejunal preferida se disponível; NPT NÃO piora pancreatite (mito antigo refutado)</w:t>
      </w:r>
    </w:p>
    <w:p>
      <w:pPr>
        <w:pStyle w:val="ListParagraph"/>
        <w:numPr>
          <w:ilvl w:val="0"/>
          <w:numId w:val="2"/>
        </w:numPr>
        <w:spacing w:after="40" w:before="40"/>
      </w:pPr>
      <w:r>
        <w:rPr>
          <w:rFonts w:ascii="Arial" w:cs="Arial" w:eastAsia="Arial" w:hAnsi="Arial"/>
          <w:sz w:val="20"/>
          <w:szCs w:val="20"/>
        </w:rPr>
        <w:t xml:space="preserve">NPT em cirurgia: pré-operatória em desnutridos graves (NRS ≥ 5) por 7–10 dias melhora desfechos; pós-operatória se NE impossível por &gt; 5 dias</w:t>
      </w:r>
    </w:p>
    <w:p>
      <w:pPr>
        <w:pStyle w:val="ListParagraph"/>
        <w:numPr>
          <w:ilvl w:val="0"/>
          <w:numId w:val="2"/>
        </w:numPr>
        <w:spacing w:after="40" w:before="40"/>
      </w:pPr>
      <w:r>
        <w:rPr>
          <w:rFonts w:ascii="Arial" w:cs="Arial" w:eastAsia="Arial" w:hAnsi="Arial"/>
          <w:sz w:val="20"/>
          <w:szCs w:val="20"/>
        </w:rPr>
        <w:t xml:space="preserve">NPT em transplante: pós-transplante de intestino/fígado requer NPT prolongada com vigilância infecciosa rigorosa</w:t>
      </w:r>
    </w:p>
    <w:p>
      <w:pPr>
        <w:pStyle w:val="ListParagraph"/>
        <w:numPr>
          <w:ilvl w:val="0"/>
          <w:numId w:val="2"/>
        </w:numPr>
        <w:spacing w:after="40" w:before="40"/>
      </w:pPr>
      <w:r>
        <w:rPr>
          <w:rFonts w:ascii="Arial" w:cs="Arial" w:eastAsia="Arial" w:hAnsi="Arial"/>
          <w:sz w:val="20"/>
          <w:szCs w:val="20"/>
        </w:rPr>
        <w:t xml:space="preserve">NPT em pediatria: fórmulas específicas com AA taurina/cisteína; muito maior risco de PNALD; menor tolerância a lipídeos soja</w:t>
      </w:r>
    </w:p>
    <w:p>
      <w:pPr>
        <w:pStyle w:val="ListParagraph"/>
        <w:numPr>
          <w:ilvl w:val="0"/>
          <w:numId w:val="2"/>
        </w:numPr>
        <w:spacing w:after="40" w:before="40"/>
      </w:pPr>
      <w:r>
        <w:rPr>
          <w:rFonts w:ascii="Arial" w:cs="Arial" w:eastAsia="Arial" w:hAnsi="Arial"/>
          <w:sz w:val="20"/>
          <w:szCs w:val="20"/>
        </w:rPr>
        <w:t xml:space="preserve">NPT em gestante: vitaminas e oligoelementos ajustados para gestação; folato e ferro adicionais</w:t>
      </w:r>
    </w:p>
    <w:p>
      <w:pPr>
        <w:pStyle w:val="ListParagraph"/>
        <w:numPr>
          <w:ilvl w:val="0"/>
          <w:numId w:val="2"/>
        </w:numPr>
        <w:spacing w:after="40" w:before="40"/>
      </w:pPr>
      <w:r>
        <w:rPr>
          <w:rFonts w:ascii="Arial" w:cs="Arial" w:eastAsia="Arial" w:hAnsi="Arial"/>
          <w:sz w:val="20"/>
          <w:szCs w:val="20"/>
        </w:rPr>
        <w:t xml:space="preserve">Compatibilidade de fármacos: insulina, heparina, H2-bloqueadores podem ser adicionados à bolsa de NPT; NUNCA adicionar antibióticos, quimioterápicos, fenitoína, bicarbonato (incompatibilidades)</w:t>
      </w:r>
    </w:p>
    <w:p>
      <w:pPr>
        <w:spacing w:after="100" w:before="100"/>
      </w:pPr>
      <w:r>
        <w:rPr>
          <w:sz w:val="20"/>
          <w:szCs w:val="20"/>
        </w:rPr>
        <w:t xml:space="preserve"/>
      </w:r>
    </w:p>
    <w:p>
      <w:pPr>
        <w:pBdr>
          <w:bottom w:val="single" w:color="D6E4F0" w:sz="4" w:space="1"/>
        </w:pBdr>
        <w:spacing w:after="200" w:before="200"/>
      </w:pPr>
      <w:r>
        <w:t xml:space="preserve"/>
      </w:r>
    </w:p>
    <w:p>
      <w:pPr>
        <w:pStyle w:val="Heading1"/>
        <w:pBdr>
          <w:bottom w:val="single" w:color="2E5FA3" w:sz="8" w:space="4"/>
        </w:pBdr>
        <w:spacing w:after="160" w:before="320"/>
      </w:pPr>
      <w:r>
        <w:rPr>
          <w:rFonts w:ascii="Arial" w:cs="Arial" w:eastAsia="Arial" w:hAnsi="Arial"/>
          <w:b/>
          <w:bCs/>
          <w:color w:val="1B3A6B"/>
          <w:sz w:val="36"/>
          <w:szCs w:val="36"/>
        </w:rPr>
        <w:t xml:space="preserve">14. TRANSIÇÃO DA NPT PARA NUTRIÇÃO ENTERAL</w:t>
      </w:r>
    </w:p>
    <w:p>
      <w:pPr>
        <w:pStyle w:val="Heading2"/>
        <w:spacing w:after="120" w:before="240"/>
      </w:pPr>
      <w:r>
        <w:rPr>
          <w:rFonts w:ascii="Arial" w:cs="Arial" w:eastAsia="Arial" w:hAnsi="Arial"/>
          <w:b/>
          <w:bCs/>
          <w:color w:val="2E5FA3"/>
          <w:sz w:val="28"/>
          <w:szCs w:val="28"/>
        </w:rPr>
        <w:t xml:space="preserve">14.1 Critérios para Iniciar Transição</w:t>
      </w:r>
    </w:p>
    <w:p>
      <w:pPr>
        <w:pStyle w:val="ListParagraph"/>
        <w:numPr>
          <w:ilvl w:val="0"/>
          <w:numId w:val="2"/>
        </w:numPr>
        <w:spacing w:after="40" w:before="40"/>
      </w:pPr>
      <w:r>
        <w:rPr>
          <w:rFonts w:ascii="Arial" w:cs="Arial" w:eastAsia="Arial" w:hAnsi="Arial"/>
          <w:sz w:val="20"/>
          <w:szCs w:val="20"/>
        </w:rPr>
        <w:t xml:space="preserve">Retorno da motilidade intestinal (ruídos hidroaéreos, flatos, eliminação de fezes)</w:t>
      </w:r>
    </w:p>
    <w:p>
      <w:pPr>
        <w:pStyle w:val="ListParagraph"/>
        <w:numPr>
          <w:ilvl w:val="0"/>
          <w:numId w:val="2"/>
        </w:numPr>
        <w:spacing w:after="40" w:before="40"/>
      </w:pPr>
      <w:r>
        <w:rPr>
          <w:rFonts w:ascii="Arial" w:cs="Arial" w:eastAsia="Arial" w:hAnsi="Arial"/>
          <w:sz w:val="20"/>
          <w:szCs w:val="20"/>
        </w:rPr>
        <w:t xml:space="preserve">Abdome não distendido / não doloroso à palpação</w:t>
      </w:r>
    </w:p>
    <w:p>
      <w:pPr>
        <w:pStyle w:val="ListParagraph"/>
        <w:numPr>
          <w:ilvl w:val="0"/>
          <w:numId w:val="2"/>
        </w:numPr>
        <w:spacing w:after="40" w:before="40"/>
      </w:pPr>
      <w:r>
        <w:rPr>
          <w:rFonts w:ascii="Arial" w:cs="Arial" w:eastAsia="Arial" w:hAnsi="Arial"/>
          <w:sz w:val="20"/>
          <w:szCs w:val="20"/>
        </w:rPr>
        <w:t xml:space="preserve">Ausência de vômitos incoercíveis ou obstrução</w:t>
      </w:r>
    </w:p>
    <w:p>
      <w:pPr>
        <w:pStyle w:val="ListParagraph"/>
        <w:numPr>
          <w:ilvl w:val="0"/>
          <w:numId w:val="2"/>
        </w:numPr>
        <w:spacing w:after="40" w:before="40"/>
      </w:pPr>
      <w:r>
        <w:rPr>
          <w:rFonts w:ascii="Arial" w:cs="Arial" w:eastAsia="Arial" w:hAnsi="Arial"/>
          <w:sz w:val="20"/>
          <w:szCs w:val="20"/>
        </w:rPr>
        <w:t xml:space="preserve">Acesso enteral disponível e posicionado (SNG, SNE, gastrostomia)</w:t>
      </w:r>
    </w:p>
    <w:p>
      <w:pPr>
        <w:pStyle w:val="ListParagraph"/>
        <w:numPr>
          <w:ilvl w:val="0"/>
          <w:numId w:val="2"/>
        </w:numPr>
        <w:spacing w:after="40" w:before="40"/>
      </w:pPr>
      <w:r>
        <w:rPr>
          <w:rFonts w:ascii="Arial" w:cs="Arial" w:eastAsia="Arial" w:hAnsi="Arial"/>
          <w:sz w:val="20"/>
          <w:szCs w:val="20"/>
        </w:rPr>
        <w:t xml:space="preserve">Estabilidade hemodinâmica (vasopressores em desmame ou suspensos)</w:t>
      </w:r>
    </w:p>
    <w:p>
      <w:pPr>
        <w:pStyle w:val="ListParagraph"/>
        <w:numPr>
          <w:ilvl w:val="0"/>
          <w:numId w:val="2"/>
        </w:numPr>
        <w:spacing w:after="40" w:before="40"/>
      </w:pPr>
      <w:r>
        <w:rPr>
          <w:rFonts w:ascii="Arial" w:cs="Arial" w:eastAsia="Arial" w:hAnsi="Arial"/>
          <w:sz w:val="20"/>
          <w:szCs w:val="20"/>
        </w:rPr>
        <w:t xml:space="preserve">Resolução da causa que indicou NPT (fístula cicatrizada, obstrução resolvida, etc.)</w:t>
      </w:r>
    </w:p>
    <w:p>
      <w:pPr>
        <w:spacing w:after="40" w:before="60"/>
      </w:pPr>
      <w:r>
        <w:rPr>
          <w:sz w:val="20"/>
          <w:szCs w:val="20"/>
        </w:rPr>
        <w:t xml:space="preserve"/>
      </w:r>
    </w:p>
    <w:p>
      <w:pPr>
        <w:pStyle w:val="Heading2"/>
        <w:spacing w:after="120" w:before="240"/>
      </w:pPr>
      <w:r>
        <w:rPr>
          <w:rFonts w:ascii="Arial" w:cs="Arial" w:eastAsia="Arial" w:hAnsi="Arial"/>
          <w:b/>
          <w:bCs/>
          <w:color w:val="2E5FA3"/>
          <w:sz w:val="28"/>
          <w:szCs w:val="28"/>
        </w:rPr>
        <w:t xml:space="preserve">14.2 Protocolo de Transição Gradual — Recomendado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gridSpan w:val="1"/>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DIA</w:t>
            </w:r>
          </w:p>
        </w:tc>
        <w:tc>
          <w:tcPr>
            <w:tcW w:type="dxa" w:w="3900"/>
            <w:gridSpan w:val="1"/>
            <w:tcBorders>
              <w:top w:val="single" w:color="FFFFFF" w:sz="1"/>
              <w:left w:val="single" w:color="FFFFFF" w:sz="1"/>
              <w:bottom w:val="single" w:color="FFFFFF" w:sz="1"/>
              <w:right w:val="single" w:color="FFFFFF"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NUTRIÇÃO ENTERAL</w:t>
            </w:r>
          </w:p>
        </w:tc>
        <w:tc>
          <w:tcPr>
            <w:tcW w:type="dxa" w:w="3900"/>
            <w:gridSpan w:val="1"/>
            <w:tcBorders>
              <w:top w:val="single" w:color="FFFFFF" w:sz="1"/>
              <w:left w:val="single" w:color="FFFFFF" w:sz="1"/>
              <w:bottom w:val="single" w:color="FFFFFF" w:sz="1"/>
              <w:right w:val="single" w:color="FFFFFF"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NUTRIÇÃO PARENTERAL</w:t>
            </w:r>
          </w:p>
        </w:tc>
      </w:tr>
      <w:tr>
        <w:tc>
          <w:tcPr>
            <w:tcW w:type="dxa" w:w="156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D1</w:t>
            </w:r>
          </w:p>
        </w:tc>
        <w:tc>
          <w:tcPr>
            <w:tcW w:type="dxa" w:w="390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Iniciar NE trófica: 10–20 mL/h (250–500 mL/dia) — avaliar tolerância</w:t>
            </w:r>
          </w:p>
        </w:tc>
        <w:tc>
          <w:tcPr>
            <w:tcW w:type="dxa" w:w="390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Manter NPT em 100% da meta calórica</w:t>
            </w:r>
          </w:p>
        </w:tc>
      </w:tr>
      <w:tr>
        <w:tc>
          <w:tcPr>
            <w:tcW w:type="dxa" w:w="156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D2</w:t>
            </w:r>
          </w:p>
        </w:tc>
        <w:tc>
          <w:tcPr>
            <w:tcW w:type="dxa" w:w="39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Progredir NE para 30–50% da meta se boa tolerância (resíduo, diarreia, distensão)</w:t>
            </w:r>
          </w:p>
        </w:tc>
        <w:tc>
          <w:tcPr>
            <w:tcW w:type="dxa" w:w="39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Reduzir NPT para 60–70% (ajustar calorias totais para evitar superalimentação)</w:t>
            </w:r>
          </w:p>
        </w:tc>
      </w:tr>
      <w:tr>
        <w:tc>
          <w:tcPr>
            <w:tcW w:type="dxa" w:w="156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D3</w:t>
            </w:r>
          </w:p>
        </w:tc>
        <w:tc>
          <w:tcPr>
            <w:tcW w:type="dxa" w:w="390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Progredir NE para 60–75% da meta calórica</w:t>
            </w:r>
          </w:p>
        </w:tc>
        <w:tc>
          <w:tcPr>
            <w:tcW w:type="dxa" w:w="390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Reduzir NPT para 30–40%</w:t>
            </w:r>
          </w:p>
        </w:tc>
      </w:tr>
      <w:tr>
        <w:tc>
          <w:tcPr>
            <w:tcW w:type="dxa" w:w="1560"/>
            <w:gridSpan w:val="1"/>
            <w:tcBorders>
              <w:top w:val="single" w:color="BBBBBB" w:sz="1"/>
              <w:left w:val="single" w:color="BBBBBB" w:sz="1"/>
              <w:bottom w:val="single" w:color="BBBBBB" w:sz="1"/>
              <w:right w:val="single" w:color="BBBBBB" w:sz="1"/>
            </w:tcBorders>
            <w:shd w:fill="D5F5E3"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D4</w:t>
            </w:r>
          </w:p>
        </w:tc>
        <w:tc>
          <w:tcPr>
            <w:tcW w:type="dxa" w:w="3900"/>
            <w:gridSpan w:val="1"/>
            <w:tcBorders>
              <w:top w:val="single" w:color="BBBBBB" w:sz="1"/>
              <w:left w:val="single" w:color="BBBBBB" w:sz="1"/>
              <w:bottom w:val="single" w:color="BBBBBB" w:sz="1"/>
              <w:right w:val="single" w:color="BBBBBB"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 em 80–100% da meta — monitorar tolerância</w:t>
            </w:r>
          </w:p>
        </w:tc>
        <w:tc>
          <w:tcPr>
            <w:tcW w:type="dxa" w:w="3900"/>
            <w:gridSpan w:val="1"/>
            <w:tcBorders>
              <w:top w:val="single" w:color="BBBBBB" w:sz="1"/>
              <w:left w:val="single" w:color="BBBBBB" w:sz="1"/>
              <w:bottom w:val="single" w:color="BBBBBB" w:sz="1"/>
              <w:right w:val="single" w:color="BBBBBB" w:sz="1"/>
            </w:tcBorders>
            <w:shd w:fill="D5F5E3" w:val="clear"/>
            <w:tcMar>
              <w:top w:type="dxa" w:w="80"/>
              <w:left w:type="dxa" w:w="120"/>
              <w:bottom w:type="dxa" w:w="80"/>
              <w:right w:type="dxa" w:w="120"/>
            </w:tcMar>
            <w:vAlign w:val="center"/>
          </w:tcPr>
          <w:p>
            <w:pPr>
              <w:jc w:val="left"/>
            </w:pPr>
            <w:r>
              <w:rPr>
                <w:rFonts w:ascii="Arial" w:cs="Arial" w:eastAsia="Arial" w:hAnsi="Arial"/>
                <w:b/>
                <w:bCs/>
                <w:color w:val="1E8449"/>
                <w:sz w:val="20"/>
                <w:szCs w:val="20"/>
              </w:rPr>
              <w:t xml:space="preserve">SUSPENDER NPT quando NE ≥ 60% da meta calórica por ≥ 24h</w:t>
            </w:r>
          </w:p>
        </w:tc>
      </w:tr>
    </w:tbl>
    <w:p>
      <w:pPr>
        <w:spacing w:after="40" w:before="8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8"/>
              <w:left w:val="single" w:color="C0392B" w:sz="8"/>
              <w:bottom w:val="single" w:color="C0392B" w:sz="8"/>
              <w:right w:val="single" w:color="C0392B" w:sz="8"/>
            </w:tcBorders>
            <w:shd w:fill="FADBD8" w:val="clear"/>
            <w:tcMar>
              <w:top w:type="dxa" w:w="120"/>
              <w:left w:type="dxa" w:w="200"/>
              <w:bottom w:type="dxa" w:w="120"/>
              <w:right w:type="dxa" w:w="200"/>
            </w:tcMar>
          </w:tcPr>
          <w:p>
            <w:r>
              <w:rPr>
                <w:rFonts w:ascii="Arial" w:cs="Arial" w:eastAsia="Arial" w:hAnsi="Arial"/>
                <w:b/>
                <w:bCs/>
                <w:color w:val="C0392B"/>
                <w:sz w:val="22"/>
                <w:szCs w:val="22"/>
              </w:rPr>
              <w:t xml:space="preserve">⚠ ATENÇÃO — SUSPENSÃO GRADUAL DA NPT</w:t>
            </w:r>
          </w:p>
          <w:p>
            <w:pPr>
              <w:spacing w:before="60"/>
            </w:pPr>
            <w:r>
              <w:rPr>
                <w:rFonts w:ascii="Arial" w:cs="Arial" w:eastAsia="Arial" w:hAnsi="Arial"/>
                <w:color w:val="000000"/>
                <w:sz w:val="20"/>
                <w:szCs w:val="20"/>
              </w:rPr>
              <w:t xml:space="preserve">NÃO suspender NPT abruptamente! Reduzir gradualmente em 2–4 horas antes da suspensão final para evitar hipoglicemia de rebote. Após suspensão da NPT, monitorar glicemia de 4/4h por 12h. Se glicemia &lt; 70 mg/dL: 50 mL SG 50% EV em bolus.</w:t>
            </w:r>
          </w:p>
        </w:tc>
      </w:tr>
    </w:tbl>
    <w:p>
      <w:pPr>
        <w:spacing w:after="40" w:before="60"/>
      </w:pPr>
      <w:r>
        <w:rPr>
          <w:sz w:val="20"/>
          <w:szCs w:val="20"/>
        </w:rPr>
        <w:t xml:space="preserve"/>
      </w:r>
    </w:p>
    <w:p>
      <w:pPr>
        <w:pStyle w:val="Heading2"/>
        <w:spacing w:after="120" w:before="240"/>
      </w:pPr>
      <w:r>
        <w:rPr>
          <w:rFonts w:ascii="Arial" w:cs="Arial" w:eastAsia="Arial" w:hAnsi="Arial"/>
          <w:b/>
          <w:bCs/>
          <w:color w:val="2E5FA3"/>
          <w:sz w:val="28"/>
          <w:szCs w:val="28"/>
        </w:rPr>
        <w:t xml:space="preserve">14.3 Critérios de Sucesso da Transição</w:t>
      </w:r>
    </w:p>
    <w:p>
      <w:pPr>
        <w:pStyle w:val="ListParagraph"/>
        <w:numPr>
          <w:ilvl w:val="0"/>
          <w:numId w:val="2"/>
        </w:numPr>
        <w:spacing w:after="40" w:before="40"/>
      </w:pPr>
      <w:r>
        <w:rPr>
          <w:rFonts w:ascii="Arial" w:cs="Arial" w:eastAsia="Arial" w:hAnsi="Arial"/>
          <w:sz w:val="20"/>
          <w:szCs w:val="20"/>
        </w:rPr>
        <w:t xml:space="preserve">NE fornecendo ≥ 60% da meta calórica por 24–48h consecutivas SEM retorno da NPT</w:t>
      </w:r>
    </w:p>
    <w:p>
      <w:pPr>
        <w:pStyle w:val="ListParagraph"/>
        <w:numPr>
          <w:ilvl w:val="0"/>
          <w:numId w:val="2"/>
        </w:numPr>
        <w:spacing w:after="40" w:before="40"/>
      </w:pPr>
      <w:r>
        <w:rPr>
          <w:rFonts w:ascii="Arial" w:cs="Arial" w:eastAsia="Arial" w:hAnsi="Arial"/>
          <w:sz w:val="20"/>
          <w:szCs w:val="20"/>
        </w:rPr>
        <w:t xml:space="preserve">Ausência de intolerância à NE (distensão, vômitos, diarreia &gt; 3 episódios/dia, resíduo gástrico &gt; 500 mL/6h)</w:t>
      </w:r>
    </w:p>
    <w:p>
      <w:pPr>
        <w:pStyle w:val="ListParagraph"/>
        <w:numPr>
          <w:ilvl w:val="0"/>
          <w:numId w:val="2"/>
        </w:numPr>
        <w:spacing w:after="40" w:before="40"/>
      </w:pPr>
      <w:r>
        <w:rPr>
          <w:rFonts w:ascii="Arial" w:cs="Arial" w:eastAsia="Arial" w:hAnsi="Arial"/>
          <w:sz w:val="20"/>
          <w:szCs w:val="20"/>
        </w:rPr>
        <w:t xml:space="preserve">Manutenção de eletrólitos e glicemia estáveis sem suporte IV</w:t>
      </w:r>
    </w:p>
    <w:p>
      <w:pPr>
        <w:pStyle w:val="ListParagraph"/>
        <w:numPr>
          <w:ilvl w:val="0"/>
          <w:numId w:val="2"/>
        </w:numPr>
        <w:spacing w:after="40" w:before="40"/>
      </w:pPr>
      <w:r>
        <w:rPr>
          <w:rFonts w:ascii="Arial" w:cs="Arial" w:eastAsia="Arial" w:hAnsi="Arial"/>
          <w:sz w:val="20"/>
          <w:szCs w:val="20"/>
        </w:rPr>
        <w:t xml:space="preserve">Se falha na transição: retornar à NPT + reavaliação da causa de intolerância enteral</w:t>
      </w:r>
    </w:p>
    <w:p>
      <w:pPr>
        <w:spacing w:after="100" w:before="100"/>
      </w:pPr>
      <w:r>
        <w:rPr>
          <w:sz w:val="20"/>
          <w:szCs w:val="20"/>
        </w:rPr>
        <w:t xml:space="preserve"/>
      </w:r>
    </w:p>
    <w:p>
      <w:pPr>
        <w:pBdr>
          <w:bottom w:val="single" w:color="D6E4F0" w:sz="4" w:space="1"/>
        </w:pBdr>
        <w:spacing w:after="200" w:before="200"/>
      </w:pPr>
      <w:r>
        <w:t xml:space="preserve"/>
      </w:r>
    </w:p>
    <w:p>
      <w:pPr>
        <w:pStyle w:val="Heading1"/>
        <w:pBdr>
          <w:bottom w:val="single" w:color="2E5FA3" w:sz="8" w:space="4"/>
        </w:pBdr>
        <w:spacing w:after="160" w:before="320"/>
      </w:pPr>
      <w:r>
        <w:rPr>
          <w:rFonts w:ascii="Arial" w:cs="Arial" w:eastAsia="Arial" w:hAnsi="Arial"/>
          <w:b/>
          <w:bCs/>
          <w:color w:val="1B3A6B"/>
          <w:sz w:val="36"/>
          <w:szCs w:val="36"/>
        </w:rPr>
        <w:t xml:space="preserve">15. MONITORIZAÇÃO GLOBAL E INDICADORES DE QUALIDADE</w:t>
      </w:r>
    </w:p>
    <w:p>
      <w:pPr>
        <w:pStyle w:val="ListParagraph"/>
        <w:numPr>
          <w:ilvl w:val="0"/>
          <w:numId w:val="2"/>
        </w:numPr>
        <w:spacing w:after="40" w:before="40"/>
      </w:pPr>
      <w:r>
        <w:rPr>
          <w:rFonts w:ascii="Arial" w:cs="Arial" w:eastAsia="Arial" w:hAnsi="Arial"/>
          <w:sz w:val="20"/>
          <w:szCs w:val="20"/>
        </w:rPr>
        <w:t xml:space="preserve">Meta calórica atingida (≥ 80% em ≤ 48h do início — ASPEN 2021)</w:t>
      </w:r>
    </w:p>
    <w:p>
      <w:pPr>
        <w:pStyle w:val="ListParagraph"/>
        <w:numPr>
          <w:ilvl w:val="0"/>
          <w:numId w:val="2"/>
        </w:numPr>
        <w:spacing w:after="40" w:before="40"/>
      </w:pPr>
      <w:r>
        <w:rPr>
          <w:rFonts w:ascii="Arial" w:cs="Arial" w:eastAsia="Arial" w:hAnsi="Arial"/>
          <w:sz w:val="20"/>
          <w:szCs w:val="20"/>
        </w:rPr>
        <w:t xml:space="preserve">Meta proteica atingida (≥ 1,2 g/kg/dia no mínimo)</w:t>
      </w:r>
    </w:p>
    <w:p>
      <w:pPr>
        <w:pStyle w:val="ListParagraph"/>
        <w:numPr>
          <w:ilvl w:val="0"/>
          <w:numId w:val="2"/>
        </w:numPr>
        <w:spacing w:after="40" w:before="40"/>
      </w:pPr>
      <w:r>
        <w:rPr>
          <w:rFonts w:ascii="Arial" w:cs="Arial" w:eastAsia="Arial" w:hAnsi="Arial"/>
          <w:sz w:val="20"/>
          <w:szCs w:val="20"/>
        </w:rPr>
        <w:t xml:space="preserve">Glicemia em meta (140–180 mg/dL) em ≥ 80% das medições</w:t>
      </w:r>
    </w:p>
    <w:p>
      <w:pPr>
        <w:pStyle w:val="ListParagraph"/>
        <w:numPr>
          <w:ilvl w:val="0"/>
          <w:numId w:val="2"/>
        </w:numPr>
        <w:spacing w:after="40" w:before="40"/>
      </w:pPr>
      <w:r>
        <w:rPr>
          <w:rFonts w:ascii="Arial" w:cs="Arial" w:eastAsia="Arial" w:hAnsi="Arial"/>
          <w:sz w:val="20"/>
          <w:szCs w:val="20"/>
        </w:rPr>
        <w:t xml:space="preserve">Triglicerídeos &lt; 400 mg/dL durante toda a NPT</w:t>
      </w:r>
    </w:p>
    <w:p>
      <w:pPr>
        <w:pStyle w:val="ListParagraph"/>
        <w:numPr>
          <w:ilvl w:val="0"/>
          <w:numId w:val="2"/>
        </w:numPr>
        <w:spacing w:after="40" w:before="40"/>
      </w:pPr>
      <w:r>
        <w:rPr>
          <w:rFonts w:ascii="Arial" w:cs="Arial" w:eastAsia="Arial" w:hAnsi="Arial"/>
          <w:sz w:val="20"/>
          <w:szCs w:val="20"/>
        </w:rPr>
        <w:t xml:space="preserve">Balanço nitrogenado ≥ 0 a partir de D7–D10 (fase recuperação)</w:t>
      </w:r>
    </w:p>
    <w:p>
      <w:pPr>
        <w:pStyle w:val="ListParagraph"/>
        <w:numPr>
          <w:ilvl w:val="0"/>
          <w:numId w:val="2"/>
        </w:numPr>
        <w:spacing w:after="40" w:before="40"/>
      </w:pPr>
      <w:r>
        <w:rPr>
          <w:rFonts w:ascii="Arial" w:cs="Arial" w:eastAsia="Arial" w:hAnsi="Arial"/>
          <w:sz w:val="20"/>
          <w:szCs w:val="20"/>
        </w:rPr>
        <w:t xml:space="preserve">Ausência de ICSRC (zero tolerância — bundle CDC)</w:t>
      </w:r>
    </w:p>
    <w:p>
      <w:pPr>
        <w:pStyle w:val="ListParagraph"/>
        <w:numPr>
          <w:ilvl w:val="0"/>
          <w:numId w:val="2"/>
        </w:numPr>
        <w:spacing w:after="40" w:before="40"/>
      </w:pPr>
      <w:r>
        <w:rPr>
          <w:rFonts w:ascii="Arial" w:cs="Arial" w:eastAsia="Arial" w:hAnsi="Arial"/>
          <w:sz w:val="20"/>
          <w:szCs w:val="20"/>
        </w:rPr>
        <w:t xml:space="preserve">Enzimas hepáticas monitoradas semanalmente — TGP/TGO não &gt; 3× LSN sem conduta</w:t>
      </w:r>
    </w:p>
    <w:p>
      <w:pPr>
        <w:pStyle w:val="ListParagraph"/>
        <w:numPr>
          <w:ilvl w:val="0"/>
          <w:numId w:val="2"/>
        </w:numPr>
        <w:spacing w:after="40" w:before="40"/>
      </w:pPr>
      <w:r>
        <w:rPr>
          <w:rFonts w:ascii="Arial" w:cs="Arial" w:eastAsia="Arial" w:hAnsi="Arial"/>
          <w:sz w:val="20"/>
          <w:szCs w:val="20"/>
        </w:rPr>
        <w:t xml:space="preserve">Reavaliação diária da possibilidade de transição para NE</w:t>
      </w:r>
    </w:p>
    <w:p>
      <w:pPr>
        <w:pStyle w:val="ListParagraph"/>
        <w:numPr>
          <w:ilvl w:val="0"/>
          <w:numId w:val="2"/>
        </w:numPr>
        <w:spacing w:after="40" w:before="40"/>
      </w:pPr>
      <w:r>
        <w:rPr>
          <w:rFonts w:ascii="Arial" w:cs="Arial" w:eastAsia="Arial" w:hAnsi="Arial"/>
          <w:sz w:val="20"/>
          <w:szCs w:val="20"/>
        </w:rPr>
        <w:t xml:space="preserve">Avaliação nutricional semanal formal (nutricionista — NUTRIC/NRS reavaliados)</w:t>
      </w:r>
    </w:p>
    <w:p>
      <w:pPr>
        <w:spacing w:after="100" w:before="100"/>
      </w:pPr>
      <w:r>
        <w:rPr>
          <w:sz w:val="20"/>
          <w:szCs w:val="20"/>
        </w:rPr>
        <w:t xml:space="preserve"/>
      </w:r>
    </w:p>
    <w:p>
      <w:pPr>
        <w:pBdr>
          <w:bottom w:val="single" w:color="D6E4F0" w:sz="4" w:space="1"/>
        </w:pBdr>
        <w:spacing w:after="200" w:before="200"/>
      </w:pPr>
      <w:r>
        <w:t xml:space="preserve"/>
      </w:r>
    </w:p>
    <w:p>
      <w:pPr>
        <w:pStyle w:val="Heading1"/>
        <w:pBdr>
          <w:bottom w:val="single" w:color="2E5FA3" w:sz="8" w:space="4"/>
        </w:pBdr>
        <w:spacing w:after="160" w:before="320"/>
      </w:pPr>
      <w:r>
        <w:rPr>
          <w:rFonts w:ascii="Arial" w:cs="Arial" w:eastAsia="Arial" w:hAnsi="Arial"/>
          <w:b/>
          <w:bCs/>
          <w:color w:val="1B3A6B"/>
          <w:sz w:val="36"/>
          <w:szCs w:val="36"/>
        </w:rPr>
        <w:t xml:space="preserve">16. QUICK REFERENCE — NPT EM UTI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PARÂMETRO</w:t>
            </w:r>
          </w:p>
        </w:tc>
        <w:tc>
          <w:tcPr>
            <w:tcW w:type="dxa" w:w="6240"/>
            <w:gridSpan w:val="1"/>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VALOR / CONDUTA</w:t>
            </w:r>
          </w:p>
        </w:tc>
      </w:tr>
      <w:tr>
        <w:tc>
          <w:tcPr>
            <w:tcW w:type="dxa" w:w="312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Meta calórica fase aguda</w:t>
            </w:r>
          </w:p>
        </w:tc>
        <w:tc>
          <w:tcPr>
            <w:tcW w:type="dxa" w:w="624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15–20 kcal/kg/dia (D1–D3); 20–25 kcal/kg/dia (D4–D7); 25–30 kcal/kg/dia (&gt; D7)</w:t>
            </w:r>
          </w:p>
        </w:tc>
      </w:tr>
      <w:tr>
        <w:tc>
          <w:tcPr>
            <w:tcW w:type="dxa" w:w="312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Meta proteica padrão UTI</w:t>
            </w:r>
          </w:p>
        </w:tc>
        <w:tc>
          <w:tcPr>
            <w:tcW w:type="dxa" w:w="624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1,2–2,0 g/kg/dia (máx 2,5 g/kg/dia em queimados/trauma)</w:t>
            </w:r>
          </w:p>
        </w:tc>
      </w:tr>
      <w:tr>
        <w:tc>
          <w:tcPr>
            <w:tcW w:type="dxa" w:w="312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Glicose (máx)</w:t>
            </w:r>
          </w:p>
        </w:tc>
        <w:tc>
          <w:tcPr>
            <w:tcW w:type="dxa" w:w="624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 g/kg/dia (taxa: ≤ 5 mg/kg/min) — hiperglicemia: reduzir + insulina</w:t>
            </w:r>
          </w:p>
        </w:tc>
      </w:tr>
      <w:tr>
        <w:tc>
          <w:tcPr>
            <w:tcW w:type="dxa" w:w="312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Lipídeos (máx)</w:t>
            </w:r>
          </w:p>
        </w:tc>
        <w:tc>
          <w:tcPr>
            <w:tcW w:type="dxa" w:w="624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 g/kg/dia (velocidade ≤ 0,1 g/kg/h) — suspender se TG &gt; 500 mg/dL</w:t>
            </w:r>
          </w:p>
        </w:tc>
      </w:tr>
      <w:tr>
        <w:tc>
          <w:tcPr>
            <w:tcW w:type="dxa" w:w="312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Proteína IRA em diálise</w:t>
            </w:r>
          </w:p>
        </w:tc>
        <w:tc>
          <w:tcPr>
            <w:tcW w:type="dxa" w:w="624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2,0–2,5 g/kg/dia — NÃO reduzir por conta da TRS</w:t>
            </w:r>
          </w:p>
        </w:tc>
      </w:tr>
      <w:tr>
        <w:tc>
          <w:tcPr>
            <w:tcW w:type="dxa" w:w="3120"/>
            <w:gridSpan w:val="1"/>
            <w:tcBorders>
              <w:top w:val="single" w:color="BBBBBB" w:sz="1"/>
              <w:left w:val="single" w:color="BBBBBB" w:sz="1"/>
              <w:bottom w:val="single" w:color="BBBBBB" w:sz="1"/>
              <w:right w:val="single" w:color="BBBBBB" w:sz="1"/>
            </w:tcBorders>
            <w:shd w:fill="FADBD8" w:val="clear"/>
            <w:tcMar>
              <w:top w:type="dxa" w:w="80"/>
              <w:left w:type="dxa" w:w="120"/>
              <w:bottom w:type="dxa" w:w="80"/>
              <w:right w:type="dxa" w:w="120"/>
            </w:tcMar>
            <w:vAlign w:val="center"/>
          </w:tcPr>
          <w:p>
            <w:pPr>
              <w:jc w:val="left"/>
            </w:pPr>
            <w:r>
              <w:rPr>
                <w:rFonts w:ascii="Arial" w:cs="Arial" w:eastAsia="Arial" w:hAnsi="Arial"/>
                <w:b/>
                <w:bCs/>
                <w:color w:val="C0392B"/>
                <w:sz w:val="20"/>
                <w:szCs w:val="20"/>
              </w:rPr>
              <w:t xml:space="preserve">Sínd. Realimentação — início</w:t>
            </w:r>
          </w:p>
        </w:tc>
        <w:tc>
          <w:tcPr>
            <w:tcW w:type="dxa" w:w="6240"/>
            <w:gridSpan w:val="1"/>
            <w:tcBorders>
              <w:top w:val="single" w:color="BBBBBB" w:sz="1"/>
              <w:left w:val="single" w:color="BBBBBB" w:sz="1"/>
              <w:bottom w:val="single" w:color="BBBBBB" w:sz="1"/>
              <w:right w:val="single" w:color="BBBBBB" w:sz="1"/>
            </w:tcBorders>
            <w:shd w:fill="FADBD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10–15 kcal/kg/dia + TIAMINA 300 mg IV + corrigir P, Mg, K ANTES</w:t>
            </w:r>
          </w:p>
        </w:tc>
      </w:tr>
      <w:tr>
        <w:tc>
          <w:tcPr>
            <w:tcW w:type="dxa" w:w="3120"/>
            <w:gridSpan w:val="1"/>
            <w:tcBorders>
              <w:top w:val="single" w:color="BBBBBB" w:sz="1"/>
              <w:left w:val="single" w:color="BBBBBB" w:sz="1"/>
              <w:bottom w:val="single" w:color="BBBBBB" w:sz="1"/>
              <w:right w:val="single" w:color="BBBBBB" w:sz="1"/>
            </w:tcBorders>
            <w:shd w:fill="FDEBD0" w:val="clear"/>
            <w:tcMar>
              <w:top w:type="dxa" w:w="80"/>
              <w:left w:type="dxa" w:w="120"/>
              <w:bottom w:type="dxa" w:w="80"/>
              <w:right w:type="dxa" w:w="120"/>
            </w:tcMar>
            <w:vAlign w:val="center"/>
          </w:tcPr>
          <w:p>
            <w:pPr>
              <w:jc w:val="left"/>
            </w:pPr>
            <w:r>
              <w:rPr>
                <w:rFonts w:ascii="Arial" w:cs="Arial" w:eastAsia="Arial" w:hAnsi="Arial"/>
                <w:b/>
                <w:bCs/>
                <w:color w:val="E67E22"/>
                <w:sz w:val="20"/>
                <w:szCs w:val="20"/>
              </w:rPr>
              <w:t xml:space="preserve">Meta glicêmica UTI</w:t>
            </w:r>
          </w:p>
        </w:tc>
        <w:tc>
          <w:tcPr>
            <w:tcW w:type="dxa" w:w="6240"/>
            <w:gridSpan w:val="1"/>
            <w:tcBorders>
              <w:top w:val="single" w:color="BBBBBB" w:sz="1"/>
              <w:left w:val="single" w:color="BBBBBB" w:sz="1"/>
              <w:bottom w:val="single" w:color="BBBBBB" w:sz="1"/>
              <w:right w:val="single" w:color="BBBBBB" w:sz="1"/>
            </w:tcBorders>
            <w:shd w:fill="FDEBD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140–180 mg/dL (ADA/ACP 2021) — monitorar 4–6h nas primeiras 48h de NPT</w:t>
            </w:r>
          </w:p>
        </w:tc>
      </w:tr>
      <w:tr>
        <w:tc>
          <w:tcPr>
            <w:tcW w:type="dxa" w:w="312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ICSRC — prevenção</w:t>
            </w:r>
          </w:p>
        </w:tc>
        <w:tc>
          <w:tcPr>
            <w:tcW w:type="dxa" w:w="624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Bundle CDC: higienização mãos + barreira máxima + clorexidina + remoção precoce</w:t>
            </w:r>
          </w:p>
        </w:tc>
      </w:tr>
      <w:tr>
        <w:tc>
          <w:tcPr>
            <w:tcW w:type="dxa" w:w="3120"/>
            <w:gridSpan w:val="1"/>
            <w:tcBorders>
              <w:top w:val="single" w:color="BBBBBB" w:sz="1"/>
              <w:left w:val="single" w:color="BBBBBB" w:sz="1"/>
              <w:bottom w:val="single" w:color="BBBBBB" w:sz="1"/>
              <w:right w:val="single" w:color="BBBBBB" w:sz="1"/>
            </w:tcBorders>
            <w:shd w:fill="D5F5E3" w:val="clear"/>
            <w:tcMar>
              <w:top w:type="dxa" w:w="80"/>
              <w:left w:type="dxa" w:w="120"/>
              <w:bottom w:type="dxa" w:w="80"/>
              <w:right w:type="dxa" w:w="120"/>
            </w:tcMar>
            <w:vAlign w:val="center"/>
          </w:tcPr>
          <w:p>
            <w:pPr>
              <w:jc w:val="left"/>
            </w:pPr>
            <w:r>
              <w:rPr>
                <w:rFonts w:ascii="Arial" w:cs="Arial" w:eastAsia="Arial" w:hAnsi="Arial"/>
                <w:b/>
                <w:bCs/>
                <w:color w:val="1E8449"/>
                <w:sz w:val="20"/>
                <w:szCs w:val="20"/>
              </w:rPr>
              <w:t xml:space="preserve">Suspensão da NPT</w:t>
            </w:r>
          </w:p>
        </w:tc>
        <w:tc>
          <w:tcPr>
            <w:tcW w:type="dxa" w:w="6240"/>
            <w:gridSpan w:val="1"/>
            <w:tcBorders>
              <w:top w:val="single" w:color="BBBBBB" w:sz="1"/>
              <w:left w:val="single" w:color="BBBBBB" w:sz="1"/>
              <w:bottom w:val="single" w:color="BBBBBB" w:sz="1"/>
              <w:right w:val="single" w:color="BBBBBB"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 ≥ 60% meta calórica por 24h + reduzir NPT gradualmente em 2–4h antes de suspender</w:t>
            </w:r>
          </w:p>
        </w:tc>
      </w:tr>
      <w:tr>
        <w:tc>
          <w:tcPr>
            <w:tcW w:type="dxa" w:w="312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Ciclização da NPT</w:t>
            </w:r>
          </w:p>
        </w:tc>
        <w:tc>
          <w:tcPr>
            <w:tcW w:type="dxa" w:w="624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Indicar se &gt; 3–4 semanas ou PNALD: 12–16h/dia (noturno) com titulação gradual</w:t>
            </w:r>
          </w:p>
        </w:tc>
      </w:tr>
    </w:tbl>
    <w:p>
      <w:pPr>
        <w:spacing w:after="100" w:before="100"/>
      </w:pPr>
      <w:r>
        <w:rPr>
          <w:sz w:val="20"/>
          <w:szCs w:val="20"/>
        </w:rPr>
        <w:t xml:space="preserve"/>
      </w:r>
    </w:p>
    <w:p>
      <w:pPr>
        <w:pBdr>
          <w:bottom w:val="single" w:color="D6E4F0" w:sz="4" w:space="1"/>
        </w:pBdr>
        <w:spacing w:after="200" w:before="200"/>
      </w:pPr>
      <w:r>
        <w:t xml:space="preserve"/>
      </w:r>
    </w:p>
    <w:p>
      <w:pPr>
        <w:pStyle w:val="Heading1"/>
        <w:pBdr>
          <w:bottom w:val="single" w:color="2E5FA3" w:sz="8" w:space="4"/>
        </w:pBdr>
        <w:spacing w:after="160" w:before="320"/>
      </w:pPr>
      <w:r>
        <w:rPr>
          <w:rFonts w:ascii="Arial" w:cs="Arial" w:eastAsia="Arial" w:hAnsi="Arial"/>
          <w:b/>
          <w:bCs/>
          <w:color w:val="1B3A6B"/>
          <w:sz w:val="36"/>
          <w:szCs w:val="36"/>
        </w:rPr>
        <w:t xml:space="preserve">17. REFERÊNCIAS BIBLIOGRÁFICAS</w:t>
      </w:r>
    </w:p>
    <w:p>
      <w:pPr>
        <w:pStyle w:val="ListParagraph"/>
        <w:numPr>
          <w:ilvl w:val="0"/>
          <w:numId w:val="3"/>
        </w:numPr>
        <w:spacing w:after="40" w:before="40"/>
      </w:pPr>
      <w:r>
        <w:rPr>
          <w:rFonts w:ascii="Arial" w:cs="Arial" w:eastAsia="Arial" w:hAnsi="Arial"/>
          <w:sz w:val="20"/>
          <w:szCs w:val="20"/>
        </w:rPr>
        <w:t xml:space="preserve">Singer P et al. ESPEN guideline on clinical nutrition in the intensive care unit. Clinical Nutrition. 2019;38(1):48-79.</w:t>
      </w:r>
    </w:p>
    <w:p>
      <w:pPr>
        <w:pStyle w:val="ListParagraph"/>
        <w:numPr>
          <w:ilvl w:val="0"/>
          <w:numId w:val="3"/>
        </w:numPr>
        <w:spacing w:after="40" w:before="40"/>
      </w:pPr>
      <w:r>
        <w:rPr>
          <w:rFonts w:ascii="Arial" w:cs="Arial" w:eastAsia="Arial" w:hAnsi="Arial"/>
          <w:sz w:val="20"/>
          <w:szCs w:val="20"/>
        </w:rPr>
        <w:t xml:space="preserve">Martindale RG et al. Guidelines for the provision of nutrition support in adult critically ill patients: SCCM/ASPEN 2016 update. JPEN. 2016;40(2):159–211.</w:t>
      </w:r>
    </w:p>
    <w:p>
      <w:pPr>
        <w:pStyle w:val="ListParagraph"/>
        <w:numPr>
          <w:ilvl w:val="0"/>
          <w:numId w:val="3"/>
        </w:numPr>
        <w:spacing w:after="40" w:before="40"/>
      </w:pPr>
      <w:r>
        <w:rPr>
          <w:rFonts w:ascii="Arial" w:cs="Arial" w:eastAsia="Arial" w:hAnsi="Arial"/>
          <w:sz w:val="20"/>
          <w:szCs w:val="20"/>
        </w:rPr>
        <w:t xml:space="preserve">ASPEN Clinical Guidelines: Nutrition Support of Adult Patients With Hyperglycemia. JPEN. 2013.</w:t>
      </w:r>
    </w:p>
    <w:p>
      <w:pPr>
        <w:pStyle w:val="ListParagraph"/>
        <w:numPr>
          <w:ilvl w:val="0"/>
          <w:numId w:val="3"/>
        </w:numPr>
        <w:spacing w:after="40" w:before="40"/>
      </w:pPr>
      <w:r>
        <w:rPr>
          <w:rFonts w:ascii="Arial" w:cs="Arial" w:eastAsia="Arial" w:hAnsi="Arial"/>
          <w:sz w:val="20"/>
          <w:szCs w:val="20"/>
        </w:rPr>
        <w:t xml:space="preserve">Ziegler TR. Parenteral nutrition in the critically ill patient. NEJM. 2009;361:1088-1097.</w:t>
      </w:r>
    </w:p>
    <w:p>
      <w:pPr>
        <w:pStyle w:val="ListParagraph"/>
        <w:numPr>
          <w:ilvl w:val="0"/>
          <w:numId w:val="3"/>
        </w:numPr>
        <w:spacing w:after="40" w:before="40"/>
      </w:pPr>
      <w:r>
        <w:rPr>
          <w:rFonts w:ascii="Arial" w:cs="Arial" w:eastAsia="Arial" w:hAnsi="Arial"/>
          <w:sz w:val="20"/>
          <w:szCs w:val="20"/>
        </w:rPr>
        <w:t xml:space="preserve">Doig GS et al. Early parenteral nutrition in critically ill patients with short-term relative contraindications to early enteral nutrition: A randomized controlled trial. JAMA. 2013.</w:t>
      </w:r>
    </w:p>
    <w:p>
      <w:pPr>
        <w:pStyle w:val="ListParagraph"/>
        <w:numPr>
          <w:ilvl w:val="0"/>
          <w:numId w:val="3"/>
        </w:numPr>
        <w:spacing w:after="40" w:before="40"/>
      </w:pPr>
      <w:r>
        <w:rPr>
          <w:rFonts w:ascii="Arial" w:cs="Arial" w:eastAsia="Arial" w:hAnsi="Arial"/>
          <w:sz w:val="20"/>
          <w:szCs w:val="20"/>
        </w:rPr>
        <w:t xml:space="preserve">Van Zanten ARH et al. High-protein enteral nutrition enriched with immune-modulating nutrients vs standard high-protein enteral nutrition and nosocomial infections in the ICU. JAMA. 2014.</w:t>
      </w:r>
    </w:p>
    <w:p>
      <w:pPr>
        <w:pStyle w:val="ListParagraph"/>
        <w:numPr>
          <w:ilvl w:val="0"/>
          <w:numId w:val="3"/>
        </w:numPr>
        <w:spacing w:after="40" w:before="40"/>
      </w:pPr>
      <w:r>
        <w:rPr>
          <w:rFonts w:ascii="Arial" w:cs="Arial" w:eastAsia="Arial" w:hAnsi="Arial"/>
          <w:sz w:val="20"/>
          <w:szCs w:val="20"/>
        </w:rPr>
        <w:t xml:space="preserve">Heyland DK et al. A randomized trial of glutamine and antioxidants in critically ill patients (REDOXS). NEJM. 2013;368:1489–97.</w:t>
      </w:r>
    </w:p>
    <w:p>
      <w:pPr>
        <w:pStyle w:val="ListParagraph"/>
        <w:numPr>
          <w:ilvl w:val="0"/>
          <w:numId w:val="3"/>
        </w:numPr>
        <w:spacing w:after="40" w:before="40"/>
      </w:pPr>
      <w:r>
        <w:rPr>
          <w:rFonts w:ascii="Arial" w:cs="Arial" w:eastAsia="Arial" w:hAnsi="Arial"/>
          <w:sz w:val="20"/>
          <w:szCs w:val="20"/>
        </w:rPr>
        <w:t xml:space="preserve">NICE Clinical Guideline CG32. Nutrition support for adults: oral nutrition support, enteral tube feeding and parenteral nutrition. NICE. 2006 (updated 2017).</w:t>
      </w:r>
    </w:p>
    <w:p>
      <w:pPr>
        <w:pStyle w:val="ListParagraph"/>
        <w:numPr>
          <w:ilvl w:val="0"/>
          <w:numId w:val="3"/>
        </w:numPr>
        <w:spacing w:after="40" w:before="40"/>
      </w:pPr>
      <w:r>
        <w:rPr>
          <w:rFonts w:ascii="Arial" w:cs="Arial" w:eastAsia="Arial" w:hAnsi="Arial"/>
          <w:sz w:val="20"/>
          <w:szCs w:val="20"/>
        </w:rPr>
        <w:t xml:space="preserve">Mehta NM et al. Defining nutritionally vulnerable critically ill children. JPEN. 2020.</w:t>
      </w:r>
    </w:p>
    <w:p>
      <w:pPr>
        <w:pStyle w:val="ListParagraph"/>
        <w:numPr>
          <w:ilvl w:val="0"/>
          <w:numId w:val="3"/>
        </w:numPr>
        <w:spacing w:after="40" w:before="40"/>
      </w:pPr>
      <w:r>
        <w:rPr>
          <w:rFonts w:ascii="Arial" w:cs="Arial" w:eastAsia="Arial" w:hAnsi="Arial"/>
          <w:sz w:val="20"/>
          <w:szCs w:val="20"/>
        </w:rPr>
        <w:t xml:space="preserve">Correia MITD, Perman MI, Waitzberg DL. Hospital malnutrition in Latin America. Clinical Nutrition. 2017;36(4):958-967.</w:t>
      </w:r>
    </w:p>
    <w:p>
      <w:pPr>
        <w:spacing w:after="200" w:before="200"/>
      </w:pPr>
      <w:r>
        <w:rPr>
          <w:sz w:val="20"/>
          <w:szCs w:val="20"/>
        </w:rPr>
        <w:t xml:space="preserve"/>
      </w:r>
    </w:p>
    <w:p>
      <w:pPr>
        <w:spacing w:after="100" w:before="200"/>
        <w:jc w:val="center"/>
      </w:pPr>
      <w:r>
        <w:rPr>
          <w:rFonts w:ascii="Arial" w:cs="Arial" w:eastAsia="Arial" w:hAnsi="Arial"/>
          <w:color w:val="777777"/>
          <w:sz w:val="18"/>
          <w:szCs w:val="18"/>
        </w:rPr>
        <w:t xml:space="preserve">Protocolo elaborado com fins educacionais e de apoio à decisão clínica.</w:t>
      </w:r>
    </w:p>
    <w:p>
      <w:pPr>
        <w:spacing w:after="40" w:before="40"/>
        <w:jc w:val="center"/>
      </w:pPr>
      <w:r>
        <w:rPr>
          <w:rFonts w:ascii="Arial" w:cs="Arial" w:eastAsia="Arial" w:hAnsi="Arial"/>
          <w:color w:val="777777"/>
          <w:sz w:val="18"/>
          <w:szCs w:val="18"/>
        </w:rPr>
        <w:t xml:space="preserve">Não substitui avaliação individualizada de nutricionista e médico responsável.</w:t>
      </w:r>
    </w:p>
    <w:p>
      <w:pPr>
        <w:spacing w:after="40" w:before="40"/>
        <w:jc w:val="center"/>
      </w:pPr>
      <w:r>
        <w:rPr>
          <w:rFonts w:ascii="Arial" w:cs="Arial" w:eastAsia="Arial" w:hAnsi="Arial"/>
          <w:b/>
          <w:bCs/>
          <w:color w:val="555555"/>
          <w:sz w:val="18"/>
          <w:szCs w:val="18"/>
        </w:rPr>
        <w:t xml:space="preserve">Dr. Aldenir Rocha — CRM-CE 16587 — Sobral, Ceará — Abril 2026</w:t>
      </w:r>
    </w:p>
    <w:sectPr>
      <w:headerReference w:type="default" r:id="rId7"/>
      <w:footerReference w:type="default" r:id="rId8"/>
      <w:pgSz w:w="11906" w:h="16838"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4"/>
      </w:pBdr>
      <w:spacing w:before="80"/>
      <w:jc w:val="center"/>
    </w:pPr>
    <w:r>
      <w:rPr>
        <w:rFonts w:ascii="Arial" w:cs="Arial" w:eastAsia="Arial" w:hAnsi="Arial"/>
        <w:color w:val="777777"/>
        <w:sz w:val="16"/>
        <w:szCs w:val="16"/>
      </w:rPr>
      <w:t xml:space="preserve">Hospital Regional Norte / Santa Casa de Misericórdia – Sobral/CE  |  Pág. </w:t>
    </w:r>
    <w:r>
      <w:rPr>
        <w:rFonts w:ascii="Arial" w:cs="Arial" w:eastAsia="Arial" w:hAnsi="Arial"/>
        <w:color w:val="777777"/>
        <w:sz w:val="16"/>
        <w:szCs w:val="16"/>
      </w:rPr>
      <type>pageNumber</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4"/>
      </w:pBdr>
      <w:spacing w:after="120"/>
      <w:jc w:val="right"/>
    </w:pPr>
    <w:r>
      <w:rPr>
        <w:rFonts w:ascii="Arial" w:cs="Arial" w:eastAsia="Arial" w:hAnsi="Arial"/>
        <w:color w:val="555555"/>
        <w:sz w:val="16"/>
        <w:szCs w:val="16"/>
      </w:rPr>
      <w:t xml:space="preserve">PROTOCOLO DE NPT — UTI  |  Dr. Aldenir Rocha  |  CRM-CE 16587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5FA3"/>
      <w:sz w:val="28"/>
      <w:szCs w:val="28"/>
    </w:rPr>
  </w:style>
  <w:style w:type="paragraph" w:styleId="Heading3">
    <w:name w:val="Heading 3"/>
    <w:basedOn w:val="Normal"/>
    <w:next w:val="Normal"/>
    <w:qFormat/>
    <w:pPr>
      <w:spacing w:after="80" w:before="180"/>
      <w:outlineLvl w:val="2"/>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2026-04-22T11:13:42.981Z</dcterms:created>
  <dcterms:modified xsi:type="dcterms:W3CDTF">2026-04-22T11:13:42.982Z</dcterms:modified>
</cp:coreProperties>
</file>

<file path=docProps/custom.xml><?xml version="1.0" encoding="utf-8"?>
<Properties xmlns="http://schemas.openxmlformats.org/officeDocument/2006/custom-properties" xmlns:vt="http://schemas.openxmlformats.org/officeDocument/2006/docPropsVTypes"/>
</file>