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12"/>
          <w:szCs w:val="12"/>
        </w:rPr>
        <w:t xml:space="preserve"/>
      </w:r>
    </w:p>
    <w:p>
      <w:r>
        <w:rPr>
          <w:sz w:val="12"/>
          <w:szCs w:val="12"/>
        </w:rPr>
        <w:t xml:space="preserve"/>
      </w:r>
    </w:p>
    <w:p>
      <w:r>
        <w:rPr>
          <w:sz w:val="12"/>
          <w:szCs w:val="12"/>
        </w:rPr>
        <w:t xml:space="preserve"/>
      </w:r>
    </w:p>
    <w:p>
      <w:pPr>
        <w:jc w:val="center"/>
      </w:pPr>
      <w:r>
        <w:rPr>
          <w:rFonts w:ascii="Segoe UI Emoji" w:cs="Segoe UI Emoji" w:eastAsia="Segoe UI Emoji" w:hAnsi="Segoe UI Emoji"/>
          <w:sz w:val="64"/>
          <w:szCs w:val="64"/>
        </w:rPr>
        <w:t xml:space="preserve">🏥📊✅</w:t>
      </w:r>
    </w:p>
    <w:p>
      <w:pPr>
        <w:spacing w:after="100" w:before="200"/>
        <w:jc w:val="center"/>
      </w:pPr>
      <w:r>
        <w:rPr>
          <w:rFonts w:ascii="Arial" w:cs="Arial" w:eastAsia="Arial" w:hAnsi="Arial"/>
          <w:b/>
          <w:bCs/>
          <w:color w:val="1B3A6B"/>
          <w:sz w:val="38"/>
          <w:szCs w:val="38"/>
        </w:rPr>
        <w:t xml:space="preserve">QUALIDADE E SEGURANÇA EM UTI</w:t>
      </w:r>
    </w:p>
    <w:p>
      <w:pPr>
        <w:jc w:val="center"/>
      </w:pPr>
      <w:r>
        <w:rPr>
          <w:rFonts w:ascii="Arial" w:cs="Arial" w:eastAsia="Arial" w:hAnsi="Arial"/>
          <w:b/>
          <w:bCs/>
          <w:color w:val="2E75B6"/>
          <w:sz w:val="24"/>
          <w:szCs w:val="24"/>
        </w:rPr>
        <w:t xml:space="preserve">Indicadores • Bundles • Eventos Adversos • Acreditação</w:t>
      </w:r>
    </w:p>
    <w:p>
      <w:pPr>
        <w:spacing w:before="100"/>
        <w:jc w:val="center"/>
      </w:pPr>
      <w:r>
        <w:rPr>
          <w:rFonts w:ascii="Arial" w:cs="Arial" w:eastAsia="Arial" w:hAnsi="Arial"/>
          <w:i/>
          <w:iCs/>
          <w:color w:val="00695C"/>
          <w:sz w:val="21"/>
          <w:szCs w:val="21"/>
        </w:rPr>
        <w:t xml:space="preserve">Cultura de Segurança  •  AMIB Indicadores  •  IHI  •  ANVISA  •  JCI  •  RDC 63/2011</w:t>
      </w:r>
    </w:p>
    <w:p>
      <w:r>
        <w:rPr>
          <w:sz w:val="12"/>
          <w:szCs w:val="12"/>
        </w:rPr>
        <w:t xml:space="preserve"/>
      </w:r>
    </w:p>
    <w:p>
      <w:r>
        <w:rPr>
          <w:sz w:val="12"/>
          <w:szCs w:val="12"/>
        </w:rPr>
        <w:t xml:space="preserve"/>
      </w:r>
    </w:p>
    <w:p>
      <w:r>
        <w:rPr>
          <w:sz w:val="12"/>
          <w:szCs w:val="12"/>
        </w:rPr>
        <w:t xml:space="preserve"/>
      </w:r>
    </w:p>
    <w:p>
      <w:r>
        <w:rPr>
          <w:sz w:val="12"/>
          <w:szCs w:val="12"/>
        </w:rPr>
        <w:t xml:space="preserve"/>
      </w:r>
    </w:p>
    <w:p>
      <w:pPr>
        <w:jc w:val="center"/>
      </w:pPr>
      <w:r>
        <w:rPr>
          <w:rFonts w:ascii="Arial" w:cs="Arial" w:eastAsia="Arial" w:hAnsi="Arial"/>
          <w:b/>
          <w:bCs/>
          <w:color w:val="1B3A6B"/>
          <w:sz w:val="28"/>
          <w:szCs w:val="28"/>
        </w:rPr>
        <w:t xml:space="preserve">Dr. Aldenir Rocha</w:t>
      </w:r>
    </w:p>
    <w:p>
      <w:pPr>
        <w:jc w:val="center"/>
      </w:pPr>
      <w:r>
        <w:rPr>
          <w:rFonts w:ascii="Arial" w:cs="Arial" w:eastAsia="Arial" w:hAnsi="Arial"/>
          <w:color w:val="424242"/>
          <w:sz w:val="22"/>
          <w:szCs w:val="22"/>
        </w:rPr>
        <w:t xml:space="preserve">CRM 16587 CREMEC  |  RQE Clínica Médica 11846</w:t>
      </w:r>
    </w:p>
    <w:p>
      <w:pPr>
        <w:jc w:val="center"/>
      </w:pPr>
      <w:r>
        <w:rPr>
          <w:rFonts w:ascii="Arial" w:cs="Arial" w:eastAsia="Arial" w:hAnsi="Arial"/>
          <w:color w:val="424242"/>
          <w:sz w:val="22"/>
          <w:szCs w:val="22"/>
        </w:rPr>
        <w:t xml:space="preserve">Hospital Regional Norte  |  Santa Casa de Misericórdia de Sobral – CE</w:t>
      </w:r>
    </w:p>
    <w:p>
      <w:pPr>
        <w:spacing w:before="160"/>
        <w:jc w:val="center"/>
      </w:pPr>
      <w:r>
        <w:rPr>
          <w:rFonts w:ascii="Arial" w:cs="Arial" w:eastAsia="Arial" w:hAnsi="Arial"/>
          <w:color w:val="2E75B6"/>
          <w:sz w:val="18"/>
          <w:szCs w:val="18"/>
        </w:rPr>
        <w:t xml:space="preserve">Versão 1.0  |  Abril/2026  |  IHI  •  AMIB  •  ANVISA RDC 63  •  OMS Meta Internacional  •  TEMI 2026</w:t>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B3A6B" w:val="clear"/>
            <w:tcMar>
              <w:top w:type="dxa" w:w="140"/>
              <w:left w:type="dxa" w:w="200"/>
              <w:bottom w:type="dxa" w:w="140"/>
              <w:right w:type="dxa" w:w="200"/>
            </w:tcMar>
          </w:tcPr>
          <w:p>
            <w:pPr>
              <w:jc w:val="center"/>
            </w:pPr>
            <w:r>
              <w:rPr>
                <w:rFonts w:ascii="Arial" w:cs="Arial" w:eastAsia="Arial" w:hAnsi="Arial"/>
                <w:b/>
                <w:bCs/>
                <w:color w:val="FFFFFF"/>
                <w:sz w:val="34"/>
                <w:szCs w:val="34"/>
              </w:rPr>
              <w:t xml:space="preserve">🏥 PARTE I — CULTURA DE SEGURANÇA E CONCEITOS FUNDAMENTAIS</w:t>
            </w:r>
          </w:p>
          <w:p>
            <w:pPr>
              <w:jc w:val="center"/>
            </w:pPr>
            <w:r>
              <w:rPr>
                <w:rFonts w:ascii="Arial" w:cs="Arial" w:eastAsia="Arial" w:hAnsi="Arial"/>
                <w:color w:val="E3F2FD"/>
                <w:sz w:val="20"/>
                <w:szCs w:val="20"/>
              </w:rPr>
              <w:t xml:space="preserve">Erro • Evento Adverso • Near Miss • Swiss Cheese Model • Just Culture</w:t>
            </w:r>
          </w:p>
        </w:tc>
      </w:tr>
    </w:tbl>
    <w:p>
      <w:r>
        <w:rPr>
          <w:sz w:val="12"/>
          <w:szCs w:val="12"/>
        </w:rPr>
        <w:t xml:space="preserve"/>
      </w:r>
    </w:p>
    <w:p>
      <w:pPr>
        <w:pBdr>
          <w:bottom w:val="single" w:color="2E75B6" w:sz="8" w:space="1"/>
        </w:pBdr>
        <w:spacing w:after="160" w:before="360"/>
      </w:pPr>
      <w:r>
        <w:rPr>
          <w:rFonts w:ascii="Arial" w:cs="Arial" w:eastAsia="Arial" w:hAnsi="Arial"/>
          <w:b/>
          <w:bCs/>
          <w:caps/>
          <w:color w:val="1B3A6B"/>
          <w:sz w:val="34"/>
          <w:szCs w:val="34"/>
        </w:rPr>
        <w:t xml:space="preserve">1. CONCEITOS ESSENCIAIS DE SEGURANÇA DO PACIENTE</w:t>
      </w:r>
    </w:p>
    <w:p>
      <w:pPr>
        <w:spacing w:after="80"/>
      </w:pPr>
      <w:r>
        <w:rPr>
          <w:rFonts w:ascii="Arial" w:cs="Arial" w:eastAsia="Arial" w:hAnsi="Arial"/>
          <w:color w:val="424242"/>
          <w:sz w:val="20"/>
          <w:szCs w:val="20"/>
        </w:rPr>
        <w:t xml:space="preserve">A OMS (2004) definiu segurança do paciente como a redução do risco de danos desnecessários ao paciente a um mínimo aceitável. No Brasil, o Programa Nacional de Segurança do Paciente (PNSP) — RDC 36/2013 — obriga todos os serviços de saúde a implementar Núcleos de Segurança do Paciente (NSP).</w:t>
      </w:r>
    </w:p>
    <w:p>
      <w:r>
        <w:rPr>
          <w:sz w:val="12"/>
          <w:szCs w:val="1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c>
          <w:tcPr>
            <w:tcW w:type="dxa" w:w="2200"/>
            <w:gridSpan w:val="1"/>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Conceito</w:t>
            </w:r>
          </w:p>
        </w:tc>
        <w:tc>
          <w:tcPr>
            <w:tcW w:type="dxa" w:w="3600"/>
            <w:gridSpan w:val="1"/>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Definição</w:t>
            </w:r>
          </w:p>
        </w:tc>
        <w:tc>
          <w:tcPr>
            <w:tcW w:type="dxa" w:w="3400"/>
            <w:gridSpan w:val="1"/>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Exemplo UTI</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Erro</w:t>
            </w:r>
          </w:p>
        </w:tc>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Falha em executar ação planejada OU uso de plano errado para atingir objetivo</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Dose errada de heparina calculada incorretamente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Evento Adverso (EA)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Dano causado ao paciente por cuidado de saúde (não pela doença)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Infecção de CVC por falta de técnica asséptica</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Near Miss (Quase Erro)</w:t>
            </w:r>
          </w:p>
        </w:tc>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Evento que PODERIA causar dano mas não causou por acaso ou intervenção</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Dose de KCl concentrado preparada mas detectada antes de administrar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Evento Adverso Grave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EA com dano permanente, hospitalização prolongada ou morte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PVPNA (pneumonia por ventilador) que levou a sepse e óbito</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Evento Sentinela</w:t>
            </w:r>
          </w:p>
        </w:tc>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Evento inesperado com morte ou lesão grave permanente</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Cirurgia no paciente/membro errado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Incidente Sem Dano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Evento que chegou ao paciente mas NÃO causou dano</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Medicamento errado administrado mas sem efeito adverso observável</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Cultura Justa (Just Culture)</w:t>
            </w:r>
          </w:p>
        </w:tc>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Diferencia erro humano involuntário (suporte) de comportamento imprudente (punição)</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Enfermeiro que reporta erro próprio sem medo de punição desproporcional</w:t>
            </w:r>
          </w:p>
        </w:tc>
      </w:tr>
    </w:tbl>
    <w:p>
      <w:r>
        <w:rPr>
          <w:sz w:val="12"/>
          <w:szCs w:val="1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1"/>
              <w:left w:val="single" w:color="2E75B6" w:sz="1"/>
              <w:bottom w:val="single" w:color="2E75B6" w:sz="1"/>
              <w:right w:val="single" w:color="2E75B6" w:sz="1"/>
            </w:tcBorders>
            <w:shd w:fill="2E75B6" w:val="clear"/>
            <w:tcMar>
              <w:top w:type="dxa" w:w="100"/>
              <w:left w:type="dxa" w:w="160"/>
              <w:bottom w:type="dxa" w:w="100"/>
              <w:right w:type="dxa" w:w="160"/>
            </w:tcMar>
          </w:tcPr>
          <w:p>
            <w:r>
              <w:rPr>
                <w:rFonts w:ascii="Arial" w:cs="Arial" w:eastAsia="Arial" w:hAnsi="Arial"/>
                <w:b/>
                <w:bCs/>
                <w:color w:val="FFFFFF"/>
                <w:sz w:val="20"/>
                <w:szCs w:val="20"/>
              </w:rPr>
              <w:t xml:space="preserve">🧀 MODELO DO QUEIJO SUÍÇO (REASON, 1990) — ACIDENTES ORGANIZACIONAIS</w:t>
            </w:r>
          </w:p>
        </w:tc>
      </w:tr>
      <w:tr>
        <w:tc>
          <w:tcPr>
            <w:tcW w:type="dxa" w:w="9200"/>
            <w:tcBorders>
              <w:top w:val="single" w:color="2E75B6" w:sz="1"/>
              <w:left w:val="single" w:color="2E75B6" w:sz="1"/>
              <w:bottom w:val="single" w:color="2E75B6" w:sz="1"/>
              <w:right w:val="single" w:color="2E75B6" w:sz="1"/>
            </w:tcBorders>
            <w:shd w:fill="FFFFFF" w:val="clear"/>
            <w:tcMar>
              <w:top w:type="dxa" w:w="50"/>
              <w:left w:type="dxa" w:w="160"/>
              <w:bottom w:type="dxa" w:w="50"/>
              <w:right w:type="dxa" w:w="160"/>
            </w:tcMar>
          </w:tcPr>
          <w:p>
            <w:r>
              <w:rPr>
                <w:rFonts w:ascii="Arial" w:cs="Arial" w:eastAsia="Arial" w:hAnsi="Arial"/>
                <w:color w:val="424242"/>
                <w:sz w:val="18"/>
                <w:szCs w:val="18"/>
              </w:rPr>
              <w:t xml:space="preserve">James Reason: acidentes ocorrem pela combinação de múltiplas falhas latentes (fatias de queijo) que se alinham.</w:t>
            </w:r>
          </w:p>
        </w:tc>
      </w:tr>
      <w:tr>
        <w:tc>
          <w:tcPr>
            <w:tcW w:type="dxa" w:w="9200"/>
            <w:tcBorders>
              <w:top w:val="single" w:color="2E75B6" w:sz="1"/>
              <w:left w:val="single" w:color="2E75B6" w:sz="1"/>
              <w:bottom w:val="single" w:color="2E75B6" w:sz="1"/>
              <w:right w:val="single" w:color="2E75B6" w:sz="1"/>
            </w:tcBorders>
            <w:shd w:fill="FFFFFF" w:val="clear"/>
            <w:tcMar>
              <w:top w:type="dxa" w:w="50"/>
              <w:left w:type="dxa" w:w="160"/>
              <w:bottom w:type="dxa" w:w="50"/>
              <w:right w:type="dxa" w:w="160"/>
            </w:tcMar>
          </w:tcPr>
          <w:p>
            <w:r>
              <w:rPr>
                <w:rFonts w:ascii="Arial" w:cs="Arial" w:eastAsia="Arial" w:hAnsi="Arial"/>
                <w:color w:val="424242"/>
                <w:sz w:val="18"/>
                <w:szCs w:val="18"/>
              </w:rPr>
              <w:t xml:space="preserve">Cada 'fatia' = barreira de defesa: protocolos, treinamento, supervisão, tecnologia, cultura.</w:t>
            </w:r>
          </w:p>
        </w:tc>
      </w:tr>
      <w:tr>
        <w:tc>
          <w:tcPr>
            <w:tcW w:type="dxa" w:w="9200"/>
            <w:tcBorders>
              <w:top w:val="single" w:color="2E75B6" w:sz="1"/>
              <w:left w:val="single" w:color="2E75B6" w:sz="1"/>
              <w:bottom w:val="single" w:color="2E75B6" w:sz="1"/>
              <w:right w:val="single" w:color="2E75B6" w:sz="1"/>
            </w:tcBorders>
            <w:shd w:fill="FFFFFF" w:val="clear"/>
            <w:tcMar>
              <w:top w:type="dxa" w:w="50"/>
              <w:left w:type="dxa" w:w="160"/>
              <w:bottom w:type="dxa" w:w="50"/>
              <w:right w:type="dxa" w:w="160"/>
            </w:tcMar>
          </w:tcPr>
          <w:p>
            <w:r>
              <w:rPr>
                <w:rFonts w:ascii="Arial" w:cs="Arial" w:eastAsia="Arial" w:hAnsi="Arial"/>
                <w:color w:val="424242"/>
                <w:sz w:val="18"/>
                <w:szCs w:val="18"/>
              </w:rPr>
              <w:t xml:space="preserve">Quando os 'buracos' de todas as fatias se alinham → erro chega ao paciente.</w:t>
            </w:r>
          </w:p>
        </w:tc>
      </w:tr>
      <w:tr>
        <w:tc>
          <w:tcPr>
            <w:tcW w:type="dxa" w:w="9200"/>
            <w:tcBorders>
              <w:top w:val="single" w:color="2E75B6" w:sz="1"/>
              <w:left w:val="single" w:color="2E75B6" w:sz="1"/>
              <w:bottom w:val="single" w:color="2E75B6" w:sz="1"/>
              <w:right w:val="single" w:color="2E75B6" w:sz="1"/>
            </w:tcBorders>
            <w:shd w:fill="FFFFFF" w:val="clear"/>
            <w:tcMar>
              <w:top w:type="dxa" w:w="50"/>
              <w:left w:type="dxa" w:w="160"/>
              <w:bottom w:type="dxa" w:w="50"/>
              <w:right w:type="dxa" w:w="160"/>
            </w:tcMar>
          </w:tcPr>
          <w:p>
            <w:r>
              <w:rPr>
                <w:rFonts w:ascii="Arial" w:cs="Arial" w:eastAsia="Arial" w:hAnsi="Arial"/>
                <w:color w:val="424242"/>
                <w:sz w:val="18"/>
                <w:szCs w:val="18"/>
              </w:rPr>
              <w:t xml:space="preserve">IMPLICAÇÃO UTI: a) Múltiplas camadas de barreira (checklist + dupla checagem + alarme) previnem EAs.</w:t>
            </w:r>
          </w:p>
        </w:tc>
      </w:tr>
      <w:tr>
        <w:tc>
          <w:tcPr>
            <w:tcW w:type="dxa" w:w="9200"/>
            <w:tcBorders>
              <w:top w:val="single" w:color="2E75B6" w:sz="1"/>
              <w:left w:val="single" w:color="2E75B6" w:sz="1"/>
              <w:bottom w:val="single" w:color="2E75B6" w:sz="1"/>
              <w:right w:val="single" w:color="2E75B6" w:sz="1"/>
            </w:tcBorders>
            <w:shd w:fill="FFFFFF" w:val="clear"/>
            <w:tcMar>
              <w:top w:type="dxa" w:w="50"/>
              <w:left w:type="dxa" w:w="160"/>
              <w:bottom w:type="dxa" w:w="50"/>
              <w:right w:type="dxa" w:w="160"/>
            </w:tcMar>
          </w:tcPr>
          <w:p>
            <w:r>
              <w:rPr>
                <w:rFonts w:ascii="Arial" w:cs="Arial" w:eastAsia="Arial" w:hAnsi="Arial"/>
                <w:color w:val="424242"/>
                <w:sz w:val="18"/>
                <w:szCs w:val="18"/>
              </w:rPr>
              <w:t xml:space="preserve">b) Falha de UMA barreira raramente causa dano sozinha — investigar toda a cadeia de eventos.</w:t>
            </w:r>
          </w:p>
        </w:tc>
      </w:tr>
      <w:tr>
        <w:tc>
          <w:tcPr>
            <w:tcW w:type="dxa" w:w="9200"/>
            <w:tcBorders>
              <w:top w:val="single" w:color="2E75B6" w:sz="1"/>
              <w:left w:val="single" w:color="2E75B6" w:sz="1"/>
              <w:bottom w:val="single" w:color="2E75B6" w:sz="1"/>
              <w:right w:val="single" w:color="2E75B6" w:sz="1"/>
            </w:tcBorders>
            <w:shd w:fill="FFFFFF" w:val="clear"/>
            <w:tcMar>
              <w:top w:type="dxa" w:w="50"/>
              <w:left w:type="dxa" w:w="160"/>
              <w:bottom w:type="dxa" w:w="50"/>
              <w:right w:type="dxa" w:w="160"/>
            </w:tcMar>
          </w:tcPr>
          <w:p>
            <w:r>
              <w:rPr>
                <w:rFonts w:ascii="Arial" w:cs="Arial" w:eastAsia="Arial" w:hAnsi="Arial"/>
                <w:color w:val="424242"/>
                <w:sz w:val="18"/>
                <w:szCs w:val="18"/>
              </w:rPr>
              <w:t xml:space="preserve">c) Foco em SISTEMAS, não em punição individual → cultura de aprendizado.</w:t>
            </w:r>
          </w:p>
        </w:tc>
      </w:tr>
      <w:tr>
        <w:tc>
          <w:tcPr>
            <w:tcW w:type="dxa" w:w="9200"/>
            <w:tcBorders>
              <w:top w:val="single" w:color="2E75B6" w:sz="1"/>
              <w:left w:val="single" w:color="2E75B6" w:sz="1"/>
              <w:bottom w:val="single" w:color="2E75B6" w:sz="1"/>
              <w:right w:val="single" w:color="2E75B6" w:sz="1"/>
            </w:tcBorders>
            <w:shd w:fill="FFFFFF" w:val="clear"/>
            <w:tcMar>
              <w:top w:type="dxa" w:w="50"/>
              <w:left w:type="dxa" w:w="160"/>
              <w:bottom w:type="dxa" w:w="50"/>
              <w:right w:type="dxa" w:w="160"/>
            </w:tcMar>
          </w:tcPr>
          <w:p>
            <w:r>
              <w:rPr>
                <w:rFonts w:ascii="Arial" w:cs="Arial" w:eastAsia="Arial" w:hAnsi="Arial"/>
                <w:color w:val="424242"/>
                <w:sz w:val="18"/>
                <w:szCs w:val="18"/>
              </w:rPr>
              <w:t xml:space="preserve">APLICAÇÃO PRÁTICA: RCA (Root Cause Analysis) mapeia cada 'furo' no queijo após EA grave.</w:t>
            </w:r>
          </w:p>
        </w:tc>
      </w:tr>
    </w:tbl>
    <w:p>
      <w:r>
        <w:rPr>
          <w:sz w:val="12"/>
          <w:szCs w:val="12"/>
        </w:rPr>
        <w:t xml:space="preserve"/>
      </w:r>
    </w:p>
    <w:p>
      <w:r>
        <w:rPr>
          <w:sz w:val="12"/>
          <w:szCs w:val="12"/>
        </w:rPr>
        <w:t xml:space="preserve"/>
      </w:r>
    </w:p>
    <w:p>
      <w:pPr>
        <w:pBdr>
          <w:bottom w:val="single" w:color="2E75B6" w:sz="8" w:space="1"/>
        </w:pBdr>
        <w:spacing w:after="160" w:before="360"/>
      </w:pPr>
      <w:r>
        <w:rPr>
          <w:rFonts w:ascii="Arial" w:cs="Arial" w:eastAsia="Arial" w:hAnsi="Arial"/>
          <w:b/>
          <w:bCs/>
          <w:caps/>
          <w:color w:val="1B3A6B"/>
          <w:sz w:val="34"/>
          <w:szCs w:val="34"/>
        </w:rPr>
        <w:t xml:space="preserve">2. METAS INTERNACIONAIS DE SEGURANÇA DO PACIENTE — OMS / JCI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3000"/>
        <w:gridCol w:w="2700"/>
      </w:tblGrid>
      <w:tr>
        <w:tc>
          <w:tcPr>
            <w:tcW w:type="dxa" w:w="700"/>
            <w:gridSpan w:val="1"/>
            <w:tcBorders>
              <w:top w:val="single" w:color="FFFFFF" w:sz="1"/>
              <w:left w:val="single" w:color="FFFFFF" w:sz="1"/>
              <w:bottom w:val="single" w:color="FFFFFF" w:sz="1"/>
              <w:right w:val="single" w:color="FFFFFF" w:sz="1"/>
            </w:tcBorders>
            <w:shd w:fill="0069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Meta</w:t>
            </w:r>
          </w:p>
        </w:tc>
        <w:tc>
          <w:tcPr>
            <w:tcW w:type="dxa" w:w="2800"/>
            <w:gridSpan w:val="1"/>
            <w:tcBorders>
              <w:top w:val="single" w:color="FFFFFF" w:sz="1"/>
              <w:left w:val="single" w:color="FFFFFF" w:sz="1"/>
              <w:bottom w:val="single" w:color="FFFFFF" w:sz="1"/>
              <w:right w:val="single" w:color="FFFFFF" w:sz="1"/>
            </w:tcBorders>
            <w:shd w:fill="0069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Descrição</w:t>
            </w:r>
          </w:p>
        </w:tc>
        <w:tc>
          <w:tcPr>
            <w:tcW w:type="dxa" w:w="3000"/>
            <w:gridSpan w:val="1"/>
            <w:tcBorders>
              <w:top w:val="single" w:color="FFFFFF" w:sz="1"/>
              <w:left w:val="single" w:color="FFFFFF" w:sz="1"/>
              <w:bottom w:val="single" w:color="FFFFFF" w:sz="1"/>
              <w:right w:val="single" w:color="FFFFFF" w:sz="1"/>
            </w:tcBorders>
            <w:shd w:fill="0069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Ações UTI</w:t>
            </w:r>
          </w:p>
        </w:tc>
        <w:tc>
          <w:tcPr>
            <w:tcW w:type="dxa" w:w="2700"/>
            <w:gridSpan w:val="1"/>
            <w:tcBorders>
              <w:top w:val="single" w:color="FFFFFF" w:sz="1"/>
              <w:left w:val="single" w:color="FFFFFF" w:sz="1"/>
              <w:bottom w:val="single" w:color="FFFFFF" w:sz="1"/>
              <w:right w:val="single" w:color="FFFFFF" w:sz="1"/>
            </w:tcBorders>
            <w:shd w:fill="00695C"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Ferramenta</w:t>
            </w:r>
          </w:p>
        </w:tc>
      </w:tr>
      <w:tr>
        <w:tc>
          <w:tcPr>
            <w:tcW w:type="dxa" w:w="7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center"/>
            </w:pPr>
            <w:r>
              <w:rPr>
                <w:rFonts w:ascii="Arial" w:cs="Arial" w:eastAsia="Arial" w:hAnsi="Arial"/>
                <w:b/>
                <w:bCs/>
                <w:color w:val="00695C"/>
                <w:sz w:val="18"/>
                <w:szCs w:val="18"/>
              </w:rPr>
              <w:t xml:space="preserve">1</w:t>
            </w:r>
          </w:p>
        </w:tc>
        <w:tc>
          <w:tcPr>
            <w:tcW w:type="dxa" w:w="28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Identificação correta do paciente</w:t>
            </w:r>
          </w:p>
        </w:tc>
        <w:tc>
          <w:tcPr>
            <w:tcW w:type="dxa" w:w="30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Pulseira + 2 identificadores (nome + DN). Conferir ANTES de procedimento/medicação.</w:t>
            </w:r>
          </w:p>
        </w:tc>
        <w:tc>
          <w:tcPr>
            <w:tcW w:type="dxa" w:w="27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Protocolo de identificação. Pulseiras coloridas por risco.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695C"/>
                <w:sz w:val="18"/>
                <w:szCs w:val="18"/>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Comunicação eficaz entre profissionais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Passagem de plantão estruturada. SBAR (Situação, Background, Avaliação, Recomendação).</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SBAR escrito + verbal. Read-back em prescrições verbais. Ronda multidisciplinar.</w:t>
            </w:r>
          </w:p>
        </w:tc>
      </w:tr>
      <w:tr>
        <w:tc>
          <w:tcPr>
            <w:tcW w:type="dxa" w:w="7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center"/>
            </w:pPr>
            <w:r>
              <w:rPr>
                <w:rFonts w:ascii="Arial" w:cs="Arial" w:eastAsia="Arial" w:hAnsi="Arial"/>
                <w:b/>
                <w:bCs/>
                <w:color w:val="00695C"/>
                <w:sz w:val="18"/>
                <w:szCs w:val="18"/>
              </w:rPr>
              <w:t xml:space="preserve">3</w:t>
            </w:r>
          </w:p>
        </w:tc>
        <w:tc>
          <w:tcPr>
            <w:tcW w:type="dxa" w:w="28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Segurança de medicamentos de alta vigilância</w:t>
            </w:r>
          </w:p>
        </w:tc>
        <w:tc>
          <w:tcPr>
            <w:tcW w:type="dxa" w:w="30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KCl concentrado, insulina, heparina, bloqueadores NM: dupla checagem obrigatória.</w:t>
            </w:r>
          </w:p>
        </w:tc>
        <w:tc>
          <w:tcPr>
            <w:tcW w:type="dxa" w:w="27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Etiquetas vermelhas. Armário segregado. Bomba infusora com alarme.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695C"/>
                <w:sz w:val="18"/>
                <w:szCs w:val="18"/>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Cirurgia segura (Checklist WHO)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Time-out pré-incisão, briefing pré-operatório, debriefing pós. Verificação sítio/paciente/procedimento.</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Checklist cirúrgico WHO (19 itens). Pausa cirúrgica obrigatória.</w:t>
            </w:r>
          </w:p>
        </w:tc>
      </w:tr>
      <w:tr>
        <w:tc>
          <w:tcPr>
            <w:tcW w:type="dxa" w:w="7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center"/>
            </w:pPr>
            <w:r>
              <w:rPr>
                <w:rFonts w:ascii="Arial" w:cs="Arial" w:eastAsia="Arial" w:hAnsi="Arial"/>
                <w:b/>
                <w:bCs/>
                <w:color w:val="00695C"/>
                <w:sz w:val="18"/>
                <w:szCs w:val="18"/>
              </w:rPr>
              <w:t xml:space="preserve">5</w:t>
            </w:r>
          </w:p>
        </w:tc>
        <w:tc>
          <w:tcPr>
            <w:tcW w:type="dxa" w:w="28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Redução de infecções associadas (IRAS)</w:t>
            </w:r>
          </w:p>
        </w:tc>
        <w:tc>
          <w:tcPr>
            <w:tcW w:type="dxa" w:w="30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BUNDLE PVPNA, BUNDLE CVC, higiene das mãos (5 momentos OMS).</w:t>
            </w:r>
          </w:p>
        </w:tc>
        <w:tc>
          <w:tcPr>
            <w:tcW w:type="dxa" w:w="27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Bundles IHI. Triagem MRSA/KPC. Álcool gel acessível.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695C"/>
                <w:sz w:val="18"/>
                <w:szCs w:val="18"/>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Prevenção de quedas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Escore de Morse ≥ 45 = alto risco. Grades, calçado antiderrapante, cama baixa.</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Protocolo de prevenção. Revisão medicamentos (sedativos, diuréticos).</w:t>
            </w:r>
          </w:p>
        </w:tc>
      </w:tr>
    </w:tbl>
    <w:p>
      <w:r>
        <w:rPr>
          <w:sz w:val="12"/>
          <w:szCs w:val="12"/>
        </w:rPr>
        <w:t xml:space="preserve"/>
      </w:r>
    </w:p>
    <w:p>
      <w:r>
        <w:rPr>
          <w:sz w:val="12"/>
          <w:szCs w:val="12"/>
        </w:rP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6A1B9A" w:val="clear"/>
            <w:tcMar>
              <w:top w:type="dxa" w:w="140"/>
              <w:left w:type="dxa" w:w="200"/>
              <w:bottom w:type="dxa" w:w="140"/>
              <w:right w:type="dxa" w:w="200"/>
            </w:tcMar>
          </w:tcPr>
          <w:p>
            <w:pPr>
              <w:jc w:val="center"/>
            </w:pPr>
            <w:r>
              <w:rPr>
                <w:rFonts w:ascii="Arial" w:cs="Arial" w:eastAsia="Arial" w:hAnsi="Arial"/>
                <w:b/>
                <w:bCs/>
                <w:color w:val="FFFFFF"/>
                <w:sz w:val="34"/>
                <w:szCs w:val="34"/>
              </w:rPr>
              <w:t xml:space="preserve">📊 PARTE II — INDICADORES DE QUALIDADE EM UTI</w:t>
            </w:r>
          </w:p>
          <w:p>
            <w:pPr>
              <w:jc w:val="center"/>
            </w:pPr>
            <w:r>
              <w:rPr>
                <w:rFonts w:ascii="Arial" w:cs="Arial" w:eastAsia="Arial" w:hAnsi="Arial"/>
                <w:color w:val="E3F2FD"/>
                <w:sz w:val="20"/>
                <w:szCs w:val="20"/>
              </w:rPr>
              <w:t xml:space="preserve">AMIB • Taxa IRAS • Mortalidade Padronizada • Tempo VM • LOS</w:t>
            </w:r>
          </w:p>
        </w:tc>
      </w:tr>
    </w:tbl>
    <w:p>
      <w:r>
        <w:rPr>
          <w:sz w:val="12"/>
          <w:szCs w:val="12"/>
        </w:rPr>
        <w:t xml:space="preserve"/>
      </w:r>
    </w:p>
    <w:p>
      <w:pPr>
        <w:pBdr>
          <w:bottom w:val="single" w:color="2E75B6" w:sz="8" w:space="1"/>
        </w:pBdr>
        <w:spacing w:after="160" w:before="360"/>
      </w:pPr>
      <w:r>
        <w:rPr>
          <w:rFonts w:ascii="Arial" w:cs="Arial" w:eastAsia="Arial" w:hAnsi="Arial"/>
          <w:b/>
          <w:bCs/>
          <w:caps/>
          <w:color w:val="1B3A6B"/>
          <w:sz w:val="34"/>
          <w:szCs w:val="34"/>
        </w:rPr>
        <w:t xml:space="preserve">3. INDICADORES DE QUALIDADE EM UTI — AMIB E ANVISA</w:t>
      </w:r>
    </w:p>
    <w:p>
      <w:pPr>
        <w:spacing w:after="80"/>
      </w:pPr>
      <w:r>
        <w:rPr>
          <w:rFonts w:ascii="Arial" w:cs="Arial" w:eastAsia="Arial" w:hAnsi="Arial"/>
          <w:color w:val="424242"/>
          <w:sz w:val="20"/>
          <w:szCs w:val="20"/>
        </w:rPr>
        <w:t xml:space="preserve">Indicadores são medidas quantitativas usadas para avaliar e monitorar a qualidade do cuidado. A AMIB publica periodicamente benchmarking de UTIs brasileiras. A ANVISA, via RDC 63/2011, torna obrigatória a vigilância epidemiológica das IRAS em UTI.</w:t>
      </w:r>
    </w:p>
    <w:p>
      <w:r>
        <w:rPr>
          <w:sz w:val="12"/>
          <w:szCs w:val="1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200"/>
        <w:gridCol w:w="2800"/>
      </w:tblGrid>
      <w:tr>
        <w:tc>
          <w:tcPr>
            <w:tcW w:type="dxa" w:w="2400"/>
            <w:gridSpan w:val="1"/>
            <w:tcBorders>
              <w:top w:val="single" w:color="FFFFFF" w:sz="1"/>
              <w:left w:val="single" w:color="FFFFFF" w:sz="1"/>
              <w:bottom w:val="single" w:color="FFFFFF" w:sz="1"/>
              <w:right w:val="single" w:color="FFFFFF" w:sz="1"/>
            </w:tcBorders>
            <w:shd w:fill="6A1B9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Indicador</w:t>
            </w:r>
          </w:p>
        </w:tc>
        <w:tc>
          <w:tcPr>
            <w:tcW w:type="dxa" w:w="1800"/>
            <w:gridSpan w:val="1"/>
            <w:tcBorders>
              <w:top w:val="single" w:color="FFFFFF" w:sz="1"/>
              <w:left w:val="single" w:color="FFFFFF" w:sz="1"/>
              <w:bottom w:val="single" w:color="FFFFFF" w:sz="1"/>
              <w:right w:val="single" w:color="FFFFFF" w:sz="1"/>
            </w:tcBorders>
            <w:shd w:fill="6A1B9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Fórmula / Meta</w:t>
            </w:r>
          </w:p>
        </w:tc>
        <w:tc>
          <w:tcPr>
            <w:tcW w:type="dxa" w:w="2200"/>
            <w:gridSpan w:val="1"/>
            <w:tcBorders>
              <w:top w:val="single" w:color="FFFFFF" w:sz="1"/>
              <w:left w:val="single" w:color="FFFFFF" w:sz="1"/>
              <w:bottom w:val="single" w:color="FFFFFF" w:sz="1"/>
              <w:right w:val="single" w:color="FFFFFF" w:sz="1"/>
            </w:tcBorders>
            <w:shd w:fill="6A1B9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Benchmark UTI</w:t>
            </w:r>
          </w:p>
        </w:tc>
        <w:tc>
          <w:tcPr>
            <w:tcW w:type="dxa" w:w="2800"/>
            <w:gridSpan w:val="1"/>
            <w:tcBorders>
              <w:top w:val="single" w:color="FFFFFF" w:sz="1"/>
              <w:left w:val="single" w:color="FFFFFF" w:sz="1"/>
              <w:bottom w:val="single" w:color="FFFFFF" w:sz="1"/>
              <w:right w:val="single" w:color="FFFFFF" w:sz="1"/>
            </w:tcBorders>
            <w:shd w:fill="6A1B9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Ações de Melhoria</w:t>
            </w:r>
          </w:p>
        </w:tc>
      </w:tr>
      <w:tr>
        <w:tc>
          <w:tcPr>
            <w:tcW w:type="dxa" w:w="24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6A1B9A"/>
                <w:sz w:val="18"/>
                <w:szCs w:val="18"/>
              </w:rPr>
              <w:t xml:space="preserve">PVPNA (Pneumonia VM)</w:t>
            </w:r>
          </w:p>
        </w:tc>
        <w:tc>
          <w:tcPr>
            <w:tcW w:type="dxa" w:w="1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center"/>
            </w:pPr>
            <w:r>
              <w:rPr>
                <w:rFonts w:ascii="Arial" w:cs="Arial" w:eastAsia="Arial" w:hAnsi="Arial"/>
                <w:b w:val="false"/>
                <w:bCs w:val="false"/>
                <w:color w:val="00695C"/>
                <w:sz w:val="18"/>
                <w:szCs w:val="18"/>
              </w:rPr>
              <w:t xml:space="preserve">Casos/1000 dias VM. Meta: &lt; 5/1000 dias VM</w:t>
            </w:r>
          </w:p>
        </w:tc>
        <w:tc>
          <w:tcPr>
            <w:tcW w:type="dxa" w:w="2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AMIB: média 7-14/1000 (Brasil). UTIs excelência: &lt; 2/1000</w:t>
            </w:r>
          </w:p>
        </w:tc>
        <w:tc>
          <w:tcPr>
            <w:tcW w:type="dxa" w:w="2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Bundle PVPNA 5 componentes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6A1B9A"/>
                <w:sz w:val="18"/>
                <w:szCs w:val="18"/>
              </w:rPr>
              <w:t xml:space="preserve">IPCS (Infecção Corrente Sanguínea CVC)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695C"/>
                <w:sz w:val="18"/>
                <w:szCs w:val="18"/>
              </w:rPr>
              <w:t xml:space="preserve">Casos/1000 dias CVC. Meta: &lt; 1/1000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AMIB: média 3-6/1000. JCI: &lt; 1/1000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Bundle CVC 5 componentes + anti-sepsia</w:t>
            </w:r>
          </w:p>
        </w:tc>
      </w:tr>
      <w:tr>
        <w:tc>
          <w:tcPr>
            <w:tcW w:type="dxa" w:w="24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6A1B9A"/>
                <w:sz w:val="18"/>
                <w:szCs w:val="18"/>
              </w:rPr>
              <w:t xml:space="preserve">ITU-CVC (Cateter Urinário)</w:t>
            </w:r>
          </w:p>
        </w:tc>
        <w:tc>
          <w:tcPr>
            <w:tcW w:type="dxa" w:w="1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center"/>
            </w:pPr>
            <w:r>
              <w:rPr>
                <w:rFonts w:ascii="Arial" w:cs="Arial" w:eastAsia="Arial" w:hAnsi="Arial"/>
                <w:b w:val="false"/>
                <w:bCs w:val="false"/>
                <w:color w:val="00695C"/>
                <w:sz w:val="18"/>
                <w:szCs w:val="18"/>
              </w:rPr>
              <w:t xml:space="preserve">Casos/1000 dias cateter urinário. Meta: &lt; 2/1000</w:t>
            </w:r>
          </w:p>
        </w:tc>
        <w:tc>
          <w:tcPr>
            <w:tcW w:type="dxa" w:w="2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Média nacional: 4-8/1000</w:t>
            </w:r>
          </w:p>
        </w:tc>
        <w:tc>
          <w:tcPr>
            <w:tcW w:type="dxa" w:w="2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Retirada precoce cateter. Circuito fechado.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6A1B9A"/>
                <w:sz w:val="18"/>
                <w:szCs w:val="18"/>
              </w:rPr>
              <w:t xml:space="preserve">Mortalidade Padronizada (SMR)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695C"/>
                <w:sz w:val="18"/>
                <w:szCs w:val="18"/>
              </w:rPr>
              <w:t xml:space="preserve">SMR = Mortalidade Observada / Mortalidade Esperada (APACHE/SAPS)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SMR &lt; 1,0 = UTI melhor que predito. &gt; 1,0 = pior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Revisão casos óbito. Auditoria clínica.</w:t>
            </w:r>
          </w:p>
        </w:tc>
      </w:tr>
      <w:tr>
        <w:tc>
          <w:tcPr>
            <w:tcW w:type="dxa" w:w="24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6A1B9A"/>
                <w:sz w:val="18"/>
                <w:szCs w:val="18"/>
              </w:rPr>
              <w:t xml:space="preserve">Tempo de VM (dias)</w:t>
            </w:r>
          </w:p>
        </w:tc>
        <w:tc>
          <w:tcPr>
            <w:tcW w:type="dxa" w:w="1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center"/>
            </w:pPr>
            <w:r>
              <w:rPr>
                <w:rFonts w:ascii="Arial" w:cs="Arial" w:eastAsia="Arial" w:hAnsi="Arial"/>
                <w:b w:val="false"/>
                <w:bCs w:val="false"/>
                <w:color w:val="00695C"/>
                <w:sz w:val="18"/>
                <w:szCs w:val="18"/>
              </w:rPr>
              <w:t xml:space="preserve">Média dias VM por paciente. Meta: &lt; 4 dias</w:t>
            </w:r>
          </w:p>
        </w:tc>
        <w:tc>
          <w:tcPr>
            <w:tcW w:type="dxa" w:w="2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Benchmarking por especialidade. CVM &lt; DPOC.</w:t>
            </w:r>
          </w:p>
        </w:tc>
        <w:tc>
          <w:tcPr>
            <w:tcW w:type="dxa" w:w="2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Bundle aBCDEF. SAT+SBT diário.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6A1B9A"/>
                <w:sz w:val="18"/>
                <w:szCs w:val="18"/>
              </w:rPr>
              <w:t xml:space="preserve">Tempo de Permanência UTI (LOS)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695C"/>
                <w:sz w:val="18"/>
                <w:szCs w:val="18"/>
              </w:rPr>
              <w:t xml:space="preserve">Média dias UTI. Meta: ajustado ao case mix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Médias nacionais: 4-8 dias UTI geral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Alta precoce. Critérios de transferência claros.</w:t>
            </w:r>
          </w:p>
        </w:tc>
      </w:tr>
      <w:tr>
        <w:tc>
          <w:tcPr>
            <w:tcW w:type="dxa" w:w="24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6A1B9A"/>
                <w:sz w:val="18"/>
                <w:szCs w:val="18"/>
              </w:rPr>
              <w:t xml:space="preserve">Taxa de Reintubação</w:t>
            </w:r>
          </w:p>
        </w:tc>
        <w:tc>
          <w:tcPr>
            <w:tcW w:type="dxa" w:w="1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center"/>
            </w:pPr>
            <w:r>
              <w:rPr>
                <w:rFonts w:ascii="Arial" w:cs="Arial" w:eastAsia="Arial" w:hAnsi="Arial"/>
                <w:b w:val="false"/>
                <w:bCs w:val="false"/>
                <w:color w:val="00695C"/>
                <w:sz w:val="18"/>
                <w:szCs w:val="18"/>
              </w:rPr>
              <w:t xml:space="preserve">(Reintubações/Extubações) x 100. Meta: &lt; 15%</w:t>
            </w:r>
          </w:p>
        </w:tc>
        <w:tc>
          <w:tcPr>
            <w:tcW w:type="dxa" w:w="2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10-15% aceitável. &gt; 20% = processo desmame inadequado</w:t>
            </w:r>
          </w:p>
        </w:tc>
        <w:tc>
          <w:tcPr>
            <w:tcW w:type="dxa" w:w="2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Rever critérios SBT. Protocolo extubação.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6A1B9A"/>
                <w:sz w:val="18"/>
                <w:szCs w:val="18"/>
              </w:rPr>
              <w:t xml:space="preserve">Higiene das Mãos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695C"/>
                <w:sz w:val="18"/>
                <w:szCs w:val="18"/>
              </w:rPr>
              <w:t xml:space="preserve">% oportunidades com HM. Meta: &gt; 80%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Média hospitalar: 40-60% sem campanha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Auditorias. Álcool gel. Feedback em tempo real.</w:t>
            </w:r>
          </w:p>
        </w:tc>
      </w:tr>
      <w:tr>
        <w:tc>
          <w:tcPr>
            <w:tcW w:type="dxa" w:w="24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6A1B9A"/>
                <w:sz w:val="18"/>
                <w:szCs w:val="18"/>
              </w:rPr>
              <w:t xml:space="preserve">Úlcera por Pressão (UP)</w:t>
            </w:r>
          </w:p>
        </w:tc>
        <w:tc>
          <w:tcPr>
            <w:tcW w:type="dxa" w:w="1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center"/>
            </w:pPr>
            <w:r>
              <w:rPr>
                <w:rFonts w:ascii="Arial" w:cs="Arial" w:eastAsia="Arial" w:hAnsi="Arial"/>
                <w:b w:val="false"/>
                <w:bCs w:val="false"/>
                <w:color w:val="00695C"/>
                <w:sz w:val="18"/>
                <w:szCs w:val="18"/>
              </w:rPr>
              <w:t xml:space="preserve">Prevalência UP adquirida na UTI. Meta: &lt; 5%</w:t>
            </w:r>
          </w:p>
        </w:tc>
        <w:tc>
          <w:tcPr>
            <w:tcW w:type="dxa" w:w="2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Alta variabilidade: 5-20%</w:t>
            </w:r>
          </w:p>
        </w:tc>
        <w:tc>
          <w:tcPr>
            <w:tcW w:type="dxa" w:w="2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Escala de Braden. Repositórios. Colchões especiais.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6A1B9A"/>
                <w:sz w:val="18"/>
                <w:szCs w:val="18"/>
              </w:rPr>
              <w:t xml:space="preserve">Errros de Medicação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695C"/>
                <w:sz w:val="18"/>
                <w:szCs w:val="18"/>
              </w:rPr>
              <w:t xml:space="preserve">Erros notificados/paciente-dia. Meta: 0 graves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Erro grave: raridade em UTIs bem estruturadas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Dupla checagem. Padronização. Treinamento.</w:t>
            </w:r>
          </w:p>
        </w:tc>
      </w:tr>
    </w:tbl>
    <w:p>
      <w:r>
        <w:rPr>
          <w:sz w:val="12"/>
          <w:szCs w:val="12"/>
        </w:rPr>
        <w:t xml:space="preserve"/>
      </w:r>
    </w:p>
    <w:p>
      <w:r>
        <w:rPr>
          <w:sz w:val="12"/>
          <w:szCs w:val="12"/>
        </w:rPr>
        <w:t xml:space="preserve"/>
      </w:r>
    </w:p>
    <w:p>
      <w:pPr>
        <w:pBdr>
          <w:bottom w:val="single" w:color="2E75B6" w:sz="8" w:space="1"/>
        </w:pBdr>
        <w:spacing w:after="160" w:before="360"/>
      </w:pPr>
      <w:r>
        <w:rPr>
          <w:rFonts w:ascii="Arial" w:cs="Arial" w:eastAsia="Arial" w:hAnsi="Arial"/>
          <w:b/>
          <w:bCs/>
          <w:caps/>
          <w:color w:val="1B3A6B"/>
          <w:sz w:val="34"/>
          <w:szCs w:val="34"/>
        </w:rPr>
        <w:t xml:space="preserve">4. BUNDLES DE QUALIDADE — PREVENÇÃO DE IRAS EM UTI</w:t>
      </w:r>
    </w:p>
    <w:p>
      <w:pPr>
        <w:spacing w:after="120" w:before="240"/>
      </w:pPr>
      <w:r>
        <w:rPr>
          <w:rFonts w:ascii="Arial" w:cs="Arial" w:eastAsia="Arial" w:hAnsi="Arial"/>
          <w:b/>
          <w:bCs/>
          <w:color w:val="2E75B6"/>
          <w:sz w:val="26"/>
          <w:szCs w:val="26"/>
        </w:rPr>
        <w:t xml:space="preserve">4.1 Bundle PVPNA — Pneumonia Associada à Ventilação Mecânica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0695C" w:sz="1"/>
              <w:left w:val="single" w:color="00695C" w:sz="1"/>
              <w:bottom w:val="single" w:color="00695C" w:sz="1"/>
              <w:right w:val="single" w:color="00695C" w:sz="1"/>
            </w:tcBorders>
            <w:shd w:fill="00695C" w:val="clear"/>
            <w:tcMar>
              <w:top w:type="dxa" w:w="100"/>
              <w:left w:type="dxa" w:w="160"/>
              <w:bottom w:type="dxa" w:w="100"/>
              <w:right w:type="dxa" w:w="160"/>
            </w:tcMar>
          </w:tcPr>
          <w:p>
            <w:r>
              <w:rPr>
                <w:rFonts w:ascii="Arial" w:cs="Arial" w:eastAsia="Arial" w:hAnsi="Arial"/>
                <w:b/>
                <w:bCs/>
                <w:color w:val="FFFFFF"/>
                <w:sz w:val="20"/>
                <w:szCs w:val="20"/>
              </w:rPr>
              <w:t xml:space="preserve">🫁 BUNDLE PVPNA (IHI 5+5 / AMIB) — TODOS OS COMPONENTES OBRIGATÓRIOS</w:t>
            </w:r>
          </w:p>
        </w:tc>
      </w:tr>
      <w:tr>
        <w:tc>
          <w:tcPr>
            <w:tcW w:type="dxa" w:w="9200"/>
            <w:tcBorders>
              <w:top w:val="single" w:color="00695C" w:sz="1"/>
              <w:left w:val="single" w:color="00695C" w:sz="1"/>
              <w:bottom w:val="single" w:color="00695C" w:sz="1"/>
              <w:right w:val="single" w:color="00695C" w:sz="1"/>
            </w:tcBorders>
            <w:shd w:fill="FFFFFF" w:val="clear"/>
            <w:tcMar>
              <w:top w:type="dxa" w:w="50"/>
              <w:left w:type="dxa" w:w="160"/>
              <w:bottom w:type="dxa" w:w="50"/>
              <w:right w:type="dxa" w:w="160"/>
            </w:tcMar>
          </w:tcPr>
          <w:p>
            <w:r>
              <w:rPr>
                <w:rFonts w:ascii="Arial" w:cs="Arial" w:eastAsia="Arial" w:hAnsi="Arial"/>
                <w:color w:val="424242"/>
                <w:sz w:val="18"/>
                <w:szCs w:val="18"/>
              </w:rPr>
              <w:t xml:space="preserve">COMPONENTE 1: Cabeceira do leito a 30-45° — SEMPRE, exceto contraindicação explícita (cirurgia torácica, TCE com PIC, instabilidade hemodinâmica).</w:t>
            </w:r>
          </w:p>
        </w:tc>
      </w:tr>
      <w:tr>
        <w:tc>
          <w:tcPr>
            <w:tcW w:type="dxa" w:w="9200"/>
            <w:tcBorders>
              <w:top w:val="single" w:color="00695C" w:sz="1"/>
              <w:left w:val="single" w:color="00695C" w:sz="1"/>
              <w:bottom w:val="single" w:color="00695C" w:sz="1"/>
              <w:right w:val="single" w:color="00695C" w:sz="1"/>
            </w:tcBorders>
            <w:shd w:fill="FFFFFF" w:val="clear"/>
            <w:tcMar>
              <w:top w:type="dxa" w:w="50"/>
              <w:left w:type="dxa" w:w="160"/>
              <w:bottom w:type="dxa" w:w="50"/>
              <w:right w:type="dxa" w:w="160"/>
            </w:tcMar>
          </w:tcPr>
          <w:p>
            <w:r>
              <w:rPr>
                <w:rFonts w:ascii="Arial" w:cs="Arial" w:eastAsia="Arial" w:hAnsi="Arial"/>
                <w:color w:val="424242"/>
                <w:sz w:val="18"/>
                <w:szCs w:val="18"/>
              </w:rPr>
              <w:t xml:space="preserve">COMPONENTE 2: Higiene oral com clorexidina 0,12% 3x/dia — gargarejo ou swab. Reduz colonização orofaríngea por BGN.</w:t>
            </w:r>
          </w:p>
        </w:tc>
      </w:tr>
      <w:tr>
        <w:tc>
          <w:tcPr>
            <w:tcW w:type="dxa" w:w="9200"/>
            <w:tcBorders>
              <w:top w:val="single" w:color="00695C" w:sz="1"/>
              <w:left w:val="single" w:color="00695C" w:sz="1"/>
              <w:bottom w:val="single" w:color="00695C" w:sz="1"/>
              <w:right w:val="single" w:color="00695C" w:sz="1"/>
            </w:tcBorders>
            <w:shd w:fill="FFFFFF" w:val="clear"/>
            <w:tcMar>
              <w:top w:type="dxa" w:w="50"/>
              <w:left w:type="dxa" w:w="160"/>
              <w:bottom w:type="dxa" w:w="50"/>
              <w:right w:type="dxa" w:w="160"/>
            </w:tcMar>
          </w:tcPr>
          <w:p>
            <w:r>
              <w:rPr>
                <w:rFonts w:ascii="Arial" w:cs="Arial" w:eastAsia="Arial" w:hAnsi="Arial"/>
                <w:color w:val="424242"/>
                <w:sz w:val="18"/>
                <w:szCs w:val="18"/>
              </w:rPr>
              <w:t xml:space="preserve">COMPONENTE 3: Cuff pressure 20-30 cmH2O — monitorar pressão do cuff a cada 8h. Cuff insuficiente = microaspiração subglótica.</w:t>
            </w:r>
          </w:p>
        </w:tc>
      </w:tr>
      <w:tr>
        <w:tc>
          <w:tcPr>
            <w:tcW w:type="dxa" w:w="9200"/>
            <w:tcBorders>
              <w:top w:val="single" w:color="00695C" w:sz="1"/>
              <w:left w:val="single" w:color="00695C" w:sz="1"/>
              <w:bottom w:val="single" w:color="00695C" w:sz="1"/>
              <w:right w:val="single" w:color="00695C" w:sz="1"/>
            </w:tcBorders>
            <w:shd w:fill="FFFFFF" w:val="clear"/>
            <w:tcMar>
              <w:top w:type="dxa" w:w="50"/>
              <w:left w:type="dxa" w:w="160"/>
              <w:bottom w:type="dxa" w:w="50"/>
              <w:right w:type="dxa" w:w="160"/>
            </w:tcMar>
          </w:tcPr>
          <w:p>
            <w:r>
              <w:rPr>
                <w:rFonts w:ascii="Arial" w:cs="Arial" w:eastAsia="Arial" w:hAnsi="Arial"/>
                <w:color w:val="424242"/>
                <w:sz w:val="18"/>
                <w:szCs w:val="18"/>
              </w:rPr>
              <w:t xml:space="preserve">COMPONENTE 4: Circuito ventilatório — trocar apenas quando visivelmente sujo (não rotineiramente). Acúmulo de condensado = drenar para away do paciente.</w:t>
            </w:r>
          </w:p>
        </w:tc>
      </w:tr>
      <w:tr>
        <w:tc>
          <w:tcPr>
            <w:tcW w:type="dxa" w:w="9200"/>
            <w:tcBorders>
              <w:top w:val="single" w:color="00695C" w:sz="1"/>
              <w:left w:val="single" w:color="00695C" w:sz="1"/>
              <w:bottom w:val="single" w:color="00695C" w:sz="1"/>
              <w:right w:val="single" w:color="00695C" w:sz="1"/>
            </w:tcBorders>
            <w:shd w:fill="FFFFFF" w:val="clear"/>
            <w:tcMar>
              <w:top w:type="dxa" w:w="50"/>
              <w:left w:type="dxa" w:w="160"/>
              <w:bottom w:type="dxa" w:w="50"/>
              <w:right w:type="dxa" w:w="160"/>
            </w:tcMar>
          </w:tcPr>
          <w:p>
            <w:r>
              <w:rPr>
                <w:rFonts w:ascii="Arial" w:cs="Arial" w:eastAsia="Arial" w:hAnsi="Arial"/>
                <w:color w:val="424242"/>
                <w:sz w:val="18"/>
                <w:szCs w:val="18"/>
              </w:rPr>
              <w:t xml:space="preserve">COMPONENTE 5: SAT + SBT diários — desmame ativo para reduzir dias de VM = principal forma de reduzir PVPNA.</w:t>
            </w:r>
          </w:p>
        </w:tc>
      </w:tr>
      <w:tr>
        <w:tc>
          <w:tcPr>
            <w:tcW w:type="dxa" w:w="9200"/>
            <w:tcBorders>
              <w:top w:val="single" w:color="00695C" w:sz="1"/>
              <w:left w:val="single" w:color="00695C" w:sz="1"/>
              <w:bottom w:val="single" w:color="00695C" w:sz="1"/>
              <w:right w:val="single" w:color="00695C" w:sz="1"/>
            </w:tcBorders>
            <w:shd w:fill="FFFFFF" w:val="clear"/>
            <w:tcMar>
              <w:top w:type="dxa" w:w="50"/>
              <w:left w:type="dxa" w:w="160"/>
              <w:bottom w:type="dxa" w:w="50"/>
              <w:right w:type="dxa" w:w="160"/>
            </w:tcMar>
          </w:tcPr>
          <w:p>
            <w:r>
              <w:rPr>
                <w:rFonts w:ascii="Arial" w:cs="Arial" w:eastAsia="Arial" w:hAnsi="Arial"/>
                <w:color w:val="424242"/>
                <w:sz w:val="18"/>
                <w:szCs w:val="18"/>
              </w:rPr>
              <w:t xml:space="preserve">ADICIONAL (bundle 5+5 AMIB): Fisioterapia/mobilização precoce. Controle glicêmico. Profilaxia de TVP. Profilaxia de úlcera gástrica. Monitorar pressão de cuff.</w:t>
            </w:r>
          </w:p>
        </w:tc>
      </w:tr>
      <w:tr>
        <w:tc>
          <w:tcPr>
            <w:tcW w:type="dxa" w:w="9200"/>
            <w:tcBorders>
              <w:top w:val="single" w:color="00695C" w:sz="1"/>
              <w:left w:val="single" w:color="00695C" w:sz="1"/>
              <w:bottom w:val="single" w:color="00695C" w:sz="1"/>
              <w:right w:val="single" w:color="00695C" w:sz="1"/>
            </w:tcBorders>
            <w:shd w:fill="E0F2F1" w:val="clear"/>
            <w:tcMar>
              <w:top w:type="dxa" w:w="50"/>
              <w:left w:type="dxa" w:w="160"/>
              <w:bottom w:type="dxa" w:w="50"/>
              <w:right w:type="dxa" w:w="160"/>
            </w:tcMar>
          </w:tcPr>
          <w:p>
            <w:r>
              <w:rPr>
                <w:rFonts w:ascii="Arial" w:cs="Arial" w:eastAsia="Arial" w:hAnsi="Arial"/>
                <w:color w:val="424242"/>
                <w:sz w:val="18"/>
                <w:szCs w:val="18"/>
              </w:rPr>
              <w:t xml:space="preserve"/>
            </w:r>
          </w:p>
        </w:tc>
      </w:tr>
      <w:tr>
        <w:tc>
          <w:tcPr>
            <w:tcW w:type="dxa" w:w="9200"/>
            <w:tcBorders>
              <w:top w:val="single" w:color="00695C" w:sz="1"/>
              <w:left w:val="single" w:color="00695C" w:sz="1"/>
              <w:bottom w:val="single" w:color="00695C" w:sz="1"/>
              <w:right w:val="single" w:color="00695C" w:sz="1"/>
            </w:tcBorders>
            <w:shd w:fill="FFFFFF" w:val="clear"/>
            <w:tcMar>
              <w:top w:type="dxa" w:w="50"/>
              <w:left w:type="dxa" w:w="160"/>
              <w:bottom w:type="dxa" w:w="50"/>
              <w:right w:type="dxa" w:w="160"/>
            </w:tcMar>
          </w:tcPr>
          <w:p>
            <w:r>
              <w:rPr>
                <w:rFonts w:ascii="Arial" w:cs="Arial" w:eastAsia="Arial" w:hAnsi="Arial"/>
                <w:color w:val="424242"/>
                <w:sz w:val="18"/>
                <w:szCs w:val="18"/>
              </w:rPr>
              <w:t xml:space="preserve">META: cada dia sem VM = dia sem risco de PVPNA. Reduzir LOS ventilatório é a estratégia de maior impacto.</w:t>
            </w:r>
          </w:p>
        </w:tc>
      </w:tr>
    </w:tbl>
    <w:p>
      <w:r>
        <w:rPr>
          <w:sz w:val="12"/>
          <w:szCs w:val="12"/>
        </w:rPr>
        <w:t xml:space="preserve"/>
      </w:r>
    </w:p>
    <w:p>
      <w:pPr>
        <w:spacing w:after="120" w:before="240"/>
      </w:pPr>
      <w:r>
        <w:rPr>
          <w:rFonts w:ascii="Arial" w:cs="Arial" w:eastAsia="Arial" w:hAnsi="Arial"/>
          <w:b/>
          <w:bCs/>
          <w:color w:val="2E75B6"/>
          <w:sz w:val="26"/>
          <w:szCs w:val="26"/>
        </w:rPr>
        <w:t xml:space="preserve">4.2 Bundle CVC — Prevenção de Infecção de Corrente Sanguínea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D47A1" w:sz="1"/>
              <w:left w:val="single" w:color="0D47A1" w:sz="1"/>
              <w:bottom w:val="single" w:color="0D47A1" w:sz="1"/>
              <w:right w:val="single" w:color="0D47A1" w:sz="1"/>
            </w:tcBorders>
            <w:shd w:fill="0D47A1" w:val="clear"/>
            <w:tcMar>
              <w:top w:type="dxa" w:w="100"/>
              <w:left w:type="dxa" w:w="160"/>
              <w:bottom w:type="dxa" w:w="100"/>
              <w:right w:type="dxa" w:w="160"/>
            </w:tcMar>
          </w:tcPr>
          <w:p>
            <w:r>
              <w:rPr>
                <w:rFonts w:ascii="Arial" w:cs="Arial" w:eastAsia="Arial" w:hAnsi="Arial"/>
                <w:b/>
                <w:bCs/>
                <w:color w:val="FFFFFF"/>
                <w:sz w:val="20"/>
                <w:szCs w:val="20"/>
              </w:rPr>
              <w:t xml:space="preserve">💉 BUNDLE CVC (IHI CENTRAL LINE BUNDLE — 5 COMPONENTES)</w:t>
            </w:r>
          </w:p>
        </w:tc>
      </w:tr>
      <w:tr>
        <w:tc>
          <w:tcPr>
            <w:tcW w:type="dxa" w:w="9200"/>
            <w:tcBorders>
              <w:top w:val="single" w:color="0D47A1" w:sz="1"/>
              <w:left w:val="single" w:color="0D47A1" w:sz="1"/>
              <w:bottom w:val="single" w:color="0D47A1" w:sz="1"/>
              <w:right w:val="single" w:color="0D47A1" w:sz="1"/>
            </w:tcBorders>
            <w:shd w:fill="FFFFFF" w:val="clear"/>
            <w:tcMar>
              <w:top w:type="dxa" w:w="50"/>
              <w:left w:type="dxa" w:w="160"/>
              <w:bottom w:type="dxa" w:w="50"/>
              <w:right w:type="dxa" w:w="160"/>
            </w:tcMar>
          </w:tcPr>
          <w:p>
            <w:r>
              <w:rPr>
                <w:rFonts w:ascii="Arial" w:cs="Arial" w:eastAsia="Arial" w:hAnsi="Arial"/>
                <w:color w:val="424242"/>
                <w:sz w:val="18"/>
                <w:szCs w:val="18"/>
              </w:rPr>
              <w:t xml:space="preserve">COMPONENTE 1: Higiene das mãos antes da inserção E troca de curativo — álcool gel OU lavagem com clorexidina degermante.</w:t>
            </w:r>
          </w:p>
        </w:tc>
      </w:tr>
      <w:tr>
        <w:tc>
          <w:tcPr>
            <w:tcW w:type="dxa" w:w="9200"/>
            <w:tcBorders>
              <w:top w:val="single" w:color="0D47A1" w:sz="1"/>
              <w:left w:val="single" w:color="0D47A1" w:sz="1"/>
              <w:bottom w:val="single" w:color="0D47A1" w:sz="1"/>
              <w:right w:val="single" w:color="0D47A1" w:sz="1"/>
            </w:tcBorders>
            <w:shd w:fill="FFFFFF" w:val="clear"/>
            <w:tcMar>
              <w:top w:type="dxa" w:w="50"/>
              <w:left w:type="dxa" w:w="160"/>
              <w:bottom w:type="dxa" w:w="50"/>
              <w:right w:type="dxa" w:w="160"/>
            </w:tcMar>
          </w:tcPr>
          <w:p>
            <w:r>
              <w:rPr>
                <w:rFonts w:ascii="Arial" w:cs="Arial" w:eastAsia="Arial" w:hAnsi="Arial"/>
                <w:color w:val="424242"/>
                <w:sz w:val="18"/>
                <w:szCs w:val="18"/>
              </w:rPr>
              <w:t xml:space="preserve">COMPONENTE 2: Máxima barreira estéril — avental estéril + luvas estéreis + touca + máscara + campo estéril grande PARA O MÉDICO INSERINDO.</w:t>
            </w:r>
          </w:p>
        </w:tc>
      </w:tr>
      <w:tr>
        <w:tc>
          <w:tcPr>
            <w:tcW w:type="dxa" w:w="9200"/>
            <w:tcBorders>
              <w:top w:val="single" w:color="0D47A1" w:sz="1"/>
              <w:left w:val="single" w:color="0D47A1" w:sz="1"/>
              <w:bottom w:val="single" w:color="0D47A1" w:sz="1"/>
              <w:right w:val="single" w:color="0D47A1" w:sz="1"/>
            </w:tcBorders>
            <w:shd w:fill="FFFFFF" w:val="clear"/>
            <w:tcMar>
              <w:top w:type="dxa" w:w="50"/>
              <w:left w:type="dxa" w:w="160"/>
              <w:bottom w:type="dxa" w:w="50"/>
              <w:right w:type="dxa" w:w="160"/>
            </w:tcMar>
          </w:tcPr>
          <w:p>
            <w:r>
              <w:rPr>
                <w:rFonts w:ascii="Arial" w:cs="Arial" w:eastAsia="Arial" w:hAnsi="Arial"/>
                <w:color w:val="424242"/>
                <w:sz w:val="18"/>
                <w:szCs w:val="18"/>
              </w:rPr>
              <w:t xml:space="preserve">COMPONENTE 3: Anti-sepsia de pele com clorexidina alcoólica 2% — aguardar secar (30s) antes de puncionar. Superior ao PVPI.</w:t>
            </w:r>
          </w:p>
        </w:tc>
      </w:tr>
      <w:tr>
        <w:tc>
          <w:tcPr>
            <w:tcW w:type="dxa" w:w="9200"/>
            <w:tcBorders>
              <w:top w:val="single" w:color="0D47A1" w:sz="1"/>
              <w:left w:val="single" w:color="0D47A1" w:sz="1"/>
              <w:bottom w:val="single" w:color="0D47A1" w:sz="1"/>
              <w:right w:val="single" w:color="0D47A1" w:sz="1"/>
            </w:tcBorders>
            <w:shd w:fill="FFFFFF" w:val="clear"/>
            <w:tcMar>
              <w:top w:type="dxa" w:w="50"/>
              <w:left w:type="dxa" w:w="160"/>
              <w:bottom w:type="dxa" w:w="50"/>
              <w:right w:type="dxa" w:w="160"/>
            </w:tcMar>
          </w:tcPr>
          <w:p>
            <w:r>
              <w:rPr>
                <w:rFonts w:ascii="Arial" w:cs="Arial" w:eastAsia="Arial" w:hAnsi="Arial"/>
                <w:color w:val="424242"/>
                <w:sz w:val="18"/>
                <w:szCs w:val="18"/>
              </w:rPr>
              <w:t xml:space="preserve">COMPONENTE 4: Sítio de inserção preferencial — subclávia &gt; jugular interna &gt; femoral (risco de infecção crescente). USG para guiar.</w:t>
            </w:r>
          </w:p>
        </w:tc>
      </w:tr>
      <w:tr>
        <w:tc>
          <w:tcPr>
            <w:tcW w:type="dxa" w:w="9200"/>
            <w:tcBorders>
              <w:top w:val="single" w:color="0D47A1" w:sz="1"/>
              <w:left w:val="single" w:color="0D47A1" w:sz="1"/>
              <w:bottom w:val="single" w:color="0D47A1" w:sz="1"/>
              <w:right w:val="single" w:color="0D47A1" w:sz="1"/>
            </w:tcBorders>
            <w:shd w:fill="FFFFFF" w:val="clear"/>
            <w:tcMar>
              <w:top w:type="dxa" w:w="50"/>
              <w:left w:type="dxa" w:w="160"/>
              <w:bottom w:type="dxa" w:w="50"/>
              <w:right w:type="dxa" w:w="160"/>
            </w:tcMar>
          </w:tcPr>
          <w:p>
            <w:r>
              <w:rPr>
                <w:rFonts w:ascii="Arial" w:cs="Arial" w:eastAsia="Arial" w:hAnsi="Arial"/>
                <w:color w:val="424242"/>
                <w:sz w:val="18"/>
                <w:szCs w:val="18"/>
              </w:rPr>
              <w:t xml:space="preserve">COMPONENTE 5: Avaliação DIÁRIA de necessidade do CVC — retirar CVC desnecessário. Manter apenas se ainda indicado.</w:t>
            </w:r>
          </w:p>
        </w:tc>
      </w:tr>
      <w:tr>
        <w:tc>
          <w:tcPr>
            <w:tcW w:type="dxa" w:w="9200"/>
            <w:tcBorders>
              <w:top w:val="single" w:color="0D47A1" w:sz="1"/>
              <w:left w:val="single" w:color="0D47A1" w:sz="1"/>
              <w:bottom w:val="single" w:color="0D47A1" w:sz="1"/>
              <w:right w:val="single" w:color="0D47A1" w:sz="1"/>
            </w:tcBorders>
            <w:shd w:fill="E3F2FD" w:val="clear"/>
            <w:tcMar>
              <w:top w:type="dxa" w:w="50"/>
              <w:left w:type="dxa" w:w="160"/>
              <w:bottom w:type="dxa" w:w="50"/>
              <w:right w:type="dxa" w:w="160"/>
            </w:tcMar>
          </w:tcPr>
          <w:p>
            <w:r>
              <w:rPr>
                <w:rFonts w:ascii="Arial" w:cs="Arial" w:eastAsia="Arial" w:hAnsi="Arial"/>
                <w:color w:val="424242"/>
                <w:sz w:val="18"/>
                <w:szCs w:val="18"/>
              </w:rPr>
              <w:t xml:space="preserve"/>
            </w:r>
          </w:p>
        </w:tc>
      </w:tr>
      <w:tr>
        <w:tc>
          <w:tcPr>
            <w:tcW w:type="dxa" w:w="9200"/>
            <w:tcBorders>
              <w:top w:val="single" w:color="0D47A1" w:sz="1"/>
              <w:left w:val="single" w:color="0D47A1" w:sz="1"/>
              <w:bottom w:val="single" w:color="0D47A1" w:sz="1"/>
              <w:right w:val="single" w:color="0D47A1" w:sz="1"/>
            </w:tcBorders>
            <w:shd w:fill="FFFFFF" w:val="clear"/>
            <w:tcMar>
              <w:top w:type="dxa" w:w="50"/>
              <w:left w:type="dxa" w:w="160"/>
              <w:bottom w:type="dxa" w:w="50"/>
              <w:right w:type="dxa" w:w="160"/>
            </w:tcMar>
          </w:tcPr>
          <w:p>
            <w:r>
              <w:rPr>
                <w:rFonts w:ascii="Arial" w:cs="Arial" w:eastAsia="Arial" w:hAnsi="Arial"/>
                <w:color w:val="424242"/>
                <w:sz w:val="18"/>
                <w:szCs w:val="18"/>
              </w:rPr>
              <w:t xml:space="preserve">MANUTENÇÃO: Trocar curativo a cada 7 dias (película transparente) ou quando sujo/úmido. Troca de equipo 96h (não mais curto). Desinfecção do hub antes de acessar.</w:t>
            </w:r>
          </w:p>
        </w:tc>
      </w:tr>
    </w:tbl>
    <w:p>
      <w:r>
        <w:rPr>
          <w:sz w:val="12"/>
          <w:szCs w:val="12"/>
        </w:rPr>
        <w:t xml:space="preserve"/>
      </w:r>
    </w:p>
    <w:p>
      <w:r>
        <w:rPr>
          <w:sz w:val="12"/>
          <w:szCs w:val="12"/>
        </w:rP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65100" w:val="clear"/>
            <w:tcMar>
              <w:top w:type="dxa" w:w="140"/>
              <w:left w:type="dxa" w:w="200"/>
              <w:bottom w:type="dxa" w:w="140"/>
              <w:right w:type="dxa" w:w="200"/>
            </w:tcMar>
          </w:tcPr>
          <w:p>
            <w:pPr>
              <w:jc w:val="center"/>
            </w:pPr>
            <w:r>
              <w:rPr>
                <w:rFonts w:ascii="Arial" w:cs="Arial" w:eastAsia="Arial" w:hAnsi="Arial"/>
                <w:b/>
                <w:bCs/>
                <w:color w:val="FFFFFF"/>
                <w:sz w:val="34"/>
                <w:szCs w:val="34"/>
              </w:rPr>
              <w:t xml:space="preserve">📋 PARTE III — NOTIFICAÇÃO DE EVENTOS ADVERSOS E FERRAMENTAS</w:t>
            </w:r>
          </w:p>
          <w:p>
            <w:pPr>
              <w:jc w:val="center"/>
            </w:pPr>
            <w:r>
              <w:rPr>
                <w:rFonts w:ascii="Arial" w:cs="Arial" w:eastAsia="Arial" w:hAnsi="Arial"/>
                <w:color w:val="E3F2FD"/>
                <w:sz w:val="20"/>
                <w:szCs w:val="20"/>
              </w:rPr>
              <w:t xml:space="preserve">RCA • FMEA • NOTIVISA • Diagrama Espinha • PDCA</w:t>
            </w:r>
          </w:p>
        </w:tc>
      </w:tr>
    </w:tbl>
    <w:p>
      <w:r>
        <w:rPr>
          <w:sz w:val="12"/>
          <w:szCs w:val="12"/>
        </w:rPr>
        <w:t xml:space="preserve"/>
      </w:r>
    </w:p>
    <w:p>
      <w:pPr>
        <w:pBdr>
          <w:bottom w:val="single" w:color="2E75B6" w:sz="8" w:space="1"/>
        </w:pBdr>
        <w:spacing w:after="160" w:before="360"/>
      </w:pPr>
      <w:r>
        <w:rPr>
          <w:rFonts w:ascii="Arial" w:cs="Arial" w:eastAsia="Arial" w:hAnsi="Arial"/>
          <w:b/>
          <w:bCs/>
          <w:caps/>
          <w:color w:val="1B3A6B"/>
          <w:sz w:val="34"/>
          <w:szCs w:val="34"/>
        </w:rPr>
        <w:t xml:space="preserve">5. NOTIFICAÇÃO DE EVENTOS ADVERSOS — SISTEMA E OBRIGAÇÕES LEGAIS</w:t>
      </w:r>
    </w:p>
    <w:p>
      <w:pPr>
        <w:spacing w:after="80"/>
      </w:pPr>
      <w:r>
        <w:rPr>
          <w:rFonts w:ascii="Arial" w:cs="Arial" w:eastAsia="Arial" w:hAnsi="Arial"/>
          <w:color w:val="424242"/>
          <w:sz w:val="20"/>
          <w:szCs w:val="20"/>
        </w:rPr>
        <w:t xml:space="preserve">RDC 36/2013 e portarias subsequentes: notificação de EAs é obrigatória para serviços de saúde habilitados. NOTIVISA (ANVISA): sistema online para notificação de incidentes graves, eventos sentinela e suspeita de reações adversas a medicamentos (SRAM).</w:t>
      </w:r>
    </w:p>
    <w:p>
      <w:r>
        <w:rPr>
          <w:sz w:val="12"/>
          <w:szCs w:val="1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200"/>
      </w:tblGrid>
      <w:tr>
        <w:tc>
          <w:tcPr>
            <w:tcW w:type="dxa" w:w="2200"/>
            <w:gridSpan w:val="1"/>
            <w:tcBorders>
              <w:top w:val="single" w:color="FFFFFF" w:sz="1"/>
              <w:left w:val="single" w:color="FFFFFF" w:sz="1"/>
              <w:bottom w:val="single" w:color="FFFFFF" w:sz="1"/>
              <w:right w:val="single" w:color="FFFFFF" w:sz="1"/>
            </w:tcBorders>
            <w:shd w:fill="E65100"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Ferramenta</w:t>
            </w:r>
          </w:p>
        </w:tc>
        <w:tc>
          <w:tcPr>
            <w:tcW w:type="dxa" w:w="2400"/>
            <w:gridSpan w:val="1"/>
            <w:tcBorders>
              <w:top w:val="single" w:color="FFFFFF" w:sz="1"/>
              <w:left w:val="single" w:color="FFFFFF" w:sz="1"/>
              <w:bottom w:val="single" w:color="FFFFFF" w:sz="1"/>
              <w:right w:val="single" w:color="FFFFFF" w:sz="1"/>
            </w:tcBorders>
            <w:shd w:fill="E65100"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O que é</w:t>
            </w:r>
          </w:p>
        </w:tc>
        <w:tc>
          <w:tcPr>
            <w:tcW w:type="dxa" w:w="2400"/>
            <w:gridSpan w:val="1"/>
            <w:tcBorders>
              <w:top w:val="single" w:color="FFFFFF" w:sz="1"/>
              <w:left w:val="single" w:color="FFFFFF" w:sz="1"/>
              <w:bottom w:val="single" w:color="FFFFFF" w:sz="1"/>
              <w:right w:val="single" w:color="FFFFFF" w:sz="1"/>
            </w:tcBorders>
            <w:shd w:fill="E65100"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Quando usar</w:t>
            </w:r>
          </w:p>
        </w:tc>
        <w:tc>
          <w:tcPr>
            <w:tcW w:type="dxa" w:w="2200"/>
            <w:gridSpan w:val="1"/>
            <w:tcBorders>
              <w:top w:val="single" w:color="FFFFFF" w:sz="1"/>
              <w:left w:val="single" w:color="FFFFFF" w:sz="1"/>
              <w:bottom w:val="single" w:color="FFFFFF" w:sz="1"/>
              <w:right w:val="single" w:color="FFFFFF" w:sz="1"/>
            </w:tcBorders>
            <w:shd w:fill="E65100"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Produto</w:t>
            </w:r>
          </w:p>
        </w:tc>
      </w:tr>
      <w:tr>
        <w:tc>
          <w:tcPr>
            <w:tcW w:type="dxa" w:w="2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bCs/>
                <w:color w:val="E65100"/>
                <w:sz w:val="18"/>
                <w:szCs w:val="18"/>
              </w:rPr>
              <w:t xml:space="preserve">RCA (Root Cause Analysis)</w:t>
            </w:r>
          </w:p>
        </w:tc>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Análise retrospectiva sistemática para identificar causas raiz de EAs graves</w:t>
            </w:r>
          </w:p>
        </w:tc>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Pós-evento sentinela, óbito inesperado, quase morte</w:t>
            </w:r>
          </w:p>
        </w:tc>
        <w:tc>
          <w:tcPr>
            <w:tcW w:type="dxa" w:w="2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Plano de ação corretiva com responsáveis e prazos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E65100"/>
                <w:sz w:val="18"/>
                <w:szCs w:val="18"/>
              </w:rPr>
              <w:t xml:space="preserve">FMEA (Failure Mode and Effects Analysis)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Análise prospectiva de modos de falha potenciais antes do evento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Implantação de novo processo, novo equipamento, novo protocolo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Priorização de riscos por RPM = Gravidade x Ocorrência x Detecção</w:t>
            </w:r>
          </w:p>
        </w:tc>
      </w:tr>
      <w:tr>
        <w:tc>
          <w:tcPr>
            <w:tcW w:type="dxa" w:w="2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bCs/>
                <w:color w:val="E65100"/>
                <w:sz w:val="18"/>
                <w:szCs w:val="18"/>
              </w:rPr>
              <w:t xml:space="preserve">DIAGRAMA DE ISHIKAWA (Espinha de Peixe)</w:t>
            </w:r>
          </w:p>
        </w:tc>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Mapa visual de causas (6M: Método, Material, Máquina, Mão-de-obra, Medida, Meio Ambiente)</w:t>
            </w:r>
          </w:p>
        </w:tc>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Identificar causas contribuintes em RCA</w:t>
            </w:r>
          </w:p>
        </w:tc>
        <w:tc>
          <w:tcPr>
            <w:tcW w:type="dxa" w:w="2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Causa raiz identificada de forma estruturada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E65100"/>
                <w:sz w:val="18"/>
                <w:szCs w:val="18"/>
              </w:rPr>
              <w:t xml:space="preserve">PDCA (Plan-Do-Check-Act)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Ciclo de melhoria contínua: planejar, executar, verificar, ajustar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Implementação de melhorias após RCA ou FMEA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Melhoria contínua e sustentada do processo</w:t>
            </w:r>
          </w:p>
        </w:tc>
      </w:tr>
      <w:tr>
        <w:tc>
          <w:tcPr>
            <w:tcW w:type="dxa" w:w="2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bCs/>
                <w:color w:val="E65100"/>
                <w:sz w:val="18"/>
                <w:szCs w:val="18"/>
              </w:rPr>
              <w:t xml:space="preserve">NOTIVISA</w:t>
            </w:r>
          </w:p>
        </w:tc>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Sistema nacional de notificação (ANVISA)</w:t>
            </w:r>
          </w:p>
        </w:tc>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EA grave, evento sentinela, SRAM, tecnovigilância</w:t>
            </w:r>
          </w:p>
        </w:tc>
        <w:tc>
          <w:tcPr>
            <w:tcW w:type="dxa" w:w="2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Banco de dados nacional — retroalimentação às instituições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E65100"/>
                <w:sz w:val="18"/>
                <w:szCs w:val="18"/>
              </w:rPr>
              <w:t xml:space="preserve">Ronda de Segurança Executiva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Liderança visita UTI regularmente para identificar riscos latentes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Semanal/mensal — liderança hospitalar na linha de frente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Identificação de barreiras para segurança + soluções imediatas</w:t>
            </w:r>
          </w:p>
        </w:tc>
      </w:tr>
    </w:tbl>
    <w:p>
      <w:r>
        <w:rPr>
          <w:sz w:val="12"/>
          <w:szCs w:val="12"/>
        </w:rPr>
        <w:t xml:space="preserve"/>
      </w:r>
    </w:p>
    <w:p>
      <w:r>
        <w:rPr>
          <w:sz w:val="12"/>
          <w:szCs w:val="12"/>
        </w:rPr>
        <w:t xml:space="preserve"/>
      </w:r>
    </w:p>
    <w:p>
      <w:pPr>
        <w:pBdr>
          <w:bottom w:val="single" w:color="2E75B6" w:sz="8" w:space="1"/>
        </w:pBdr>
        <w:spacing w:after="160" w:before="360"/>
      </w:pPr>
      <w:r>
        <w:rPr>
          <w:rFonts w:ascii="Arial" w:cs="Arial" w:eastAsia="Arial" w:hAnsi="Arial"/>
          <w:b/>
          <w:bCs/>
          <w:caps/>
          <w:color w:val="1B3A6B"/>
          <w:sz w:val="34"/>
          <w:szCs w:val="34"/>
        </w:rPr>
        <w:t xml:space="preserve">6. ACREDITAÇÃO HOSPITALAR — ONA E JCI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00"/>
        <w:gridCol w:w="2600"/>
      </w:tblGrid>
      <w:tr>
        <w:tc>
          <w:tcPr>
            <w:tcW w:type="dxa" w:w="1600"/>
            <w:gridSpan w:val="1"/>
            <w:tcBorders>
              <w:top w:val="single" w:color="FFFFFF" w:sz="1"/>
              <w:left w:val="single" w:color="FFFFFF" w:sz="1"/>
              <w:bottom w:val="single" w:color="FFFFFF" w:sz="1"/>
              <w:right w:val="single" w:color="FFFFFF"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Nível</w:t>
            </w:r>
          </w:p>
        </w:tc>
        <w:tc>
          <w:tcPr>
            <w:tcW w:type="dxa" w:w="2400"/>
            <w:gridSpan w:val="1"/>
            <w:tcBorders>
              <w:top w:val="single" w:color="FFFFFF" w:sz="1"/>
              <w:left w:val="single" w:color="FFFFFF" w:sz="1"/>
              <w:bottom w:val="single" w:color="FFFFFF" w:sz="1"/>
              <w:right w:val="single" w:color="FFFFFF"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ONA (Brasil)</w:t>
            </w:r>
          </w:p>
        </w:tc>
        <w:tc>
          <w:tcPr>
            <w:tcW w:type="dxa" w:w="2600"/>
            <w:gridSpan w:val="1"/>
            <w:tcBorders>
              <w:top w:val="single" w:color="FFFFFF" w:sz="1"/>
              <w:left w:val="single" w:color="FFFFFF" w:sz="1"/>
              <w:bottom w:val="single" w:color="FFFFFF" w:sz="1"/>
              <w:right w:val="single" w:color="FFFFFF"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JCI (Internacional)</w:t>
            </w:r>
          </w:p>
        </w:tc>
        <w:tc>
          <w:tcPr>
            <w:tcW w:type="dxa" w:w="2600"/>
            <w:gridSpan w:val="1"/>
            <w:tcBorders>
              <w:top w:val="single" w:color="FFFFFF" w:sz="1"/>
              <w:left w:val="single" w:color="FFFFFF" w:sz="1"/>
              <w:bottom w:val="single" w:color="FFFFFF" w:sz="1"/>
              <w:right w:val="single" w:color="FFFFFF"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Requisitos UTI</w:t>
            </w:r>
          </w:p>
        </w:tc>
      </w:tr>
      <w:tr>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Nível 1</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Acreditado — Segurança</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Estrutura mínima. NSP implantado. Notificação EA.</w:t>
            </w:r>
          </w:p>
        </w:tc>
      </w:tr>
      <w:tr>
        <w:tc>
          <w:tcPr>
            <w:tcW w:type="dxa" w:w="16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center"/>
            </w:pPr>
            <w:r>
              <w:rPr>
                <w:rFonts w:ascii="Arial" w:cs="Arial" w:eastAsia="Arial" w:hAnsi="Arial"/>
                <w:b/>
                <w:bCs/>
                <w:color w:val="F57F17"/>
                <w:sz w:val="18"/>
                <w:szCs w:val="18"/>
              </w:rPr>
              <w:t xml:space="preserve">Nível 2</w:t>
            </w:r>
          </w:p>
        </w:tc>
        <w:tc>
          <w:tcPr>
            <w:tcW w:type="dxa" w:w="24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Acreditado Pleno — Organização</w:t>
            </w:r>
          </w:p>
        </w:tc>
        <w:tc>
          <w:tcPr>
            <w:tcW w:type="dxa" w:w="26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w:t>
            </w:r>
          </w:p>
        </w:tc>
        <w:tc>
          <w:tcPr>
            <w:tcW w:type="dxa" w:w="26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Indicadores implantados. Processos padronizados.</w:t>
            </w:r>
          </w:p>
        </w:tc>
      </w:tr>
      <w:tr>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Nível 3</w:t>
            </w:r>
          </w:p>
        </w:tc>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Acreditado com Excelência — Gestão</w:t>
            </w:r>
          </w:p>
        </w:tc>
        <w:tc>
          <w:tcPr>
            <w:tcW w:type="dxa" w:w="2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JCI Acreditado</w:t>
            </w:r>
          </w:p>
        </w:tc>
        <w:tc>
          <w:tcPr>
            <w:tcW w:type="dxa" w:w="2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color w:val="424242"/>
                <w:sz w:val="18"/>
                <w:szCs w:val="18"/>
              </w:rPr>
              <w:t xml:space="preserve">Cultura de segurança estabelecida. Melhoria contínua documentada.</w:t>
            </w:r>
          </w:p>
        </w:tc>
      </w:tr>
    </w:tbl>
    <w:p>
      <w:r>
        <w:rPr>
          <w:sz w:val="12"/>
          <w:szCs w:val="12"/>
        </w:rPr>
        <w:t xml:space="preserve"/>
      </w:r>
    </w:p>
    <w:p>
      <w:r>
        <w:rPr>
          <w:sz w:val="12"/>
          <w:szCs w:val="12"/>
        </w:rPr>
        <w:t xml:space="preserve"/>
      </w:r>
    </w:p>
    <w:p>
      <w:pPr>
        <w:pBdr>
          <w:bottom w:val="single" w:color="2E75B6" w:sz="8" w:space="1"/>
        </w:pBdr>
        <w:spacing w:after="160" w:before="360"/>
      </w:pPr>
      <w:r>
        <w:rPr>
          <w:rFonts w:ascii="Arial" w:cs="Arial" w:eastAsia="Arial" w:hAnsi="Arial"/>
          <w:b/>
          <w:bCs/>
          <w:caps/>
          <w:color w:val="1B3A6B"/>
          <w:sz w:val="34"/>
          <w:szCs w:val="34"/>
        </w:rPr>
        <w:t xml:space="preserve">7. QUESTÕES TEMI-STYLE — QUALIDADE E SEGURANÇA (5 QUESTÕES)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B3A6B" w:sz="1"/>
              <w:left w:val="single" w:color="1B3A6B" w:sz="1"/>
              <w:bottom w:val="single" w:color="1B3A6B" w:sz="1"/>
              <w:right w:val="single" w:color="1B3A6B"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QUESTÃO 01 | Bundle PVPNA — Componente Mais Importante</w:t>
            </w:r>
          </w:p>
        </w:tc>
      </w:tr>
      <w:tr>
        <w:tc>
          <w:tcPr>
            <w:tcW w:type="dxa" w:w="9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24242"/>
                <w:sz w:val="19"/>
                <w:szCs w:val="19"/>
              </w:rPr>
              <w:t xml:space="preserve">Uma UTI tem taxa de PVPNA de 18/1000 dias VM. O gestor solicita que você identifique o componente do bundle PVPNA com MAIOR impacto na redução dessa taxa. Qual é?</w:t>
            </w:r>
          </w:p>
        </w:tc>
      </w:tr>
      <w:tr>
        <w:tc>
          <w:tcPr>
            <w:tcW w:type="dxa" w:w="9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val="false"/>
                <w:bCs w:val="false"/>
                <w:color w:val="424242"/>
                <w:sz w:val="18"/>
                <w:szCs w:val="18"/>
              </w:rPr>
              <w:t xml:space="preserve">A) Higiene oral com clorexidina 0,12% 3x/dia</w:t>
            </w:r>
          </w:p>
        </w:tc>
      </w:tr>
      <w:tr>
        <w:tc>
          <w:tcPr>
            <w:tcW w:type="dxa" w:w="9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val="false"/>
                <w:bCs w:val="false"/>
                <w:color w:val="424242"/>
                <w:sz w:val="18"/>
                <w:szCs w:val="18"/>
              </w:rPr>
              <w:t xml:space="preserve">B) Cuff pressure 20-30 cmH2O monitorada a cada 8h</w:t>
            </w:r>
          </w:p>
        </w:tc>
      </w:tr>
      <w:tr>
        <w:tc>
          <w:tcPr>
            <w:tcW w:type="dxa" w:w="9200"/>
            <w:tcBorders>
              <w:top w:val="single" w:color="CCCCCC" w:sz="1"/>
              <w:left w:val="single" w:color="CCCCCC" w:sz="1"/>
              <w:bottom w:val="single" w:color="CCCCCC" w:sz="1"/>
              <w:right w:val="single" w:color="CCCCCC" w:sz="1"/>
            </w:tcBorders>
            <w:shd w:fill="E8F5E9" w:val="clear"/>
            <w:tcMar>
              <w:top w:type="dxa" w:w="60"/>
              <w:left w:type="dxa" w:w="160"/>
              <w:bottom w:type="dxa" w:w="60"/>
              <w:right w:type="dxa" w:w="160"/>
            </w:tcMar>
          </w:tcPr>
          <w:p>
            <w:r>
              <w:rPr>
                <w:rFonts w:ascii="Arial" w:cs="Arial" w:eastAsia="Arial" w:hAnsi="Arial"/>
                <w:b/>
                <w:bCs/>
                <w:color w:val="2E7D32"/>
                <w:sz w:val="18"/>
                <w:szCs w:val="18"/>
              </w:rPr>
              <w:t xml:space="preserve">C) SAT (Spontaneous Awakening Trial) e SBT diários — redução do tempo de VM</w:t>
            </w:r>
          </w:p>
        </w:tc>
      </w:tr>
      <w:tr>
        <w:tc>
          <w:tcPr>
            <w:tcW w:type="dxa" w:w="9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val="false"/>
                <w:bCs w:val="false"/>
                <w:color w:val="424242"/>
                <w:sz w:val="18"/>
                <w:szCs w:val="18"/>
              </w:rPr>
              <w:t xml:space="preserve">D) Cabeceira a 30-45° em todos os pacientes</w:t>
            </w:r>
          </w:p>
        </w:tc>
      </w:tr>
      <w:tr>
        <w:tc>
          <w:tcPr>
            <w:tcW w:type="dxa" w:w="9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val="false"/>
                <w:bCs w:val="false"/>
                <w:color w:val="424242"/>
                <w:sz w:val="18"/>
                <w:szCs w:val="18"/>
              </w:rPr>
              <w:t xml:space="preserve">E) Troca do circuito ventilatório a cada 48h</w:t>
            </w:r>
          </w:p>
        </w:tc>
      </w:tr>
      <w:tr>
        <w:tc>
          <w:tcPr>
            <w:tcW w:type="dxa" w:w="9200"/>
            <w:tcBorders>
              <w:top w:val="single" w:color="2E7D32" w:sz="1"/>
              <w:left w:val="single" w:color="2E7D32" w:sz="1"/>
              <w:bottom w:val="single" w:color="2E7D32" w:sz="1"/>
              <w:right w:val="single" w:color="2E7D32" w:sz="1"/>
            </w:tcBorders>
            <w:shd w:fill="E8F5E9" w:val="clear"/>
            <w:tcMar>
              <w:top w:type="dxa" w:w="100"/>
              <w:left w:type="dxa" w:w="160"/>
              <w:bottom w:type="dxa" w:w="100"/>
              <w:right w:type="dxa" w:w="160"/>
            </w:tcMar>
          </w:tcPr>
          <w:p>
            <w:r>
              <w:rPr>
                <w:rFonts w:ascii="Arial" w:cs="Arial" w:eastAsia="Arial" w:hAnsi="Arial"/>
                <w:b/>
                <w:bCs/>
                <w:color w:val="2E7D32"/>
                <w:sz w:val="19"/>
                <w:szCs w:val="19"/>
              </w:rPr>
              <w:t xml:space="preserve">✅ Resposta: C</w:t>
            </w:r>
          </w:p>
          <w:p>
            <w:r>
              <w:rPr>
                <w:rFonts w:ascii="Arial" w:cs="Arial" w:eastAsia="Arial" w:hAnsi="Arial"/>
                <w:color w:val="424242"/>
                <w:sz w:val="18"/>
                <w:szCs w:val="18"/>
              </w:rPr>
              <w:t xml:space="preserve">O componente com maior impacto na redução de PVPNA é a redução do tempo de VM por meio dos SAT+SBT diários. Cada dia com VM = dia de risco de PVPNA. A estratégia de desmame ativo (aBCDEF bundle, PADIS 2018) é a intervenção de maior impacto epidemiológico. Os demais componentes reduzem a incidência por dia de VM, mas não eliminam o denominador (dias-VM). Troca rotineira de circuito a cada 48h: CONTRAINDICADA — aumenta risco de PVPNA (manipulação do circuito = risco de contaminação). Trocar apenas quando sujo.</w:t>
            </w:r>
          </w:p>
        </w:tc>
      </w:tr>
    </w:tbl>
    <w:p>
      <w:r>
        <w:rPr>
          <w:sz w:val="12"/>
          <w:szCs w:val="1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B3A6B" w:sz="1"/>
              <w:left w:val="single" w:color="1B3A6B" w:sz="1"/>
              <w:bottom w:val="single" w:color="1B3A6B" w:sz="1"/>
              <w:right w:val="single" w:color="1B3A6B"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QUESTÃO 02 | Bundle CVC — Sítio de Inserção</w:t>
            </w:r>
          </w:p>
        </w:tc>
      </w:tr>
      <w:tr>
        <w:tc>
          <w:tcPr>
            <w:tcW w:type="dxa" w:w="9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24242"/>
                <w:sz w:val="19"/>
                <w:szCs w:val="19"/>
              </w:rPr>
              <w:t xml:space="preserve">Cirurgião planeja inserir CVC em paciente obeso (IMC 42), com dificuldade técnica para subclávia. Qual é a hierarquia correta de sítios de inserção baseada no risco de IPCS?</w:t>
            </w:r>
          </w:p>
        </w:tc>
      </w:tr>
      <w:tr>
        <w:tc>
          <w:tcPr>
            <w:tcW w:type="dxa" w:w="9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val="false"/>
                <w:bCs w:val="false"/>
                <w:color w:val="424242"/>
                <w:sz w:val="18"/>
                <w:szCs w:val="18"/>
              </w:rPr>
              <w:t xml:space="preserve">A) Femoral &gt; Jugular Interna &gt; Subclávia (femoral = mais fácil = preferível)</w:t>
            </w:r>
          </w:p>
        </w:tc>
      </w:tr>
      <w:tr>
        <w:tc>
          <w:tcPr>
            <w:tcW w:type="dxa" w:w="9200"/>
            <w:tcBorders>
              <w:top w:val="single" w:color="CCCCCC" w:sz="1"/>
              <w:left w:val="single" w:color="CCCCCC" w:sz="1"/>
              <w:bottom w:val="single" w:color="CCCCCC" w:sz="1"/>
              <w:right w:val="single" w:color="CCCCCC" w:sz="1"/>
            </w:tcBorders>
            <w:shd w:fill="E8F5E9" w:val="clear"/>
            <w:tcMar>
              <w:top w:type="dxa" w:w="60"/>
              <w:left w:type="dxa" w:w="160"/>
              <w:bottom w:type="dxa" w:w="60"/>
              <w:right w:type="dxa" w:w="160"/>
            </w:tcMar>
          </w:tcPr>
          <w:p>
            <w:r>
              <w:rPr>
                <w:rFonts w:ascii="Arial" w:cs="Arial" w:eastAsia="Arial" w:hAnsi="Arial"/>
                <w:b/>
                <w:bCs/>
                <w:color w:val="2E7D32"/>
                <w:sz w:val="18"/>
                <w:szCs w:val="18"/>
              </w:rPr>
              <w:t xml:space="preserve">B) Subclávia ≤ Jugular Interna &lt; Femoral (subclávia/jugular preferíveis; femoral = maior risco)</w:t>
            </w:r>
          </w:p>
        </w:tc>
      </w:tr>
      <w:tr>
        <w:tc>
          <w:tcPr>
            <w:tcW w:type="dxa" w:w="9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val="false"/>
                <w:bCs w:val="false"/>
                <w:color w:val="424242"/>
                <w:sz w:val="18"/>
                <w:szCs w:val="18"/>
              </w:rPr>
              <w:t xml:space="preserve">C) Todos têm risco equivalente — apenas a técnica asséptica importa</w:t>
            </w:r>
          </w:p>
        </w:tc>
      </w:tr>
      <w:tr>
        <w:tc>
          <w:tcPr>
            <w:tcW w:type="dxa" w:w="9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val="false"/>
                <w:bCs w:val="false"/>
                <w:color w:val="424242"/>
                <w:sz w:val="18"/>
                <w:szCs w:val="18"/>
              </w:rPr>
              <w:t xml:space="preserve">D) Jugular &gt; Subclávia &gt; Femoral (jugular = menor risco em obesos)</w:t>
            </w:r>
          </w:p>
        </w:tc>
      </w:tr>
      <w:tr>
        <w:tc>
          <w:tcPr>
            <w:tcW w:type="dxa" w:w="9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val="false"/>
                <w:bCs w:val="false"/>
                <w:color w:val="424242"/>
                <w:sz w:val="18"/>
                <w:szCs w:val="18"/>
              </w:rPr>
              <w:t xml:space="preserve">E) Femoral = menor risco em pacientes em VM (imóveis)</w:t>
            </w:r>
          </w:p>
        </w:tc>
      </w:tr>
      <w:tr>
        <w:tc>
          <w:tcPr>
            <w:tcW w:type="dxa" w:w="9200"/>
            <w:tcBorders>
              <w:top w:val="single" w:color="2E7D32" w:sz="1"/>
              <w:left w:val="single" w:color="2E7D32" w:sz="1"/>
              <w:bottom w:val="single" w:color="2E7D32" w:sz="1"/>
              <w:right w:val="single" w:color="2E7D32" w:sz="1"/>
            </w:tcBorders>
            <w:shd w:fill="E8F5E9" w:val="clear"/>
            <w:tcMar>
              <w:top w:type="dxa" w:w="100"/>
              <w:left w:type="dxa" w:w="160"/>
              <w:bottom w:type="dxa" w:w="100"/>
              <w:right w:type="dxa" w:w="160"/>
            </w:tcMar>
          </w:tcPr>
          <w:p>
            <w:r>
              <w:rPr>
                <w:rFonts w:ascii="Arial" w:cs="Arial" w:eastAsia="Arial" w:hAnsi="Arial"/>
                <w:b/>
                <w:bCs/>
                <w:color w:val="2E7D32"/>
                <w:sz w:val="19"/>
                <w:szCs w:val="19"/>
              </w:rPr>
              <w:t xml:space="preserve">✅ Resposta: B</w:t>
            </w:r>
          </w:p>
          <w:p>
            <w:r>
              <w:rPr>
                <w:rFonts w:ascii="Arial" w:cs="Arial" w:eastAsia="Arial" w:hAnsi="Arial"/>
                <w:color w:val="424242"/>
                <w:sz w:val="18"/>
                <w:szCs w:val="18"/>
              </w:rPr>
              <w:t xml:space="preserve">Hierarquia de risco de IPCS: Subclávia = menor risco ≈ Jugular Interna &lt; Femoral (maior risco — colonização por flora perineal, umidade). IHI e CDC recomendam subclávia como 1ª escolha quando tecnicamente viável. Jugular interna com USG: aceitável. Femoral: reservar para emergências ou impossibilidade técnica dos outros sítios. Em pacientes em VM imóveis: não altera a hierarquia — femoral continua com maior risco de infecção e trombose venosa profunda.</w:t>
            </w:r>
          </w:p>
        </w:tc>
      </w:tr>
    </w:tbl>
    <w:p>
      <w:r>
        <w:rPr>
          <w:sz w:val="12"/>
          <w:szCs w:val="1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B3A6B" w:sz="1"/>
              <w:left w:val="single" w:color="1B3A6B" w:sz="1"/>
              <w:bottom w:val="single" w:color="1B3A6B" w:sz="1"/>
              <w:right w:val="single" w:color="1B3A6B"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QUESTÃO 03 | Modelo do Queijo Suíço — EA Grave</w:t>
            </w:r>
          </w:p>
        </w:tc>
      </w:tr>
      <w:tr>
        <w:tc>
          <w:tcPr>
            <w:tcW w:type="dxa" w:w="9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24242"/>
                <w:sz w:val="19"/>
                <w:szCs w:val="19"/>
              </w:rPr>
              <w:t xml:space="preserve">Durante revisão de caso de PVPNA grave em paciente que evoluiu para sepse, o NSP realiza RCA. Identifica: (1) cabeceira não estava a 30° (documentação falha), (2) higiene oral não realizada por falta de clorexidina no estoque, (3) SAT não foi feito por ausência de protocolo formal escrito. Qual é a interpretação mais correta deste caso pelo Modelo do Queijo Suíço?</w:t>
            </w:r>
          </w:p>
        </w:tc>
      </w:tr>
      <w:tr>
        <w:tc>
          <w:tcPr>
            <w:tcW w:type="dxa" w:w="9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val="false"/>
                <w:bCs w:val="false"/>
                <w:color w:val="424242"/>
                <w:sz w:val="18"/>
                <w:szCs w:val="18"/>
              </w:rPr>
              <w:t xml:space="preserve">A) Culpa exclusiva da enfermagem — falhas de execução individuais</w:t>
            </w:r>
          </w:p>
        </w:tc>
      </w:tr>
      <w:tr>
        <w:tc>
          <w:tcPr>
            <w:tcW w:type="dxa" w:w="9200"/>
            <w:tcBorders>
              <w:top w:val="single" w:color="CCCCCC" w:sz="1"/>
              <w:left w:val="single" w:color="CCCCCC" w:sz="1"/>
              <w:bottom w:val="single" w:color="CCCCCC" w:sz="1"/>
              <w:right w:val="single" w:color="CCCCCC" w:sz="1"/>
            </w:tcBorders>
            <w:shd w:fill="E8F5E9" w:val="clear"/>
            <w:tcMar>
              <w:top w:type="dxa" w:w="60"/>
              <w:left w:type="dxa" w:w="160"/>
              <w:bottom w:type="dxa" w:w="60"/>
              <w:right w:type="dxa" w:w="160"/>
            </w:tcMar>
          </w:tcPr>
          <w:p>
            <w:r>
              <w:rPr>
                <w:rFonts w:ascii="Arial" w:cs="Arial" w:eastAsia="Arial" w:hAnsi="Arial"/>
                <w:b/>
                <w:bCs/>
                <w:color w:val="2E7D32"/>
                <w:sz w:val="18"/>
                <w:szCs w:val="18"/>
              </w:rPr>
              <w:t xml:space="preserve">B) Falhas de sistema: múltiplas barreiras falharam simultaneamente — RCA deve propor melhoria sistêmica em cada nível</w:t>
            </w:r>
          </w:p>
        </w:tc>
      </w:tr>
      <w:tr>
        <w:tc>
          <w:tcPr>
            <w:tcW w:type="dxa" w:w="9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val="false"/>
                <w:bCs w:val="false"/>
                <w:color w:val="424242"/>
                <w:sz w:val="18"/>
                <w:szCs w:val="18"/>
              </w:rPr>
              <w:t xml:space="preserve">C) O evento era inevitável — PVPNA em VM longa é sempre esperada</w:t>
            </w:r>
          </w:p>
        </w:tc>
      </w:tr>
      <w:tr>
        <w:tc>
          <w:tcPr>
            <w:tcW w:type="dxa" w:w="9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val="false"/>
                <w:bCs w:val="false"/>
                <w:color w:val="424242"/>
                <w:sz w:val="18"/>
                <w:szCs w:val="18"/>
              </w:rPr>
              <w:t xml:space="preserve">D) Apenas a falta de clorexidina foi a causa raiz — repor estoque resolve o problema</w:t>
            </w:r>
          </w:p>
        </w:tc>
      </w:tr>
      <w:tr>
        <w:tc>
          <w:tcPr>
            <w:tcW w:type="dxa" w:w="9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val="false"/>
                <w:bCs w:val="false"/>
                <w:color w:val="424242"/>
                <w:sz w:val="18"/>
                <w:szCs w:val="18"/>
              </w:rPr>
              <w:t xml:space="preserve">E) Culpa do médico intensivista — deveria ter prescrito o bundle individualmente</w:t>
            </w:r>
          </w:p>
        </w:tc>
      </w:tr>
      <w:tr>
        <w:tc>
          <w:tcPr>
            <w:tcW w:type="dxa" w:w="9200"/>
            <w:tcBorders>
              <w:top w:val="single" w:color="2E7D32" w:sz="1"/>
              <w:left w:val="single" w:color="2E7D32" w:sz="1"/>
              <w:bottom w:val="single" w:color="2E7D32" w:sz="1"/>
              <w:right w:val="single" w:color="2E7D32" w:sz="1"/>
            </w:tcBorders>
            <w:shd w:fill="E8F5E9" w:val="clear"/>
            <w:tcMar>
              <w:top w:type="dxa" w:w="100"/>
              <w:left w:type="dxa" w:w="160"/>
              <w:bottom w:type="dxa" w:w="100"/>
              <w:right w:type="dxa" w:w="160"/>
            </w:tcMar>
          </w:tcPr>
          <w:p>
            <w:r>
              <w:rPr>
                <w:rFonts w:ascii="Arial" w:cs="Arial" w:eastAsia="Arial" w:hAnsi="Arial"/>
                <w:b/>
                <w:bCs/>
                <w:color w:val="2E7D32"/>
                <w:sz w:val="19"/>
                <w:szCs w:val="19"/>
              </w:rPr>
              <w:t xml:space="preserve">✅ Resposta: B</w:t>
            </w:r>
          </w:p>
          <w:p>
            <w:r>
              <w:rPr>
                <w:rFonts w:ascii="Arial" w:cs="Arial" w:eastAsia="Arial" w:hAnsi="Arial"/>
                <w:color w:val="424242"/>
                <w:sz w:val="18"/>
                <w:szCs w:val="18"/>
              </w:rPr>
              <w:t xml:space="preserve">Modelo do Queijo Suíço (Reason 1990): cada falha = um 'furo' em uma fatia protetora. O evento ocorreu porque múltiplas fatias (cabeceira + higiene oral + SAT/SBT) falharam simultaneamente. RCA correto: (1) Por que cabeceira não foi monitorada? (protocolo, supervisão, registro). (2) Por que clorexidina estava em falta? (gestão de insumos). (3) Por que não havia protocolo SAT? (implantação de bundle). Cada causa raiz = plano de ação específico. Culpabilizar indivíduos sem corrigir o sistema = PVPNA continuará.</w:t>
            </w:r>
          </w:p>
        </w:tc>
      </w:tr>
    </w:tbl>
    <w:p>
      <w:r>
        <w:rPr>
          <w:sz w:val="12"/>
          <w:szCs w:val="1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B3A6B" w:sz="1"/>
              <w:left w:val="single" w:color="1B3A6B" w:sz="1"/>
              <w:bottom w:val="single" w:color="1B3A6B" w:sz="1"/>
              <w:right w:val="single" w:color="1B3A6B"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QUESTÃO 04 | Indicadores — SMR</w:t>
            </w:r>
          </w:p>
        </w:tc>
      </w:tr>
      <w:tr>
        <w:tc>
          <w:tcPr>
            <w:tcW w:type="dxa" w:w="9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24242"/>
                <w:sz w:val="19"/>
                <w:szCs w:val="19"/>
              </w:rPr>
              <w:t xml:space="preserve">UTI com 100 pacientes no mês. APACHE III prevê 30% de mortalidade esperada. Mortalidade observada foi 23%. O SMR (Standardized Mortality Ratio) é:</w:t>
            </w:r>
          </w:p>
        </w:tc>
      </w:tr>
      <w:tr>
        <w:tc>
          <w:tcPr>
            <w:tcW w:type="dxa" w:w="9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val="false"/>
                <w:bCs w:val="false"/>
                <w:color w:val="424242"/>
                <w:sz w:val="18"/>
                <w:szCs w:val="18"/>
              </w:rPr>
              <w:t xml:space="preserve">A) SMR = 1,30 — UTI pior que esperado</w:t>
            </w:r>
          </w:p>
        </w:tc>
      </w:tr>
      <w:tr>
        <w:tc>
          <w:tcPr>
            <w:tcW w:type="dxa" w:w="9200"/>
            <w:tcBorders>
              <w:top w:val="single" w:color="CCCCCC" w:sz="1"/>
              <w:left w:val="single" w:color="CCCCCC" w:sz="1"/>
              <w:bottom w:val="single" w:color="CCCCCC" w:sz="1"/>
              <w:right w:val="single" w:color="CCCCCC" w:sz="1"/>
            </w:tcBorders>
            <w:shd w:fill="E8F5E9" w:val="clear"/>
            <w:tcMar>
              <w:top w:type="dxa" w:w="60"/>
              <w:left w:type="dxa" w:w="160"/>
              <w:bottom w:type="dxa" w:w="60"/>
              <w:right w:type="dxa" w:w="160"/>
            </w:tcMar>
          </w:tcPr>
          <w:p>
            <w:r>
              <w:rPr>
                <w:rFonts w:ascii="Arial" w:cs="Arial" w:eastAsia="Arial" w:hAnsi="Arial"/>
                <w:b/>
                <w:bCs/>
                <w:color w:val="2E7D32"/>
                <w:sz w:val="18"/>
                <w:szCs w:val="18"/>
              </w:rPr>
              <w:t xml:space="preserve">B) SMR = 0,77 — UTI melhor que esperado</w:t>
            </w:r>
          </w:p>
        </w:tc>
      </w:tr>
      <w:tr>
        <w:tc>
          <w:tcPr>
            <w:tcW w:type="dxa" w:w="9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val="false"/>
                <w:bCs w:val="false"/>
                <w:color w:val="424242"/>
                <w:sz w:val="18"/>
                <w:szCs w:val="18"/>
              </w:rPr>
              <w:t xml:space="preserve">C) SMR = 0,23 — mortalidade abaixo da média</w:t>
            </w:r>
          </w:p>
        </w:tc>
      </w:tr>
      <w:tr>
        <w:tc>
          <w:tcPr>
            <w:tcW w:type="dxa" w:w="9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val="false"/>
                <w:bCs w:val="false"/>
                <w:color w:val="424242"/>
                <w:sz w:val="18"/>
                <w:szCs w:val="18"/>
              </w:rPr>
              <w:t xml:space="preserve">D) SMR = 1,00 — desempenho exatamente igual ao esperado</w:t>
            </w:r>
          </w:p>
        </w:tc>
      </w:tr>
      <w:tr>
        <w:tc>
          <w:tcPr>
            <w:tcW w:type="dxa" w:w="9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val="false"/>
                <w:bCs w:val="false"/>
                <w:color w:val="424242"/>
                <w:sz w:val="18"/>
                <w:szCs w:val="18"/>
              </w:rPr>
              <w:t xml:space="preserve">E) SMR não pode ser calculado sem número absoluto de óbitos</w:t>
            </w:r>
          </w:p>
        </w:tc>
      </w:tr>
      <w:tr>
        <w:tc>
          <w:tcPr>
            <w:tcW w:type="dxa" w:w="9200"/>
            <w:tcBorders>
              <w:top w:val="single" w:color="2E7D32" w:sz="1"/>
              <w:left w:val="single" w:color="2E7D32" w:sz="1"/>
              <w:bottom w:val="single" w:color="2E7D32" w:sz="1"/>
              <w:right w:val="single" w:color="2E7D32" w:sz="1"/>
            </w:tcBorders>
            <w:shd w:fill="E8F5E9" w:val="clear"/>
            <w:tcMar>
              <w:top w:type="dxa" w:w="100"/>
              <w:left w:type="dxa" w:w="160"/>
              <w:bottom w:type="dxa" w:w="100"/>
              <w:right w:type="dxa" w:w="160"/>
            </w:tcMar>
          </w:tcPr>
          <w:p>
            <w:r>
              <w:rPr>
                <w:rFonts w:ascii="Arial" w:cs="Arial" w:eastAsia="Arial" w:hAnsi="Arial"/>
                <w:b/>
                <w:bCs/>
                <w:color w:val="2E7D32"/>
                <w:sz w:val="19"/>
                <w:szCs w:val="19"/>
              </w:rPr>
              <w:t xml:space="preserve">✅ Resposta: B</w:t>
            </w:r>
          </w:p>
          <w:p>
            <w:r>
              <w:rPr>
                <w:rFonts w:ascii="Arial" w:cs="Arial" w:eastAsia="Arial" w:hAnsi="Arial"/>
                <w:color w:val="424242"/>
                <w:sz w:val="18"/>
                <w:szCs w:val="18"/>
              </w:rPr>
              <w:t xml:space="preserve">SMR = Mortalidade Observada / Mortalidade Esperada. Observada = 23% = 0,23. Esperada = 30% = 0,30. SMR = 0,23/0,30 = 0,77. SMR &lt; 1,0: UTI performa MELHOR que o predito pelo escore de gravidade. SMR &gt; 1,0: pior que esperado. SMR = 1,0: desempenho médio esperado. O SMR é o indicador de desfecho ajustado ao case mix — permite comparação justa entre UTIs de diferentes perfis (benchmarking). Mortalidade bruta (23%) sem ajuste por gravidade não permite comparação entre UTIs.</w:t>
            </w:r>
          </w:p>
        </w:tc>
      </w:tr>
    </w:tbl>
    <w:p>
      <w:r>
        <w:rPr>
          <w:sz w:val="12"/>
          <w:szCs w:val="1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B3A6B" w:sz="1"/>
              <w:left w:val="single" w:color="1B3A6B" w:sz="1"/>
              <w:bottom w:val="single" w:color="1B3A6B" w:sz="1"/>
              <w:right w:val="single" w:color="1B3A6B" w:sz="1"/>
            </w:tcBorders>
            <w:shd w:fill="1B3A6B" w:val="clear"/>
            <w:tcMar>
              <w:top w:type="dxa" w:w="100"/>
              <w:left w:type="dxa" w:w="160"/>
              <w:bottom w:type="dxa" w:w="100"/>
              <w:right w:type="dxa" w:w="160"/>
            </w:tcMar>
          </w:tcPr>
          <w:p>
            <w:r>
              <w:rPr>
                <w:rFonts w:ascii="Arial" w:cs="Arial" w:eastAsia="Arial" w:hAnsi="Arial"/>
                <w:b/>
                <w:bCs/>
                <w:color w:val="FFFFFF"/>
                <w:sz w:val="20"/>
                <w:szCs w:val="20"/>
              </w:rPr>
              <w:t xml:space="preserve">QUESTÃO 05 | Notificação — Cultura Justa</w:t>
            </w:r>
          </w:p>
        </w:tc>
      </w:tr>
      <w:tr>
        <w:tc>
          <w:tcPr>
            <w:tcW w:type="dxa" w:w="92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24242"/>
                <w:sz w:val="19"/>
                <w:szCs w:val="19"/>
              </w:rPr>
              <w:t xml:space="preserve">Enfermeiro administra dose de insulina 10x maior que prescrita por confusão entre UI (unidades internacionais) e mL. Paciente desenvolveu hipoglicemia grave mas sobreviveu. O enfermeiro, com medo de punição, NÃO notificou o evento. Qual é a postura mais alinhada com a Cultura de Segurança?</w:t>
            </w:r>
          </w:p>
        </w:tc>
      </w:tr>
      <w:tr>
        <w:tc>
          <w:tcPr>
            <w:tcW w:type="dxa" w:w="9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val="false"/>
                <w:bCs w:val="false"/>
                <w:color w:val="424242"/>
                <w:sz w:val="18"/>
                <w:szCs w:val="18"/>
              </w:rPr>
              <w:t xml:space="preserve">A) Demitir o enfermeiro — erro grave com potencial de morte</w:t>
            </w:r>
          </w:p>
        </w:tc>
      </w:tr>
      <w:tr>
        <w:tc>
          <w:tcPr>
            <w:tcW w:type="dxa" w:w="9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val="false"/>
                <w:bCs w:val="false"/>
                <w:color w:val="424242"/>
                <w:sz w:val="18"/>
                <w:szCs w:val="18"/>
              </w:rPr>
              <w:t xml:space="preserve">B) Punir o enfermeiro proporcionalmente e também responsabilizar a farmácia</w:t>
            </w:r>
          </w:p>
        </w:tc>
      </w:tr>
      <w:tr>
        <w:tc>
          <w:tcPr>
            <w:tcW w:type="dxa" w:w="9200"/>
            <w:tcBorders>
              <w:top w:val="single" w:color="CCCCCC" w:sz="1"/>
              <w:left w:val="single" w:color="CCCCCC" w:sz="1"/>
              <w:bottom w:val="single" w:color="CCCCCC" w:sz="1"/>
              <w:right w:val="single" w:color="CCCCCC" w:sz="1"/>
            </w:tcBorders>
            <w:shd w:fill="E8F5E9" w:val="clear"/>
            <w:tcMar>
              <w:top w:type="dxa" w:w="60"/>
              <w:left w:type="dxa" w:w="160"/>
              <w:bottom w:type="dxa" w:w="60"/>
              <w:right w:type="dxa" w:w="160"/>
            </w:tcMar>
          </w:tcPr>
          <w:p>
            <w:r>
              <w:rPr>
                <w:rFonts w:ascii="Arial" w:cs="Arial" w:eastAsia="Arial" w:hAnsi="Arial"/>
                <w:b/>
                <w:bCs/>
                <w:color w:val="2E7D32"/>
                <w:sz w:val="18"/>
                <w:szCs w:val="18"/>
              </w:rPr>
              <w:t xml:space="preserve">C) Criar ambiente de notificação sem medo: análise do sistema + feedback + ação corretiva; considerar se houve violação intencional ou erro não-intencional</w:t>
            </w:r>
          </w:p>
        </w:tc>
      </w:tr>
      <w:tr>
        <w:tc>
          <w:tcPr>
            <w:tcW w:type="dxa" w:w="9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val="false"/>
                <w:bCs w:val="false"/>
                <w:color w:val="424242"/>
                <w:sz w:val="18"/>
                <w:szCs w:val="18"/>
              </w:rPr>
              <w:t xml:space="preserve">D) Ignorar o evento pois o paciente sobreviveu — near miss não precisa ser notificado</w:t>
            </w:r>
          </w:p>
        </w:tc>
      </w:tr>
      <w:tr>
        <w:tc>
          <w:tcPr>
            <w:tcW w:type="dxa" w:w="92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b w:val="false"/>
                <w:bCs w:val="false"/>
                <w:color w:val="424242"/>
                <w:sz w:val="18"/>
                <w:szCs w:val="18"/>
              </w:rPr>
              <w:t xml:space="preserve">E) Notificar apenas ao COREN — a investigação é competência do conselho de classe</w:t>
            </w:r>
          </w:p>
        </w:tc>
      </w:tr>
      <w:tr>
        <w:tc>
          <w:tcPr>
            <w:tcW w:type="dxa" w:w="9200"/>
            <w:tcBorders>
              <w:top w:val="single" w:color="2E7D32" w:sz="1"/>
              <w:left w:val="single" w:color="2E7D32" w:sz="1"/>
              <w:bottom w:val="single" w:color="2E7D32" w:sz="1"/>
              <w:right w:val="single" w:color="2E7D32" w:sz="1"/>
            </w:tcBorders>
            <w:shd w:fill="E8F5E9" w:val="clear"/>
            <w:tcMar>
              <w:top w:type="dxa" w:w="100"/>
              <w:left w:type="dxa" w:w="160"/>
              <w:bottom w:type="dxa" w:w="100"/>
              <w:right w:type="dxa" w:w="160"/>
            </w:tcMar>
          </w:tcPr>
          <w:p>
            <w:r>
              <w:rPr>
                <w:rFonts w:ascii="Arial" w:cs="Arial" w:eastAsia="Arial" w:hAnsi="Arial"/>
                <w:b/>
                <w:bCs/>
                <w:color w:val="2E7D32"/>
                <w:sz w:val="19"/>
                <w:szCs w:val="19"/>
              </w:rPr>
              <w:t xml:space="preserve">✅ Resposta: C</w:t>
            </w:r>
          </w:p>
          <w:p>
            <w:r>
              <w:rPr>
                <w:rFonts w:ascii="Arial" w:cs="Arial" w:eastAsia="Arial" w:hAnsi="Arial"/>
                <w:color w:val="424242"/>
                <w:sz w:val="18"/>
                <w:szCs w:val="18"/>
              </w:rPr>
              <w:t xml:space="preserve">Cultura Justa (Just Culture): distingue erro não-intencional (sistema falhou) de comportamento imprudente/negligente intencional. Neste caso: erro de sistema (abreviação UI ambígua, ausência de dupla checagem). Conduta correta: (1) Apoio ao profissional, (2) Notificação INTERNA ao NSP e ao NOTIVISA (EA grave = notificação obrigatória mesmo com sobrevivência), (3) RCA: identificar causa raiz (prescrição de insulina sem padronização, falta de dupla checagem, abreviação ambígua), (4) Ação corretiva sistêmica. Demissão sem análise sistêmica = próximo profissional comete o mesmo erro com outro paciente.</w:t>
            </w:r>
          </w:p>
        </w:tc>
      </w:tr>
    </w:tbl>
    <w:p>
      <w:r>
        <w:rPr>
          <w:sz w:val="12"/>
          <w:szCs w:val="12"/>
        </w:rPr>
        <w:t xml:space="preserve"/>
      </w:r>
    </w:p>
    <w:p>
      <w:pPr>
        <w:pBdr>
          <w:bottom w:val="single" w:color="2E75B6" w:sz="4" w:space="1"/>
        </w:pBdr>
        <w:spacing w:after="200" w:before="200"/>
      </w:pPr>
      <w:r>
        <w:rPr>
          <w:sz w:val="4"/>
          <w:szCs w:val="4"/>
        </w:rPr>
        <w:t xml:space="preserve"/>
      </w:r>
    </w:p>
    <w:p>
      <w:pPr>
        <w:jc w:val="center"/>
      </w:pPr>
      <w:r>
        <w:rPr>
          <w:rFonts w:ascii="Arial" w:cs="Arial" w:eastAsia="Arial" w:hAnsi="Arial"/>
          <w:color w:val="424242"/>
          <w:sz w:val="18"/>
          <w:szCs w:val="18"/>
        </w:rPr>
        <w:t xml:space="preserve">Dr. Aldenir Rocha — CRM 16587 CREMEC | RQE 11846 | Hospital Regional Norte | Santa Casa Sobral-CE</w:t>
      </w:r>
    </w:p>
    <w:p>
      <w:pPr>
        <w:jc w:val="center"/>
      </w:pPr>
      <w:r>
        <w:rPr>
          <w:rFonts w:ascii="Arial" w:cs="Arial" w:eastAsia="Arial" w:hAnsi="Arial"/>
          <w:i/>
          <w:iCs/>
          <w:color w:val="2E75B6"/>
          <w:sz w:val="16"/>
          <w:szCs w:val="16"/>
        </w:rPr>
        <w:t xml:space="preserve">IHI  •  AMIB  •  ANVISA RDC 36/2013 e RDC 63/2011  •  OMS Metas Internacionais  •  Reason 1990  •  JCI Standards 2023</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2026-04-22T03:04:24.431Z</dcterms:created>
  <dcterms:modified xsi:type="dcterms:W3CDTF">2026-04-22T03:04:24.432Z</dcterms:modified>
</cp:coreProperties>
</file>

<file path=docProps/custom.xml><?xml version="1.0" encoding="utf-8"?>
<Properties xmlns="http://schemas.openxmlformats.org/officeDocument/2006/custom-properties" xmlns:vt="http://schemas.openxmlformats.org/officeDocument/2006/docPropsVTypes"/>
</file>