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16"/>
          <w:szCs w:val="16"/>
        </w:rPr>
        <w:t xml:space="preserve"/>
      </w:r>
    </w:p>
    <w:p>
      <w:r>
        <w:rPr>
          <w:sz w:val="16"/>
          <w:szCs w:val="16"/>
        </w:rPr>
        <w:t xml:space="preserve"/>
      </w:r>
    </w:p>
    <w:p>
      <w:r>
        <w:rPr>
          <w:sz w:val="16"/>
          <w:szCs w:val="16"/>
        </w:rPr>
        <w:t xml:space="preserve"/>
      </w:r>
    </w:p>
    <w:p>
      <w:pPr>
        <w:jc w:val="center"/>
      </w:pPr>
      <w:r>
        <w:rPr>
          <w:rFonts w:ascii="Segoe UI Emoji" w:cs="Segoe UI Emoji" w:eastAsia="Segoe UI Emoji" w:hAnsi="Segoe UI Emoji"/>
          <w:sz w:val="64"/>
          <w:szCs w:val="64"/>
        </w:rPr>
        <w:t xml:space="preserve">🫁🧬🧠</w:t>
      </w:r>
    </w:p>
    <w:p>
      <w:pPr>
        <w:spacing w:after="120" w:before="200"/>
        <w:jc w:val="center"/>
      </w:pPr>
      <w:r>
        <w:rPr>
          <w:rFonts w:ascii="Arial" w:cs="Arial" w:eastAsia="Arial" w:hAnsi="Arial"/>
          <w:b/>
          <w:bCs/>
          <w:color w:val="1B3A6B"/>
          <w:sz w:val="36"/>
          <w:szCs w:val="36"/>
        </w:rPr>
        <w:t xml:space="preserve">DESMAME DE VM  •  BLOQUEADORES NEUROMUSCULARES  •  NEUROINTENSIVISMO</w:t>
      </w:r>
    </w:p>
    <w:p>
      <w:pPr>
        <w:jc w:val="center"/>
      </w:pPr>
      <w:r>
        <w:rPr>
          <w:rFonts w:ascii="Arial" w:cs="Arial" w:eastAsia="Arial" w:hAnsi="Arial"/>
          <w:b/>
          <w:bCs/>
          <w:color w:val="2E75B6"/>
          <w:sz w:val="26"/>
          <w:szCs w:val="26"/>
        </w:rPr>
        <w:t xml:space="preserve">PROTOCOLO CLÍNICO AVANÇADO — UTI &amp; EMERGÊNCIA</w:t>
      </w:r>
    </w:p>
    <w:p>
      <w:pPr>
        <w:spacing w:before="120"/>
        <w:jc w:val="center"/>
      </w:pPr>
      <w:r>
        <w:rPr>
          <w:rFonts w:ascii="Arial" w:cs="Arial" w:eastAsia="Arial" w:hAnsi="Arial"/>
          <w:i/>
          <w:iCs/>
          <w:color w:val="00695C"/>
          <w:sz w:val="22"/>
          <w:szCs w:val="22"/>
        </w:rPr>
        <w:t xml:space="preserve">Protocolos de Alta Complexidade para Medicina Intensiva</w:t>
      </w:r>
    </w:p>
    <w:p>
      <w:r>
        <w:rPr>
          <w:sz w:val="16"/>
          <w:szCs w:val="16"/>
        </w:rPr>
        <w:t xml:space="preserve"/>
      </w:r>
    </w:p>
    <w:p>
      <w:r>
        <w:rPr>
          <w:sz w:val="16"/>
          <w:szCs w:val="16"/>
        </w:rPr>
        <w:t xml:space="preserve"/>
      </w:r>
    </w:p>
    <w:p>
      <w:r>
        <w:rPr>
          <w:sz w:val="16"/>
          <w:szCs w:val="16"/>
        </w:rPr>
        <w:t xml:space="preserve"/>
      </w:r>
    </w:p>
    <w:p>
      <w:r>
        <w:rPr>
          <w:sz w:val="16"/>
          <w:szCs w:val="16"/>
        </w:rPr>
        <w:t xml:space="preserve"/>
      </w:r>
    </w:p>
    <w:p>
      <w:pPr>
        <w:jc w:val="center"/>
      </w:pPr>
      <w:r>
        <w:rPr>
          <w:rFonts w:ascii="Arial" w:cs="Arial" w:eastAsia="Arial" w:hAnsi="Arial"/>
          <w:b/>
          <w:bCs/>
          <w:color w:val="1B3A6B"/>
          <w:sz w:val="28"/>
          <w:szCs w:val="28"/>
        </w:rPr>
        <w:t xml:space="preserve">Dr. Aldenir Rocha</w:t>
      </w:r>
    </w:p>
    <w:p>
      <w:pPr>
        <w:jc w:val="center"/>
      </w:pPr>
      <w:r>
        <w:rPr>
          <w:rFonts w:ascii="Arial" w:cs="Arial" w:eastAsia="Arial" w:hAnsi="Arial"/>
          <w:color w:val="424242"/>
          <w:sz w:val="22"/>
          <w:szCs w:val="22"/>
        </w:rPr>
        <w:t xml:space="preserve">CRM 16587 CREMEC  |  RQE Clínica Médica 11846</w:t>
      </w:r>
    </w:p>
    <w:p>
      <w:pPr>
        <w:jc w:val="center"/>
      </w:pPr>
      <w:r>
        <w:rPr>
          <w:rFonts w:ascii="Arial" w:cs="Arial" w:eastAsia="Arial" w:hAnsi="Arial"/>
          <w:color w:val="424242"/>
          <w:sz w:val="22"/>
          <w:szCs w:val="22"/>
        </w:rPr>
        <w:t xml:space="preserve">Hospital Regional Norte  |  Santa Casa de Misericórdia de Sobral – CE</w:t>
      </w:r>
    </w:p>
    <w:p>
      <w:pPr>
        <w:spacing w:before="160"/>
        <w:jc w:val="center"/>
      </w:pPr>
      <w:r>
        <w:rPr>
          <w:rFonts w:ascii="Arial" w:cs="Arial" w:eastAsia="Arial" w:hAnsi="Arial"/>
          <w:color w:val="2E75B6"/>
          <w:sz w:val="18"/>
          <w:szCs w:val="18"/>
        </w:rPr>
        <w:t xml:space="preserve">Versão 1.0  |  Abril/2026  |  ARDS Net • ATS/ERS 2017 • SCCM PADIS 2018 • ERC/ESICM 2021</w:t>
      </w:r>
    </w:p>
    <w:p>
      <w:r>
        <w:br w:type="page"/>
      </w:r>
    </w:p>
    <w:p>
      <w:pPr>
        <w:spacing w:after="100" w:before="200"/>
        <w:jc w:val="center"/>
      </w:pPr>
      <w:r>
        <w:rPr>
          <w:rFonts w:ascii="Arial" w:cs="Arial" w:eastAsia="Arial" w:hAnsi="Arial"/>
          <w:b/>
          <w:bCs/>
          <w:color w:val="FFFFFF"/>
          <w:sz w:val="28"/>
          <w:szCs w:val="28"/>
          <w:highlight w:val="darkBlue"/>
          <w:highlightCs w:val="darkBlue"/>
        </w:rPr>
        <w:t xml:space="preserve">PARTE 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pPr>
              <w:jc w:val="center"/>
            </w:pPr>
            <w:r>
              <w:rPr>
                <w:rFonts w:ascii="Arial" w:cs="Arial" w:eastAsia="Arial" w:hAnsi="Arial"/>
                <w:b/>
                <w:bCs/>
                <w:color w:val="FFFFFF"/>
                <w:sz w:val="32"/>
                <w:szCs w:val="32"/>
              </w:rPr>
              <w:t xml:space="preserve">🫁 DESMAME DA VENTILAÇÃO MECÂNICA</w:t>
            </w:r>
          </w:p>
          <w:p>
            <w:pPr>
              <w:jc w:val="center"/>
            </w:pPr>
            <w:r>
              <w:rPr>
                <w:rFonts w:ascii="Arial" w:cs="Arial" w:eastAsia="Arial" w:hAnsi="Arial"/>
                <w:color w:val="D5E8F0"/>
                <w:sz w:val="20"/>
                <w:szCs w:val="20"/>
              </w:rPr>
              <w:t xml:space="preserve">Critérios · Modos · Índices Preditores · Falha · Extubação · VMNI Pós-extubação</w:t>
            </w:r>
          </w:p>
        </w:tc>
      </w:tr>
    </w:tbl>
    <w:p>
      <w:r>
        <w:rPr>
          <w:sz w:val="16"/>
          <w:szCs w:val="16"/>
        </w:rPr>
        <w:t xml:space="preserve"/>
      </w:r>
    </w:p>
    <w:p>
      <w:pPr>
        <w:pBdr>
          <w:bottom w:val="single" w:color="2E75B6" w:sz="8" w:space="1"/>
        </w:pBdr>
        <w:spacing w:after="160" w:before="360"/>
      </w:pPr>
      <w:r>
        <w:rPr>
          <w:rFonts w:ascii="Arial" w:cs="Arial" w:eastAsia="Arial" w:hAnsi="Arial"/>
          <w:b/>
          <w:bCs/>
          <w:caps/>
          <w:color w:val="1B3A6B"/>
          <w:sz w:val="34"/>
          <w:szCs w:val="34"/>
        </w:rPr>
        <w:t xml:space="preserve">1. CONCEITO E EPIDEMIOLOGIA DO DESMAME</w:t>
      </w:r>
    </w:p>
    <w:p>
      <w:pPr>
        <w:spacing w:after="80"/>
      </w:pPr>
      <w:r>
        <w:rPr>
          <w:rFonts w:ascii="Arial" w:cs="Arial" w:eastAsia="Arial" w:hAnsi="Arial"/>
          <w:color w:val="424242"/>
          <w:sz w:val="20"/>
          <w:szCs w:val="20"/>
        </w:rPr>
        <w:t xml:space="preserve">O desmame (weaning) compreende o processo de retirada progressiva do suporte ventilatório mecânico, desde a primeira tentativa de respiração espontânea até a extubação e independência ventilatória completa. Representa 40-50% do tempo total de ventilação mecânica.</w:t>
      </w:r>
    </w:p>
    <w:p>
      <w:r>
        <w:rPr>
          <w:sz w:val="16"/>
          <w:szCs w:val="16"/>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500"/>
      </w:tblGrid>
      <w:tr>
        <w:tc>
          <w:tcPr>
            <w:tcW w:type="dxa" w:w="2300"/>
            <w:gridSpan w:val="1"/>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Categoria</w:t>
            </w:r>
          </w:p>
        </w:tc>
        <w:tc>
          <w:tcPr>
            <w:tcW w:type="dxa" w:w="3400"/>
            <w:gridSpan w:val="1"/>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Definição</w:t>
            </w:r>
          </w:p>
        </w:tc>
        <w:tc>
          <w:tcPr>
            <w:tcW w:type="dxa" w:w="3500"/>
            <w:gridSpan w:val="1"/>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Frequência / Prognóstico</w:t>
            </w:r>
          </w:p>
        </w:tc>
      </w:tr>
      <w:tr>
        <w:tc>
          <w:tcPr>
            <w:tcW w:type="dxa" w:w="2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Desmame Simples</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1º SBT bem-sucedido → extubação imediata</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~69% dos pacientes. Melhor prognóstico.</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Desmame Difícil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Falha no 1º SBT → até 3 tentativas em ≤7 dias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~16% dos pacientes. VM 6-7 dias.</w:t>
            </w:r>
          </w:p>
        </w:tc>
      </w:tr>
      <w:tr>
        <w:tc>
          <w:tcPr>
            <w:tcW w:type="dxa" w:w="2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Desmame Prolongado</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Falha em ≥3 SBTs ou &gt; 7 dias para desmame</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~15% dos pacientes. Alta mortalidade.</w:t>
            </w:r>
          </w:p>
        </w:tc>
      </w:tr>
    </w:tbl>
    <w:p>
      <w:r>
        <w:rPr>
          <w:sz w:val="16"/>
          <w:szCs w:val="16"/>
        </w:rPr>
        <w:t xml:space="preserve"/>
      </w:r>
    </w:p>
    <w:p>
      <w:pPr>
        <w:pBdr>
          <w:bottom w:val="single" w:color="2E75B6" w:sz="8" w:space="1"/>
        </w:pBdr>
        <w:spacing w:after="160" w:before="360"/>
      </w:pPr>
      <w:r>
        <w:rPr>
          <w:rFonts w:ascii="Arial" w:cs="Arial" w:eastAsia="Arial" w:hAnsi="Arial"/>
          <w:b/>
          <w:bCs/>
          <w:caps/>
          <w:color w:val="1B3A6B"/>
          <w:sz w:val="34"/>
          <w:szCs w:val="34"/>
        </w:rPr>
        <w:t xml:space="preserve">2. CRITÉRIOS DE ELEGIBILIDADE PARA DESMAME (SBT)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gridSpan w:val="1"/>
            <w:tcBorders>
              <w:top w:val="single" w:color="2E7D32" w:sz="1"/>
              <w:left w:val="single" w:color="2E7D32" w:sz="1"/>
              <w:bottom w:val="single" w:color="2E7D32" w:sz="1"/>
              <w:right w:val="single" w:color="2E7D32" w:sz="1"/>
            </w:tcBorders>
            <w:shd w:fill="2E7D32" w:val="clear"/>
            <w:tcMar>
              <w:top w:type="dxa" w:w="100"/>
              <w:left w:type="dxa" w:w="160"/>
              <w:bottom w:type="dxa" w:w="100"/>
              <w:right w:type="dxa" w:w="160"/>
            </w:tcMar>
          </w:tcPr>
          <w:p>
            <w:r>
              <w:rPr>
                <w:rFonts w:ascii="Arial" w:cs="Arial" w:eastAsia="Arial" w:hAnsi="Arial"/>
                <w:b/>
                <w:bCs/>
                <w:color w:val="FFFFFF"/>
                <w:sz w:val="20"/>
                <w:szCs w:val="20"/>
              </w:rPr>
              <w:t xml:space="preserve">✅ CHECKLIST DIÁRIO DE PRONTIDÃO — SBT SCREENING (ATS/ERS 2017 + SCCM PADIS 2018)</w:t>
            </w:r>
          </w:p>
        </w:tc>
      </w:tr>
      <w:tr>
        <w:tc>
          <w:tcPr>
            <w:tcW w:type="dxa" w:w="9200"/>
            <w:tcBorders>
              <w:top w:val="single" w:color="2E7D32" w:sz="1"/>
              <w:left w:val="single" w:color="2E7D32" w:sz="1"/>
              <w:bottom w:val="single" w:color="2E7D32" w:sz="1"/>
              <w:right w:val="single" w:color="2E7D32" w:sz="1"/>
            </w:tcBorders>
            <w:shd w:fill="FFFFFF" w:val="clear"/>
            <w:tcMar>
              <w:top w:type="dxa" w:w="50"/>
              <w:left w:type="dxa" w:w="160"/>
              <w:bottom w:type="dxa" w:w="50"/>
              <w:right w:type="dxa" w:w="160"/>
            </w:tcMar>
          </w:tcPr>
          <w:p>
            <w:r>
              <w:rPr>
                <w:rFonts w:ascii="Arial" w:cs="Arial" w:eastAsia="Arial" w:hAnsi="Arial"/>
                <w:color w:val="424242"/>
                <w:sz w:val="18"/>
                <w:szCs w:val="18"/>
              </w:rPr>
              <w:t xml:space="preserve">CAUSA DA VM: Causa subjacente da IRpA está resolvida ou controlada?</w:t>
            </w:r>
          </w:p>
        </w:tc>
      </w:tr>
      <w:tr>
        <w:tc>
          <w:tcPr>
            <w:tcW w:type="dxa" w:w="9200"/>
            <w:tcBorders>
              <w:top w:val="single" w:color="2E7D32" w:sz="1"/>
              <w:left w:val="single" w:color="2E7D32" w:sz="1"/>
              <w:bottom w:val="single" w:color="2E7D32" w:sz="1"/>
              <w:right w:val="single" w:color="2E7D32" w:sz="1"/>
            </w:tcBorders>
            <w:shd w:fill="FFFFFF" w:val="clear"/>
            <w:tcMar>
              <w:top w:type="dxa" w:w="50"/>
              <w:left w:type="dxa" w:w="160"/>
              <w:bottom w:type="dxa" w:w="50"/>
              <w:right w:type="dxa" w:w="160"/>
            </w:tcMar>
          </w:tcPr>
          <w:p>
            <w:r>
              <w:rPr>
                <w:rFonts w:ascii="Arial" w:cs="Arial" w:eastAsia="Arial" w:hAnsi="Arial"/>
                <w:color w:val="424242"/>
                <w:sz w:val="18"/>
                <w:szCs w:val="18"/>
              </w:rPr>
              <w:t xml:space="preserve">OXIGENAÇÃO: SpO2 ≥ 90% com FiO2 ≤ 0,40–0,50 E PEEP ≤ 5–8 cmH2O?</w:t>
            </w:r>
          </w:p>
        </w:tc>
      </w:tr>
      <w:tr>
        <w:tc>
          <w:tcPr>
            <w:tcW w:type="dxa" w:w="9200"/>
            <w:tcBorders>
              <w:top w:val="single" w:color="2E7D32" w:sz="1"/>
              <w:left w:val="single" w:color="2E7D32" w:sz="1"/>
              <w:bottom w:val="single" w:color="2E7D32" w:sz="1"/>
              <w:right w:val="single" w:color="2E7D32" w:sz="1"/>
            </w:tcBorders>
            <w:shd w:fill="FFFFFF" w:val="clear"/>
            <w:tcMar>
              <w:top w:type="dxa" w:w="50"/>
              <w:left w:type="dxa" w:w="160"/>
              <w:bottom w:type="dxa" w:w="50"/>
              <w:right w:type="dxa" w:w="160"/>
            </w:tcMar>
          </w:tcPr>
          <w:p>
            <w:r>
              <w:rPr>
                <w:rFonts w:ascii="Arial" w:cs="Arial" w:eastAsia="Arial" w:hAnsi="Arial"/>
                <w:color w:val="424242"/>
                <w:sz w:val="18"/>
                <w:szCs w:val="18"/>
              </w:rPr>
              <w:t xml:space="preserve">ESFORÇO RESP: Paciente iniciando esforços respiratórios espontâneos?</w:t>
            </w:r>
          </w:p>
        </w:tc>
      </w:tr>
      <w:tr>
        <w:tc>
          <w:tcPr>
            <w:tcW w:type="dxa" w:w="9200"/>
            <w:tcBorders>
              <w:top w:val="single" w:color="2E7D32" w:sz="1"/>
              <w:left w:val="single" w:color="2E7D32" w:sz="1"/>
              <w:bottom w:val="single" w:color="2E7D32" w:sz="1"/>
              <w:right w:val="single" w:color="2E7D32" w:sz="1"/>
            </w:tcBorders>
            <w:shd w:fill="FFFFFF" w:val="clear"/>
            <w:tcMar>
              <w:top w:type="dxa" w:w="50"/>
              <w:left w:type="dxa" w:w="160"/>
              <w:bottom w:type="dxa" w:w="50"/>
              <w:right w:type="dxa" w:w="160"/>
            </w:tcMar>
          </w:tcPr>
          <w:p>
            <w:r>
              <w:rPr>
                <w:rFonts w:ascii="Arial" w:cs="Arial" w:eastAsia="Arial" w:hAnsi="Arial"/>
                <w:color w:val="424242"/>
                <w:sz w:val="18"/>
                <w:szCs w:val="18"/>
              </w:rPr>
              <w:t xml:space="preserve">HEMODINÂMICA: Estável? (sem vasopressor em aumento OU baixa dose dopamina/nora tolerada)</w:t>
            </w:r>
          </w:p>
        </w:tc>
      </w:tr>
      <w:tr>
        <w:tc>
          <w:tcPr>
            <w:tcW w:type="dxa" w:w="9200"/>
            <w:tcBorders>
              <w:top w:val="single" w:color="2E7D32" w:sz="1"/>
              <w:left w:val="single" w:color="2E7D32" w:sz="1"/>
              <w:bottom w:val="single" w:color="2E7D32" w:sz="1"/>
              <w:right w:val="single" w:color="2E7D32" w:sz="1"/>
            </w:tcBorders>
            <w:shd w:fill="FFFFFF" w:val="clear"/>
            <w:tcMar>
              <w:top w:type="dxa" w:w="50"/>
              <w:left w:type="dxa" w:w="160"/>
              <w:bottom w:type="dxa" w:w="50"/>
              <w:right w:type="dxa" w:w="160"/>
            </w:tcMar>
          </w:tcPr>
          <w:p>
            <w:r>
              <w:rPr>
                <w:rFonts w:ascii="Arial" w:cs="Arial" w:eastAsia="Arial" w:hAnsi="Arial"/>
                <w:color w:val="424242"/>
                <w:sz w:val="18"/>
                <w:szCs w:val="18"/>
              </w:rPr>
              <w:t xml:space="preserve">CONSCIÊNCIA: RASS ≥ -2? Capaz de obedecer comandos simples?</w:t>
            </w:r>
          </w:p>
        </w:tc>
      </w:tr>
      <w:tr>
        <w:tc>
          <w:tcPr>
            <w:tcW w:type="dxa" w:w="9200"/>
            <w:tcBorders>
              <w:top w:val="single" w:color="2E7D32" w:sz="1"/>
              <w:left w:val="single" w:color="2E7D32" w:sz="1"/>
              <w:bottom w:val="single" w:color="2E7D32" w:sz="1"/>
              <w:right w:val="single" w:color="2E7D32" w:sz="1"/>
            </w:tcBorders>
            <w:shd w:fill="FFFFFF" w:val="clear"/>
            <w:tcMar>
              <w:top w:type="dxa" w:w="50"/>
              <w:left w:type="dxa" w:w="160"/>
              <w:bottom w:type="dxa" w:w="50"/>
              <w:right w:type="dxa" w:w="160"/>
            </w:tcMar>
          </w:tcPr>
          <w:p>
            <w:r>
              <w:rPr>
                <w:rFonts w:ascii="Arial" w:cs="Arial" w:eastAsia="Arial" w:hAnsi="Arial"/>
                <w:color w:val="424242"/>
                <w:sz w:val="18"/>
                <w:szCs w:val="18"/>
              </w:rPr>
              <w:t xml:space="preserve">TOSSE/SECREÇÃO: Reflexo de tosse presente? Secreção manejável?</w:t>
            </w:r>
          </w:p>
        </w:tc>
      </w:tr>
      <w:tr>
        <w:tc>
          <w:tcPr>
            <w:tcW w:type="dxa" w:w="9200"/>
            <w:tcBorders>
              <w:top w:val="single" w:color="2E7D32" w:sz="1"/>
              <w:left w:val="single" w:color="2E7D32" w:sz="1"/>
              <w:bottom w:val="single" w:color="2E7D32" w:sz="1"/>
              <w:right w:val="single" w:color="2E7D32" w:sz="1"/>
            </w:tcBorders>
            <w:shd w:fill="FFFFFF" w:val="clear"/>
            <w:tcMar>
              <w:top w:type="dxa" w:w="50"/>
              <w:left w:type="dxa" w:w="160"/>
              <w:bottom w:type="dxa" w:w="50"/>
              <w:right w:type="dxa" w:w="160"/>
            </w:tcMar>
          </w:tcPr>
          <w:p>
            <w:r>
              <w:rPr>
                <w:rFonts w:ascii="Arial" w:cs="Arial" w:eastAsia="Arial" w:hAnsi="Arial"/>
                <w:color w:val="424242"/>
                <w:sz w:val="18"/>
                <w:szCs w:val="18"/>
              </w:rPr>
              <w:t xml:space="preserve">OUTROS: Temperatura &lt; 38,5°C? Hb ≥ 7 g/dL? pH ≥ 7,25?</w:t>
            </w:r>
          </w:p>
        </w:tc>
      </w:tr>
      <w:tr>
        <w:tc>
          <w:tcPr>
            <w:tcW w:type="dxa" w:w="9200"/>
            <w:tcBorders>
              <w:top w:val="single" w:color="2E7D32" w:sz="1"/>
              <w:left w:val="single" w:color="2E7D32" w:sz="1"/>
              <w:bottom w:val="single" w:color="2E7D32" w:sz="1"/>
              <w:right w:val="single" w:color="2E7D32" w:sz="1"/>
            </w:tcBorders>
            <w:shd w:fill="E8F5E9" w:val="clear"/>
            <w:tcMar>
              <w:top w:type="dxa" w:w="50"/>
              <w:left w:type="dxa" w:w="160"/>
              <w:bottom w:type="dxa" w:w="50"/>
              <w:right w:type="dxa" w:w="160"/>
            </w:tcMar>
          </w:tcPr>
          <w:p>
            <w:r>
              <w:rPr>
                <w:rFonts w:ascii="Arial" w:cs="Arial" w:eastAsia="Arial" w:hAnsi="Arial"/>
                <w:color w:val="424242"/>
                <w:sz w:val="18"/>
                <w:szCs w:val="18"/>
              </w:rPr>
              <w:t xml:space="preserve"/>
            </w:r>
          </w:p>
        </w:tc>
      </w:tr>
      <w:tr>
        <w:tc>
          <w:tcPr>
            <w:tcW w:type="dxa" w:w="9200"/>
            <w:tcBorders>
              <w:top w:val="single" w:color="2E7D32" w:sz="1"/>
              <w:left w:val="single" w:color="2E7D32" w:sz="1"/>
              <w:bottom w:val="single" w:color="2E7D32" w:sz="1"/>
              <w:right w:val="single" w:color="2E7D32" w:sz="1"/>
            </w:tcBorders>
            <w:shd w:fill="FFFFFF" w:val="clear"/>
            <w:tcMar>
              <w:top w:type="dxa" w:w="50"/>
              <w:left w:type="dxa" w:w="160"/>
              <w:bottom w:type="dxa" w:w="50"/>
              <w:right w:type="dxa" w:w="160"/>
            </w:tcMar>
          </w:tcPr>
          <w:p>
            <w:r>
              <w:rPr>
                <w:rFonts w:ascii="Arial" w:cs="Arial" w:eastAsia="Arial" w:hAnsi="Arial"/>
                <w:color w:val="424242"/>
                <w:sz w:val="18"/>
                <w:szCs w:val="18"/>
              </w:rPr>
              <w:t xml:space="preserve">→ TODOS os critérios preenchidos = REALIZAR SBT</w:t>
            </w:r>
          </w:p>
        </w:tc>
      </w:tr>
      <w:tr>
        <w:tc>
          <w:tcPr>
            <w:tcW w:type="dxa" w:w="9200"/>
            <w:tcBorders>
              <w:top w:val="single" w:color="2E7D32" w:sz="1"/>
              <w:left w:val="single" w:color="2E7D32" w:sz="1"/>
              <w:bottom w:val="single" w:color="2E7D32" w:sz="1"/>
              <w:right w:val="single" w:color="2E7D32" w:sz="1"/>
            </w:tcBorders>
            <w:shd w:fill="FFFFFF" w:val="clear"/>
            <w:tcMar>
              <w:top w:type="dxa" w:w="50"/>
              <w:left w:type="dxa" w:w="160"/>
              <w:bottom w:type="dxa" w:w="50"/>
              <w:right w:type="dxa" w:w="160"/>
            </w:tcMar>
          </w:tcPr>
          <w:p>
            <w:r>
              <w:rPr>
                <w:rFonts w:ascii="Arial" w:cs="Arial" w:eastAsia="Arial" w:hAnsi="Arial"/>
                <w:color w:val="424242"/>
                <w:sz w:val="18"/>
                <w:szCs w:val="18"/>
              </w:rPr>
              <w:t xml:space="preserve">→ 1 ou mais ausentes = adiar SBT e reavalie em 24h</w:t>
            </w:r>
          </w:p>
        </w:tc>
      </w:tr>
    </w:tbl>
    <w:p>
      <w:r>
        <w:rPr>
          <w:sz w:val="16"/>
          <w:szCs w:val="16"/>
        </w:rPr>
        <w:t xml:space="preserve"/>
      </w:r>
    </w:p>
    <w:p>
      <w:pPr>
        <w:pBdr>
          <w:bottom w:val="single" w:color="2E75B6" w:sz="8" w:space="1"/>
        </w:pBdr>
        <w:spacing w:after="160" w:before="360"/>
      </w:pPr>
      <w:r>
        <w:rPr>
          <w:rFonts w:ascii="Arial" w:cs="Arial" w:eastAsia="Arial" w:hAnsi="Arial"/>
          <w:b/>
          <w:bCs/>
          <w:caps/>
          <w:color w:val="1B3A6B"/>
          <w:sz w:val="34"/>
          <w:szCs w:val="34"/>
        </w:rPr>
        <w:t xml:space="preserve">3. ÍNDICES PREDITORES DE DESMAME</w:t>
      </w:r>
    </w:p>
    <w:p>
      <w:pPr>
        <w:spacing w:after="120" w:before="240"/>
      </w:pPr>
      <w:r>
        <w:rPr>
          <w:rFonts w:ascii="Arial" w:cs="Arial" w:eastAsia="Arial" w:hAnsi="Arial"/>
          <w:b/>
          <w:bCs/>
          <w:color w:val="2E75B6"/>
          <w:sz w:val="26"/>
          <w:szCs w:val="26"/>
        </w:rPr>
        <w:t xml:space="preserve">3.1 Índice de Tobin (f/VT) — Yang &amp; Tobin, NEJM 1991</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00"/>
        <w:gridCol w:w="2600"/>
      </w:tblGrid>
      <w:tr>
        <w:tc>
          <w:tcPr>
            <w:tcW w:type="dxa" w:w="2000"/>
            <w:gridSpan w:val="1"/>
            <w:tcBorders>
              <w:top w:val="single" w:color="FFFFFF" w:sz="1"/>
              <w:left w:val="single" w:color="FFFFFF" w:sz="1"/>
              <w:bottom w:val="single" w:color="FFFFFF" w:sz="1"/>
              <w:right w:val="single" w:color="FFFFFF" w:sz="1"/>
            </w:tcBorders>
            <w:shd w:fill="0069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Índice f/VT</w:t>
            </w:r>
          </w:p>
        </w:tc>
        <w:tc>
          <w:tcPr>
            <w:tcW w:type="dxa" w:w="2000"/>
            <w:gridSpan w:val="1"/>
            <w:tcBorders>
              <w:top w:val="single" w:color="FFFFFF" w:sz="1"/>
              <w:left w:val="single" w:color="FFFFFF" w:sz="1"/>
              <w:bottom w:val="single" w:color="FFFFFF" w:sz="1"/>
              <w:right w:val="single" w:color="FFFFFF" w:sz="1"/>
            </w:tcBorders>
            <w:shd w:fill="0069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Valor</w:t>
            </w:r>
          </w:p>
        </w:tc>
        <w:tc>
          <w:tcPr>
            <w:tcW w:type="dxa" w:w="2600"/>
            <w:gridSpan w:val="1"/>
            <w:tcBorders>
              <w:top w:val="single" w:color="FFFFFF" w:sz="1"/>
              <w:left w:val="single" w:color="FFFFFF" w:sz="1"/>
              <w:bottom w:val="single" w:color="FFFFFF" w:sz="1"/>
              <w:right w:val="single" w:color="FFFFFF" w:sz="1"/>
            </w:tcBorders>
            <w:shd w:fill="0069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Interpretação</w:t>
            </w:r>
          </w:p>
        </w:tc>
        <w:tc>
          <w:tcPr>
            <w:tcW w:type="dxa" w:w="2600"/>
            <w:gridSpan w:val="1"/>
            <w:tcBorders>
              <w:top w:val="single" w:color="FFFFFF" w:sz="1"/>
              <w:left w:val="single" w:color="FFFFFF" w:sz="1"/>
              <w:bottom w:val="single" w:color="FFFFFF" w:sz="1"/>
              <w:right w:val="single" w:color="FFFFFF" w:sz="1"/>
            </w:tcBorders>
            <w:shd w:fill="0069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Conduta</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424242"/>
                <w:sz w:val="18"/>
                <w:szCs w:val="18"/>
              </w:rPr>
              <w:t xml:space="preserve">&lt; 80</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424242"/>
                <w:sz w:val="18"/>
                <w:szCs w:val="18"/>
              </w:rPr>
              <w:t xml:space="preserve">&lt; 80 rpm/L</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Alta probabilidade sucesso</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Proceder extubação</w:t>
            </w:r>
          </w:p>
        </w:tc>
      </w:tr>
      <w:tr>
        <w:tc>
          <w:tcPr>
            <w:tcW w:type="dxa" w:w="20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center"/>
            </w:pPr>
            <w:r>
              <w:rPr>
                <w:rFonts w:ascii="Arial" w:cs="Arial" w:eastAsia="Arial" w:hAnsi="Arial"/>
                <w:b/>
                <w:bCs/>
                <w:color w:val="424242"/>
                <w:sz w:val="18"/>
                <w:szCs w:val="18"/>
              </w:rPr>
              <w:t xml:space="preserve">80–105</w:t>
            </w:r>
          </w:p>
        </w:tc>
        <w:tc>
          <w:tcPr>
            <w:tcW w:type="dxa" w:w="20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center"/>
            </w:pPr>
            <w:r>
              <w:rPr>
                <w:rFonts w:ascii="Arial" w:cs="Arial" w:eastAsia="Arial" w:hAnsi="Arial"/>
                <w:b w:val="false"/>
                <w:bCs w:val="false"/>
                <w:color w:val="424242"/>
                <w:sz w:val="18"/>
                <w:szCs w:val="18"/>
              </w:rPr>
              <w:t xml:space="preserve">80–105 rpm/L</w:t>
            </w:r>
          </w:p>
        </w:tc>
        <w:tc>
          <w:tcPr>
            <w:tcW w:type="dxa" w:w="26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Zona cinza — avaliar clínica</w:t>
            </w:r>
          </w:p>
        </w:tc>
        <w:tc>
          <w:tcPr>
            <w:tcW w:type="dxa" w:w="26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Decidir caso a caso</w:t>
            </w:r>
          </w:p>
        </w:tc>
      </w:tr>
      <w:tr>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424242"/>
                <w:sz w:val="18"/>
                <w:szCs w:val="18"/>
              </w:rPr>
              <w:t xml:space="preserve">&gt; 105</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color w:val="424242"/>
                <w:sz w:val="18"/>
                <w:szCs w:val="18"/>
              </w:rPr>
              <w:t xml:space="preserve">&gt; 105 rpm/L</w:t>
            </w:r>
          </w:p>
        </w:tc>
        <w:tc>
          <w:tcPr>
            <w:tcW w:type="dxa" w:w="2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Alta probabilidade FALHA</w:t>
            </w:r>
          </w:p>
        </w:tc>
        <w:tc>
          <w:tcPr>
            <w:tcW w:type="dxa" w:w="2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Manter VM — otimizar</w:t>
            </w:r>
          </w:p>
        </w:tc>
      </w:tr>
    </w:tbl>
    <w:p>
      <w:r>
        <w:rPr>
          <w:sz w:val="16"/>
          <w:szCs w:val="16"/>
        </w:rPr>
        <w:t xml:space="preserve"/>
      </w:r>
    </w:p>
    <w:p>
      <w:pPr>
        <w:spacing w:after="80"/>
      </w:pPr>
      <w:r>
        <w:rPr>
          <w:rFonts w:ascii="Arial" w:cs="Arial" w:eastAsia="Arial" w:hAnsi="Arial"/>
          <w:color w:val="424242"/>
          <w:sz w:val="20"/>
          <w:szCs w:val="20"/>
        </w:rPr>
        <w:t xml:space="preserve">FÓRMULA: f (FR em respirações/min) ÷ VT (volume corrente em LITROS). Medir em T-piece ou PSV mínimo (5 cmH2O). Yang &amp; Tobin: sensibilidade 97%, especificidade 64%. VPN excelente — útil para EXCLUIR falha.</w:t>
      </w:r>
    </w:p>
    <w:p>
      <w:r>
        <w:rPr>
          <w:sz w:val="16"/>
          <w:szCs w:val="16"/>
        </w:rPr>
        <w:t xml:space="preserve"/>
      </w:r>
    </w:p>
    <w:p>
      <w:pPr>
        <w:spacing w:after="120" w:before="240"/>
      </w:pPr>
      <w:r>
        <w:rPr>
          <w:rFonts w:ascii="Arial" w:cs="Arial" w:eastAsia="Arial" w:hAnsi="Arial"/>
          <w:b/>
          <w:bCs/>
          <w:color w:val="2E75B6"/>
          <w:sz w:val="26"/>
          <w:szCs w:val="26"/>
        </w:rPr>
        <w:t xml:space="preserve">3.2 Outros Índices Preditores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400"/>
      </w:tblGrid>
      <w:tr>
        <w:tc>
          <w:tcPr>
            <w:tcW w:type="dxa" w:w="2200"/>
            <w:gridSpan w:val="1"/>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Índice</w:t>
            </w:r>
          </w:p>
        </w:tc>
        <w:tc>
          <w:tcPr>
            <w:tcW w:type="dxa" w:w="1800"/>
            <w:gridSpan w:val="1"/>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Ponto de Corte</w:t>
            </w:r>
          </w:p>
        </w:tc>
        <w:tc>
          <w:tcPr>
            <w:tcW w:type="dxa" w:w="1800"/>
            <w:gridSpan w:val="1"/>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Acurácia</w:t>
            </w:r>
          </w:p>
        </w:tc>
        <w:tc>
          <w:tcPr>
            <w:tcW w:type="dxa" w:w="3400"/>
            <w:gridSpan w:val="1"/>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Comentários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f/VT (Tobin)</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color w:val="424242"/>
                <w:sz w:val="18"/>
                <w:szCs w:val="18"/>
              </w:rPr>
              <w:t xml:space="preserve">&lt; 80 rpm/L</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Sn 97%, Sp 64%</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Padrão ouro — mais usado na prática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CROP Index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24242"/>
                <w:sz w:val="18"/>
                <w:szCs w:val="18"/>
              </w:rPr>
              <w:t xml:space="preserve">≥ 13 mL/resp/min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Sn 81%, Sp 57%</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Compliance x FR x P0.1 x PaO2/FiO2 — complexo</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Pressão inspiratória máx (Pimax)</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color w:val="424242"/>
                <w:sz w:val="18"/>
                <w:szCs w:val="18"/>
              </w:rPr>
              <w:t xml:space="preserve">≤ -20 a -30 cmH2O</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Moderada</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Força muscular inspiratória. -20 = limiar mínimo.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Capacidade vital (VC)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24242"/>
                <w:sz w:val="18"/>
                <w:szCs w:val="18"/>
              </w:rPr>
              <w:t xml:space="preserve">≥ 10-15 mL/kg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Baixa isolado</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Esforço-dependente; coadjuvante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P0.1 (drive respiratório)</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color w:val="424242"/>
                <w:sz w:val="18"/>
                <w:szCs w:val="18"/>
              </w:rPr>
              <w:t xml:space="preserve">0,5–3,5 cmH2O</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Boa especificidade</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&lt; 0,5 = drive baixo (risco falha); &gt; 3,5 = carga alta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Oclusão traqueal (P0.1/Pimax)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24242"/>
                <w:sz w:val="18"/>
                <w:szCs w:val="18"/>
              </w:rPr>
              <w:t xml:space="preserve">&lt; 0,09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Moderada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Avalia equilíbrio drive/capacidade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USG diafragma — excursão</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color w:val="424242"/>
                <w:sz w:val="18"/>
                <w:szCs w:val="18"/>
              </w:rPr>
              <w:t xml:space="preserve">≥ 10–11 mm</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Sn 88%, Sp 71%</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Emergente; POCUS útil no desmame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USG diafragma — espessamento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24242"/>
                <w:sz w:val="18"/>
                <w:szCs w:val="18"/>
              </w:rPr>
              <w:t xml:space="preserve">≥ 30% aumento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Sn 82%, Sp 88%</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TFdi = (Tmax-Tmin)/Tmin — via sonda linear</w:t>
            </w:r>
          </w:p>
        </w:tc>
      </w:tr>
    </w:tbl>
    <w:p>
      <w:r>
        <w:rPr>
          <w:sz w:val="16"/>
          <w:szCs w:val="16"/>
        </w:rPr>
        <w:t xml:space="preserve"/>
      </w:r>
    </w:p>
    <w:p>
      <w:r>
        <w:rPr>
          <w:sz w:val="16"/>
          <w:szCs w:val="16"/>
        </w:rPr>
        <w:t xml:space="preserve"/>
      </w:r>
    </w:p>
    <w:p>
      <w:pPr>
        <w:pBdr>
          <w:bottom w:val="single" w:color="2E75B6" w:sz="8" w:space="1"/>
        </w:pBdr>
        <w:spacing w:after="160" w:before="360"/>
      </w:pPr>
      <w:r>
        <w:rPr>
          <w:rFonts w:ascii="Arial" w:cs="Arial" w:eastAsia="Arial" w:hAnsi="Arial"/>
          <w:b/>
          <w:bCs/>
          <w:caps/>
          <w:color w:val="1B3A6B"/>
          <w:sz w:val="34"/>
          <w:szCs w:val="34"/>
        </w:rPr>
        <w:t xml:space="preserve">4. SPONTANEOUS BREATHING TRIAL (SBT) — TÉCNICA E FALHA</w:t>
      </w:r>
    </w:p>
    <w:p>
      <w:pPr>
        <w:spacing w:after="120" w:before="240"/>
      </w:pPr>
      <w:r>
        <w:rPr>
          <w:rFonts w:ascii="Arial" w:cs="Arial" w:eastAsia="Arial" w:hAnsi="Arial"/>
          <w:b/>
          <w:bCs/>
          <w:color w:val="2E75B6"/>
          <w:sz w:val="26"/>
          <w:szCs w:val="26"/>
        </w:rPr>
        <w:t xml:space="preserve">4.1 Modalidades de SBT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200"/>
        <w:gridCol w:w="2000"/>
      </w:tblGrid>
      <w:tr>
        <w:tc>
          <w:tcPr>
            <w:tcW w:type="dxa" w:w="1800"/>
            <w:gridSpan w:val="1"/>
            <w:tcBorders>
              <w:top w:val="single" w:color="FFFFFF" w:sz="1"/>
              <w:left w:val="single" w:color="FFFFFF" w:sz="1"/>
              <w:bottom w:val="single" w:color="FFFFFF" w:sz="1"/>
              <w:right w:val="single" w:color="FFFFFF" w:sz="1"/>
            </w:tcBorders>
            <w:shd w:fill="0069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Modalidade</w:t>
            </w:r>
          </w:p>
        </w:tc>
        <w:tc>
          <w:tcPr>
            <w:tcW w:type="dxa" w:w="3200"/>
            <w:gridSpan w:val="1"/>
            <w:tcBorders>
              <w:top w:val="single" w:color="FFFFFF" w:sz="1"/>
              <w:left w:val="single" w:color="FFFFFF" w:sz="1"/>
              <w:bottom w:val="single" w:color="FFFFFF" w:sz="1"/>
              <w:right w:val="single" w:color="FFFFFF" w:sz="1"/>
            </w:tcBorders>
            <w:shd w:fill="0069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Técnica</w:t>
            </w:r>
          </w:p>
        </w:tc>
        <w:tc>
          <w:tcPr>
            <w:tcW w:type="dxa" w:w="2200"/>
            <w:gridSpan w:val="1"/>
            <w:tcBorders>
              <w:top w:val="single" w:color="FFFFFF" w:sz="1"/>
              <w:left w:val="single" w:color="FFFFFF" w:sz="1"/>
              <w:bottom w:val="single" w:color="FFFFFF" w:sz="1"/>
              <w:right w:val="single" w:color="FFFFFF" w:sz="1"/>
            </w:tcBorders>
            <w:shd w:fill="0069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Duração</w:t>
            </w:r>
          </w:p>
        </w:tc>
        <w:tc>
          <w:tcPr>
            <w:tcW w:type="dxa" w:w="2000"/>
            <w:gridSpan w:val="1"/>
            <w:tcBorders>
              <w:top w:val="single" w:color="FFFFFF" w:sz="1"/>
              <w:left w:val="single" w:color="FFFFFF" w:sz="1"/>
              <w:bottom w:val="single" w:color="FFFFFF" w:sz="1"/>
              <w:right w:val="single" w:color="FFFFFF" w:sz="1"/>
            </w:tcBorders>
            <w:shd w:fill="0069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Evidência</w:t>
            </w:r>
          </w:p>
        </w:tc>
      </w:tr>
      <w:tr>
        <w:tc>
          <w:tcPr>
            <w:tcW w:type="dxa" w:w="18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bCs/>
                <w:color w:val="00695C"/>
                <w:sz w:val="18"/>
                <w:szCs w:val="18"/>
              </w:rPr>
              <w:t xml:space="preserve">T-piece</w:t>
            </w:r>
          </w:p>
        </w:tc>
        <w:tc>
          <w:tcPr>
            <w:tcW w:type="dxa" w:w="3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Desconecta o paciente do ventilador → respiração livre com umidificador</w:t>
            </w:r>
          </w:p>
        </w:tc>
        <w:tc>
          <w:tcPr>
            <w:tcW w:type="dxa" w:w="2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center"/>
            </w:pPr>
            <w:r>
              <w:rPr>
                <w:rFonts w:ascii="Arial" w:cs="Arial" w:eastAsia="Arial" w:hAnsi="Arial"/>
                <w:b w:val="false"/>
                <w:bCs w:val="false"/>
                <w:color w:val="424242"/>
                <w:sz w:val="18"/>
                <w:szCs w:val="18"/>
              </w:rPr>
              <w:t xml:space="preserve">30–120 min</w:t>
            </w:r>
          </w:p>
        </w:tc>
        <w:tc>
          <w:tcPr>
            <w:tcW w:type="dxa" w:w="20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Padrão histórico. Maior esforço. Maior taxa falha (mais fisiológico).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695C"/>
                <w:sz w:val="18"/>
                <w:szCs w:val="18"/>
              </w:rPr>
              <w:t xml:space="preserve">PSV 5–8 / PEEP 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Pressão suporte mínima + PEEP fisiológico. Mais confortável.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24242"/>
                <w:sz w:val="18"/>
                <w:szCs w:val="18"/>
              </w:rPr>
              <w:t xml:space="preserve">30–120 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Equivalente ao T-piece (Brochard 1994, Esteban 1997). Mais usado na UTI atual.</w:t>
            </w:r>
          </w:p>
        </w:tc>
      </w:tr>
      <w:tr>
        <w:tc>
          <w:tcPr>
            <w:tcW w:type="dxa" w:w="18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bCs/>
                <w:color w:val="00695C"/>
                <w:sz w:val="18"/>
                <w:szCs w:val="18"/>
              </w:rPr>
              <w:t xml:space="preserve">CPAP</w:t>
            </w:r>
          </w:p>
        </w:tc>
        <w:tc>
          <w:tcPr>
            <w:tcW w:type="dxa" w:w="3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CPAP 5 cmH2O sem suporte inspiratório</w:t>
            </w:r>
          </w:p>
        </w:tc>
        <w:tc>
          <w:tcPr>
            <w:tcW w:type="dxa" w:w="2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center"/>
            </w:pPr>
            <w:r>
              <w:rPr>
                <w:rFonts w:ascii="Arial" w:cs="Arial" w:eastAsia="Arial" w:hAnsi="Arial"/>
                <w:b w:val="false"/>
                <w:bCs w:val="false"/>
                <w:color w:val="424242"/>
                <w:sz w:val="18"/>
                <w:szCs w:val="18"/>
              </w:rPr>
              <w:t xml:space="preserve">30–120 min</w:t>
            </w:r>
          </w:p>
        </w:tc>
        <w:tc>
          <w:tcPr>
            <w:tcW w:type="dxa" w:w="20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Alternativa. Dados limitados vs PSV.</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695C"/>
                <w:sz w:val="18"/>
                <w:szCs w:val="18"/>
              </w:rPr>
              <w:t xml:space="preserve">ATC (Automatic Tube Compensation)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Compensa resistência do tubo ET automaticamente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24242"/>
                <w:sz w:val="18"/>
                <w:szCs w:val="18"/>
              </w:rPr>
              <w:t xml:space="preserve">30–120 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Promissor; não superior a PSV em ensaios clínicos.</w:t>
            </w:r>
          </w:p>
        </w:tc>
      </w:tr>
    </w:tbl>
    <w:p>
      <w:r>
        <w:rPr>
          <w:sz w:val="16"/>
          <w:szCs w:val="16"/>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gridSpan w:val="1"/>
            <w:tcBorders>
              <w:top w:val="single" w:color="C62828" w:sz="1"/>
              <w:left w:val="single" w:color="C62828" w:sz="1"/>
              <w:bottom w:val="single" w:color="C62828" w:sz="1"/>
              <w:right w:val="single" w:color="C62828" w:sz="1"/>
            </w:tcBorders>
            <w:shd w:fill="C62828" w:val="clear"/>
            <w:tcMar>
              <w:top w:type="dxa" w:w="100"/>
              <w:left w:type="dxa" w:w="160"/>
              <w:bottom w:type="dxa" w:w="100"/>
              <w:right w:type="dxa" w:w="160"/>
            </w:tcMar>
          </w:tcPr>
          <w:p>
            <w:r>
              <w:rPr>
                <w:rFonts w:ascii="Arial" w:cs="Arial" w:eastAsia="Arial" w:hAnsi="Arial"/>
                <w:b/>
                <w:bCs/>
                <w:color w:val="FFFFFF"/>
                <w:sz w:val="20"/>
                <w:szCs w:val="20"/>
              </w:rPr>
              <w:t xml:space="preserve">⚠️ CRITÉRIOS DE FALHA DO SBT — Qualquer 1 destes = FALHA → retornar VM + investigar causa</w:t>
            </w:r>
          </w:p>
        </w:tc>
      </w:tr>
      <w:tr>
        <w:tc>
          <w:tcPr>
            <w:tcW w:type="dxa" w:w="9200"/>
            <w:tcBorders>
              <w:top w:val="single" w:color="C62828" w:sz="1"/>
              <w:left w:val="single" w:color="C62828" w:sz="1"/>
              <w:bottom w:val="single" w:color="C62828" w:sz="1"/>
              <w:right w:val="single" w:color="C62828" w:sz="1"/>
            </w:tcBorders>
            <w:shd w:fill="FFFFFF" w:val="clear"/>
            <w:tcMar>
              <w:top w:type="dxa" w:w="50"/>
              <w:left w:type="dxa" w:w="160"/>
              <w:bottom w:type="dxa" w:w="50"/>
              <w:right w:type="dxa" w:w="160"/>
            </w:tcMar>
          </w:tcPr>
          <w:p>
            <w:r>
              <w:rPr>
                <w:rFonts w:ascii="Arial" w:cs="Arial" w:eastAsia="Arial" w:hAnsi="Arial"/>
                <w:color w:val="424242"/>
                <w:sz w:val="18"/>
                <w:szCs w:val="18"/>
              </w:rPr>
              <w:t xml:space="preserve">FR &gt; 35 irpm por &gt; 5 minutos</w:t>
            </w:r>
          </w:p>
        </w:tc>
      </w:tr>
      <w:tr>
        <w:tc>
          <w:tcPr>
            <w:tcW w:type="dxa" w:w="9200"/>
            <w:tcBorders>
              <w:top w:val="single" w:color="C62828" w:sz="1"/>
              <w:left w:val="single" w:color="C62828" w:sz="1"/>
              <w:bottom w:val="single" w:color="C62828" w:sz="1"/>
              <w:right w:val="single" w:color="C62828" w:sz="1"/>
            </w:tcBorders>
            <w:shd w:fill="FFFFFF" w:val="clear"/>
            <w:tcMar>
              <w:top w:type="dxa" w:w="50"/>
              <w:left w:type="dxa" w:w="160"/>
              <w:bottom w:type="dxa" w:w="50"/>
              <w:right w:type="dxa" w:w="160"/>
            </w:tcMar>
          </w:tcPr>
          <w:p>
            <w:r>
              <w:rPr>
                <w:rFonts w:ascii="Arial" w:cs="Arial" w:eastAsia="Arial" w:hAnsi="Arial"/>
                <w:color w:val="424242"/>
                <w:sz w:val="18"/>
                <w:szCs w:val="18"/>
              </w:rPr>
              <w:t xml:space="preserve">SpO2 &lt; 90% (ou queda &gt; 5% da basal) por &gt; 5 minutos</w:t>
            </w:r>
          </w:p>
        </w:tc>
      </w:tr>
      <w:tr>
        <w:tc>
          <w:tcPr>
            <w:tcW w:type="dxa" w:w="9200"/>
            <w:tcBorders>
              <w:top w:val="single" w:color="C62828" w:sz="1"/>
              <w:left w:val="single" w:color="C62828" w:sz="1"/>
              <w:bottom w:val="single" w:color="C62828" w:sz="1"/>
              <w:right w:val="single" w:color="C62828" w:sz="1"/>
            </w:tcBorders>
            <w:shd w:fill="FFFFFF" w:val="clear"/>
            <w:tcMar>
              <w:top w:type="dxa" w:w="50"/>
              <w:left w:type="dxa" w:w="160"/>
              <w:bottom w:type="dxa" w:w="50"/>
              <w:right w:type="dxa" w:w="160"/>
            </w:tcMar>
          </w:tcPr>
          <w:p>
            <w:r>
              <w:rPr>
                <w:rFonts w:ascii="Arial" w:cs="Arial" w:eastAsia="Arial" w:hAnsi="Arial"/>
                <w:color w:val="424242"/>
                <w:sz w:val="18"/>
                <w:szCs w:val="18"/>
              </w:rPr>
              <w:t xml:space="preserve">FC &gt; 140 bpm ou variação &gt; 20% da basal / Arritmia nova</w:t>
            </w:r>
          </w:p>
        </w:tc>
      </w:tr>
      <w:tr>
        <w:tc>
          <w:tcPr>
            <w:tcW w:type="dxa" w:w="9200"/>
            <w:tcBorders>
              <w:top w:val="single" w:color="C62828" w:sz="1"/>
              <w:left w:val="single" w:color="C62828" w:sz="1"/>
              <w:bottom w:val="single" w:color="C62828" w:sz="1"/>
              <w:right w:val="single" w:color="C62828" w:sz="1"/>
            </w:tcBorders>
            <w:shd w:fill="FFFFFF" w:val="clear"/>
            <w:tcMar>
              <w:top w:type="dxa" w:w="50"/>
              <w:left w:type="dxa" w:w="160"/>
              <w:bottom w:type="dxa" w:w="50"/>
              <w:right w:type="dxa" w:w="160"/>
            </w:tcMar>
          </w:tcPr>
          <w:p>
            <w:r>
              <w:rPr>
                <w:rFonts w:ascii="Arial" w:cs="Arial" w:eastAsia="Arial" w:hAnsi="Arial"/>
                <w:color w:val="424242"/>
                <w:sz w:val="18"/>
                <w:szCs w:val="18"/>
              </w:rPr>
              <w:t xml:space="preserve">PA sistólica &gt; 180 mmHg ou &lt; 90 mmHg</w:t>
            </w:r>
          </w:p>
        </w:tc>
      </w:tr>
      <w:tr>
        <w:tc>
          <w:tcPr>
            <w:tcW w:type="dxa" w:w="9200"/>
            <w:tcBorders>
              <w:top w:val="single" w:color="C62828" w:sz="1"/>
              <w:left w:val="single" w:color="C62828" w:sz="1"/>
              <w:bottom w:val="single" w:color="C62828" w:sz="1"/>
              <w:right w:val="single" w:color="C62828" w:sz="1"/>
            </w:tcBorders>
            <w:shd w:fill="FFFFFF" w:val="clear"/>
            <w:tcMar>
              <w:top w:type="dxa" w:w="50"/>
              <w:left w:type="dxa" w:w="160"/>
              <w:bottom w:type="dxa" w:w="50"/>
              <w:right w:type="dxa" w:w="160"/>
            </w:tcMar>
          </w:tcPr>
          <w:p>
            <w:r>
              <w:rPr>
                <w:rFonts w:ascii="Arial" w:cs="Arial" w:eastAsia="Arial" w:hAnsi="Arial"/>
                <w:color w:val="424242"/>
                <w:sz w:val="18"/>
                <w:szCs w:val="18"/>
              </w:rPr>
              <w:t xml:space="preserve">Uso intenso de musculatura acessória / tiragem / balanceio toracoabdominal</w:t>
            </w:r>
          </w:p>
        </w:tc>
      </w:tr>
      <w:tr>
        <w:tc>
          <w:tcPr>
            <w:tcW w:type="dxa" w:w="9200"/>
            <w:tcBorders>
              <w:top w:val="single" w:color="C62828" w:sz="1"/>
              <w:left w:val="single" w:color="C62828" w:sz="1"/>
              <w:bottom w:val="single" w:color="C62828" w:sz="1"/>
              <w:right w:val="single" w:color="C62828" w:sz="1"/>
            </w:tcBorders>
            <w:shd w:fill="FFFFFF" w:val="clear"/>
            <w:tcMar>
              <w:top w:type="dxa" w:w="50"/>
              <w:left w:type="dxa" w:w="160"/>
              <w:bottom w:type="dxa" w:w="50"/>
              <w:right w:type="dxa" w:w="160"/>
            </w:tcMar>
          </w:tcPr>
          <w:p>
            <w:r>
              <w:rPr>
                <w:rFonts w:ascii="Arial" w:cs="Arial" w:eastAsia="Arial" w:hAnsi="Arial"/>
                <w:color w:val="424242"/>
                <w:sz w:val="18"/>
                <w:szCs w:val="18"/>
              </w:rPr>
              <w:t xml:space="preserve">Agitação, ansiedade severa, diaforese intensa</w:t>
            </w:r>
          </w:p>
        </w:tc>
      </w:tr>
      <w:tr>
        <w:tc>
          <w:tcPr>
            <w:tcW w:type="dxa" w:w="9200"/>
            <w:tcBorders>
              <w:top w:val="single" w:color="C62828" w:sz="1"/>
              <w:left w:val="single" w:color="C62828" w:sz="1"/>
              <w:bottom w:val="single" w:color="C62828" w:sz="1"/>
              <w:right w:val="single" w:color="C62828" w:sz="1"/>
            </w:tcBorders>
            <w:shd w:fill="FFFFFF" w:val="clear"/>
            <w:tcMar>
              <w:top w:type="dxa" w:w="50"/>
              <w:left w:type="dxa" w:w="160"/>
              <w:bottom w:type="dxa" w:w="50"/>
              <w:right w:type="dxa" w:w="160"/>
            </w:tcMar>
          </w:tcPr>
          <w:p>
            <w:r>
              <w:rPr>
                <w:rFonts w:ascii="Arial" w:cs="Arial" w:eastAsia="Arial" w:hAnsi="Arial"/>
                <w:color w:val="424242"/>
                <w:sz w:val="18"/>
                <w:szCs w:val="18"/>
              </w:rPr>
              <w:t xml:space="preserve">Alteração consciência (confusão, sonolência)</w:t>
            </w:r>
          </w:p>
        </w:tc>
      </w:tr>
      <w:tr>
        <w:tc>
          <w:tcPr>
            <w:tcW w:type="dxa" w:w="9200"/>
            <w:tcBorders>
              <w:top w:val="single" w:color="C62828" w:sz="1"/>
              <w:left w:val="single" w:color="C62828" w:sz="1"/>
              <w:bottom w:val="single" w:color="C62828" w:sz="1"/>
              <w:right w:val="single" w:color="C62828" w:sz="1"/>
            </w:tcBorders>
            <w:shd w:fill="FFFFFF" w:val="clear"/>
            <w:tcMar>
              <w:top w:type="dxa" w:w="50"/>
              <w:left w:type="dxa" w:w="160"/>
              <w:bottom w:type="dxa" w:w="50"/>
              <w:right w:type="dxa" w:w="160"/>
            </w:tcMar>
          </w:tcPr>
          <w:p>
            <w:r>
              <w:rPr>
                <w:rFonts w:ascii="Arial" w:cs="Arial" w:eastAsia="Arial" w:hAnsi="Arial"/>
                <w:color w:val="424242"/>
                <w:sz w:val="18"/>
                <w:szCs w:val="18"/>
              </w:rPr>
              <w:t xml:space="preserve">f/VT &gt; 105 rpm/L durante o SBT</w:t>
            </w:r>
          </w:p>
        </w:tc>
      </w:tr>
      <w:tr>
        <w:tc>
          <w:tcPr>
            <w:tcW w:type="dxa" w:w="9200"/>
            <w:tcBorders>
              <w:top w:val="single" w:color="C62828" w:sz="1"/>
              <w:left w:val="single" w:color="C62828" w:sz="1"/>
              <w:bottom w:val="single" w:color="C62828" w:sz="1"/>
              <w:right w:val="single" w:color="C62828" w:sz="1"/>
            </w:tcBorders>
            <w:shd w:fill="FFEBEE" w:val="clear"/>
            <w:tcMar>
              <w:top w:type="dxa" w:w="50"/>
              <w:left w:type="dxa" w:w="160"/>
              <w:bottom w:type="dxa" w:w="50"/>
              <w:right w:type="dxa" w:w="160"/>
            </w:tcMar>
          </w:tcPr>
          <w:p>
            <w:r>
              <w:rPr>
                <w:rFonts w:ascii="Arial" w:cs="Arial" w:eastAsia="Arial" w:hAnsi="Arial"/>
                <w:color w:val="424242"/>
                <w:sz w:val="18"/>
                <w:szCs w:val="18"/>
              </w:rPr>
              <w:t xml:space="preserve"/>
            </w:r>
          </w:p>
        </w:tc>
      </w:tr>
      <w:tr>
        <w:tc>
          <w:tcPr>
            <w:tcW w:type="dxa" w:w="9200"/>
            <w:tcBorders>
              <w:top w:val="single" w:color="C62828" w:sz="1"/>
              <w:left w:val="single" w:color="C62828" w:sz="1"/>
              <w:bottom w:val="single" w:color="C62828" w:sz="1"/>
              <w:right w:val="single" w:color="C62828" w:sz="1"/>
            </w:tcBorders>
            <w:shd w:fill="FFFFFF" w:val="clear"/>
            <w:tcMar>
              <w:top w:type="dxa" w:w="50"/>
              <w:left w:type="dxa" w:w="160"/>
              <w:bottom w:type="dxa" w:w="50"/>
              <w:right w:type="dxa" w:w="160"/>
            </w:tcMar>
          </w:tcPr>
          <w:p>
            <w:r>
              <w:rPr>
                <w:rFonts w:ascii="Arial" w:cs="Arial" w:eastAsia="Arial" w:hAnsi="Arial"/>
                <w:color w:val="424242"/>
                <w:sz w:val="18"/>
                <w:szCs w:val="18"/>
              </w:rPr>
              <w:t xml:space="preserve">→ Após falha: retornar VM com parâmetros confortáveis (FiO2, PEEP, PS adequados)</w:t>
            </w:r>
          </w:p>
        </w:tc>
      </w:tr>
      <w:tr>
        <w:tc>
          <w:tcPr>
            <w:tcW w:type="dxa" w:w="9200"/>
            <w:tcBorders>
              <w:top w:val="single" w:color="C62828" w:sz="1"/>
              <w:left w:val="single" w:color="C62828" w:sz="1"/>
              <w:bottom w:val="single" w:color="C62828" w:sz="1"/>
              <w:right w:val="single" w:color="C62828" w:sz="1"/>
            </w:tcBorders>
            <w:shd w:fill="FFFFFF" w:val="clear"/>
            <w:tcMar>
              <w:top w:type="dxa" w:w="50"/>
              <w:left w:type="dxa" w:w="160"/>
              <w:bottom w:type="dxa" w:w="50"/>
              <w:right w:type="dxa" w:w="160"/>
            </w:tcMar>
          </w:tcPr>
          <w:p>
            <w:r>
              <w:rPr>
                <w:rFonts w:ascii="Arial" w:cs="Arial" w:eastAsia="Arial" w:hAnsi="Arial"/>
                <w:color w:val="424242"/>
                <w:sz w:val="18"/>
                <w:szCs w:val="18"/>
              </w:rPr>
              <w:t xml:space="preserve">→ Investigar: dor não controlada, secreção, broncoespasmo, congestão, fraqueza diafragmática</w:t>
            </w:r>
          </w:p>
        </w:tc>
      </w:tr>
      <w:tr>
        <w:tc>
          <w:tcPr>
            <w:tcW w:type="dxa" w:w="9200"/>
            <w:tcBorders>
              <w:top w:val="single" w:color="C62828" w:sz="1"/>
              <w:left w:val="single" w:color="C62828" w:sz="1"/>
              <w:bottom w:val="single" w:color="C62828" w:sz="1"/>
              <w:right w:val="single" w:color="C62828" w:sz="1"/>
            </w:tcBorders>
            <w:shd w:fill="FFFFFF" w:val="clear"/>
            <w:tcMar>
              <w:top w:type="dxa" w:w="50"/>
              <w:left w:type="dxa" w:w="160"/>
              <w:bottom w:type="dxa" w:w="50"/>
              <w:right w:type="dxa" w:w="160"/>
            </w:tcMar>
          </w:tcPr>
          <w:p>
            <w:r>
              <w:rPr>
                <w:rFonts w:ascii="Arial" w:cs="Arial" w:eastAsia="Arial" w:hAnsi="Arial"/>
                <w:color w:val="424242"/>
                <w:sz w:val="18"/>
                <w:szCs w:val="18"/>
              </w:rPr>
              <w:t xml:space="preserve">→ Próxima tentativa SBT: mínimo 24h depois</w:t>
            </w:r>
          </w:p>
        </w:tc>
      </w:tr>
    </w:tbl>
    <w:p>
      <w:r>
        <w:rPr>
          <w:sz w:val="16"/>
          <w:szCs w:val="16"/>
        </w:rPr>
        <w:t xml:space="preserve"/>
      </w:r>
    </w:p>
    <w:p>
      <w:r>
        <w:rPr>
          <w:sz w:val="16"/>
          <w:szCs w:val="16"/>
        </w:rPr>
        <w:t xml:space="preserve"/>
      </w:r>
    </w:p>
    <w:p>
      <w:pPr>
        <w:pBdr>
          <w:bottom w:val="single" w:color="2E75B6" w:sz="8" w:space="1"/>
        </w:pBdr>
        <w:spacing w:after="160" w:before="360"/>
      </w:pPr>
      <w:r>
        <w:rPr>
          <w:rFonts w:ascii="Arial" w:cs="Arial" w:eastAsia="Arial" w:hAnsi="Arial"/>
          <w:b/>
          <w:bCs/>
          <w:caps/>
          <w:color w:val="1B3A6B"/>
          <w:sz w:val="34"/>
          <w:szCs w:val="34"/>
        </w:rPr>
        <w:t xml:space="preserve">5. CAUSAS DE FALHA NO DESMAME — SISTEMÁTICA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3400"/>
        <w:gridCol w:w="2800"/>
      </w:tblGrid>
      <w:tr>
        <w:tc>
          <w:tcPr>
            <w:tcW w:type="dxa" w:w="700"/>
            <w:gridSpan w:val="1"/>
            <w:tcBorders>
              <w:top w:val="single" w:color="FFFFFF" w:sz="1"/>
              <w:left w:val="single" w:color="FFFFFF" w:sz="1"/>
              <w:bottom w:val="single" w:color="FFFFFF" w:sz="1"/>
              <w:right w:val="single" w:color="FFFFFF" w:sz="1"/>
            </w:tcBorders>
            <w:shd w:fill="E65100"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
            </w:r>
          </w:p>
        </w:tc>
        <w:tc>
          <w:tcPr>
            <w:tcW w:type="dxa" w:w="2300"/>
            <w:gridSpan w:val="1"/>
            <w:tcBorders>
              <w:top w:val="single" w:color="FFFFFF" w:sz="1"/>
              <w:left w:val="single" w:color="FFFFFF" w:sz="1"/>
              <w:bottom w:val="single" w:color="FFFFFF" w:sz="1"/>
              <w:right w:val="single" w:color="FFFFFF" w:sz="1"/>
            </w:tcBorders>
            <w:shd w:fill="E65100"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Categoria</w:t>
            </w:r>
          </w:p>
        </w:tc>
        <w:tc>
          <w:tcPr>
            <w:tcW w:type="dxa" w:w="3400"/>
            <w:gridSpan w:val="1"/>
            <w:tcBorders>
              <w:top w:val="single" w:color="FFFFFF" w:sz="1"/>
              <w:left w:val="single" w:color="FFFFFF" w:sz="1"/>
              <w:bottom w:val="single" w:color="FFFFFF" w:sz="1"/>
              <w:right w:val="single" w:color="FFFFFF" w:sz="1"/>
            </w:tcBorders>
            <w:shd w:fill="E65100"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Causa Específica</w:t>
            </w:r>
          </w:p>
        </w:tc>
        <w:tc>
          <w:tcPr>
            <w:tcW w:type="dxa" w:w="2800"/>
            <w:gridSpan w:val="1"/>
            <w:tcBorders>
              <w:top w:val="single" w:color="FFFFFF" w:sz="1"/>
              <w:left w:val="single" w:color="FFFFFF" w:sz="1"/>
              <w:bottom w:val="single" w:color="FFFFFF" w:sz="1"/>
              <w:right w:val="single" w:color="FFFFFF" w:sz="1"/>
            </w:tcBorders>
            <w:shd w:fill="E65100"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Investigação / Conduta</w:t>
            </w:r>
          </w:p>
        </w:tc>
      </w:tr>
      <w:tr>
        <w:tc>
          <w:tcPr>
            <w:tcW w:type="dxa" w:w="7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w:t>
            </w:r>
          </w:p>
        </w:tc>
        <w:tc>
          <w:tcPr>
            <w:tcW w:type="dxa" w:w="23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bCs/>
                <w:color w:val="424242"/>
                <w:sz w:val="18"/>
                <w:szCs w:val="18"/>
              </w:rPr>
              <w:t xml:space="preserve">Carga Respiratória Alta</w:t>
            </w:r>
          </w:p>
        </w:tc>
        <w:tc>
          <w:tcPr>
            <w:tcW w:type="dxa" w:w="3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Broncoespasmo, atelectasia, DPOC não otimizado, derrame pleural, efusão, distensão abdominal</w:t>
            </w:r>
          </w:p>
        </w:tc>
        <w:tc>
          <w:tcPr>
            <w:tcW w:type="dxa" w:w="2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BD inalatório, drenagem, fisiologia VNI</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424242"/>
                <w:sz w:val="18"/>
                <w:szCs w:val="18"/>
              </w:rPr>
              <w:t xml:space="preserve">Fraqueza Neuromuscular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Miopatia/neuropatia da UTI, BNM prolongado, desnutrição, hipomagnesemia, hipocalcemia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Eletrólitos, fisioterapia, eletroneuromiografia</w:t>
            </w:r>
          </w:p>
        </w:tc>
      </w:tr>
      <w:tr>
        <w:tc>
          <w:tcPr>
            <w:tcW w:type="dxa" w:w="7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w:t>
            </w:r>
          </w:p>
        </w:tc>
        <w:tc>
          <w:tcPr>
            <w:tcW w:type="dxa" w:w="23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bCs/>
                <w:color w:val="424242"/>
                <w:sz w:val="18"/>
                <w:szCs w:val="18"/>
              </w:rPr>
              <w:t xml:space="preserve">Disfunção Cardiovascular</w:t>
            </w:r>
          </w:p>
        </w:tc>
        <w:tc>
          <w:tcPr>
            <w:tcW w:type="dxa" w:w="3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Isquemia induzida pelo desmame, IC congestiva oculta, disfunção diastólica VE</w:t>
            </w:r>
          </w:p>
        </w:tc>
        <w:tc>
          <w:tcPr>
            <w:tcW w:type="dxa" w:w="2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BNP/troponina, ecocardiografia POCUS, diurético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424242"/>
                <w:sz w:val="18"/>
                <w:szCs w:val="18"/>
              </w:rPr>
              <w:t xml:space="preserve">Disfunção SNC</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Delirium, sedação excessiva residual, encefalopatia metabólica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SAT, otimizar sedação, corrigir causa</w:t>
            </w:r>
          </w:p>
        </w:tc>
      </w:tr>
      <w:tr>
        <w:tc>
          <w:tcPr>
            <w:tcW w:type="dxa" w:w="7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w:t>
            </w:r>
          </w:p>
        </w:tc>
        <w:tc>
          <w:tcPr>
            <w:tcW w:type="dxa" w:w="23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bCs/>
                <w:color w:val="424242"/>
                <w:sz w:val="18"/>
                <w:szCs w:val="18"/>
              </w:rPr>
              <w:t xml:space="preserve">Distúrbio do Sono</w:t>
            </w:r>
          </w:p>
        </w:tc>
        <w:tc>
          <w:tcPr>
            <w:tcW w:type="dxa" w:w="3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Privação de sono grave, fragmentação, hipercapnia noturna</w:t>
            </w:r>
          </w:p>
        </w:tc>
        <w:tc>
          <w:tcPr>
            <w:tcW w:type="dxa" w:w="2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Protocolo de sono, VNI noturna se necessário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424242"/>
                <w:sz w:val="18"/>
                <w:szCs w:val="18"/>
              </w:rPr>
              <w:t xml:space="preserve">Desnutrição/Metabólico</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Caquexia, hipercapnia por excesso carboidrato, hipotireoidismo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Suporte nutricional adequado, oximetria esofágica</w:t>
            </w:r>
          </w:p>
        </w:tc>
      </w:tr>
      <w:tr>
        <w:tc>
          <w:tcPr>
            <w:tcW w:type="dxa" w:w="7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w:t>
            </w:r>
          </w:p>
        </w:tc>
        <w:tc>
          <w:tcPr>
            <w:tcW w:type="dxa" w:w="23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bCs/>
                <w:color w:val="424242"/>
                <w:sz w:val="18"/>
                <w:szCs w:val="18"/>
              </w:rPr>
              <w:t xml:space="preserve">Desequilíbrio Hidroel.</w:t>
            </w:r>
          </w:p>
        </w:tc>
        <w:tc>
          <w:tcPr>
            <w:tcW w:type="dxa" w:w="3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Hipofosfatemia (fraqueza diafragmática!), hipomagnesemia, hipocalcemia</w:t>
            </w:r>
          </w:p>
        </w:tc>
        <w:tc>
          <w:tcPr>
            <w:tcW w:type="dxa" w:w="2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Fosfato IV se &lt; 1,5 mg/dL</w:t>
            </w:r>
          </w:p>
        </w:tc>
      </w:tr>
    </w:tbl>
    <w:p>
      <w:r>
        <w:rPr>
          <w:sz w:val="16"/>
          <w:szCs w:val="16"/>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gridSpan w:val="1"/>
            <w:tcBorders>
              <w:top w:val="single" w:color="F57F17" w:sz="1"/>
              <w:left w:val="single" w:color="F57F17" w:sz="1"/>
              <w:bottom w:val="single" w:color="F57F17" w:sz="1"/>
              <w:right w:val="single" w:color="F57F17" w:sz="1"/>
            </w:tcBorders>
            <w:shd w:fill="F57F17" w:val="clear"/>
            <w:tcMar>
              <w:top w:type="dxa" w:w="100"/>
              <w:left w:type="dxa" w:w="160"/>
              <w:bottom w:type="dxa" w:w="100"/>
              <w:right w:type="dxa" w:w="160"/>
            </w:tcMar>
          </w:tcPr>
          <w:p>
            <w:r>
              <w:rPr>
                <w:rFonts w:ascii="Arial" w:cs="Arial" w:eastAsia="Arial" w:hAnsi="Arial"/>
                <w:b/>
                <w:bCs/>
                <w:color w:val="424242"/>
                <w:sz w:val="20"/>
                <w:szCs w:val="20"/>
              </w:rPr>
              <w:t xml:space="preserve">⚡ DETALHE IMPORTANTE — Isquemia Cardíaca Induzida pelo Desmame</w:t>
            </w:r>
          </w:p>
        </w:tc>
      </w:tr>
      <w:tr>
        <w:tc>
          <w:tcPr>
            <w:tcW w:type="dxa" w:w="9200"/>
            <w:tcBorders>
              <w:top w:val="single" w:color="F57F17" w:sz="1"/>
              <w:left w:val="single" w:color="F57F17" w:sz="1"/>
              <w:bottom w:val="single" w:color="F57F17" w:sz="1"/>
              <w:right w:val="single" w:color="F57F17" w:sz="1"/>
            </w:tcBorders>
            <w:shd w:fill="FFFFFF" w:val="clear"/>
            <w:tcMar>
              <w:top w:type="dxa" w:w="50"/>
              <w:left w:type="dxa" w:w="160"/>
              <w:bottom w:type="dxa" w:w="50"/>
              <w:right w:type="dxa" w:w="160"/>
            </w:tcMar>
          </w:tcPr>
          <w:p>
            <w:r>
              <w:rPr>
                <w:rFonts w:ascii="Arial" w:cs="Arial" w:eastAsia="Arial" w:hAnsi="Arial"/>
                <w:color w:val="424242"/>
                <w:sz w:val="18"/>
                <w:szCs w:val="18"/>
              </w:rPr>
              <w:t xml:space="preserve">O desmame = exercício físico intenso para o VE: aumento do trabalho respiratório → ↑ pré-carga + pós-carga → isquemia subendocárdica silenciosa</w:t>
            </w:r>
          </w:p>
        </w:tc>
      </w:tr>
      <w:tr>
        <w:tc>
          <w:tcPr>
            <w:tcW w:type="dxa" w:w="9200"/>
            <w:tcBorders>
              <w:top w:val="single" w:color="F57F17" w:sz="1"/>
              <w:left w:val="single" w:color="F57F17" w:sz="1"/>
              <w:bottom w:val="single" w:color="F57F17" w:sz="1"/>
              <w:right w:val="single" w:color="F57F17" w:sz="1"/>
            </w:tcBorders>
            <w:shd w:fill="FFFFFF" w:val="clear"/>
            <w:tcMar>
              <w:top w:type="dxa" w:w="50"/>
              <w:left w:type="dxa" w:w="160"/>
              <w:bottom w:type="dxa" w:w="50"/>
              <w:right w:type="dxa" w:w="160"/>
            </w:tcMar>
          </w:tcPr>
          <w:p>
            <w:r>
              <w:rPr>
                <w:rFonts w:ascii="Arial" w:cs="Arial" w:eastAsia="Arial" w:hAnsi="Arial"/>
                <w:color w:val="424242"/>
                <w:sz w:val="18"/>
                <w:szCs w:val="18"/>
              </w:rPr>
              <w:t xml:space="preserve">Incidência: 10-20% das falhas de desmame têm componente cardiovascular oculto</w:t>
            </w:r>
          </w:p>
        </w:tc>
      </w:tr>
      <w:tr>
        <w:tc>
          <w:tcPr>
            <w:tcW w:type="dxa" w:w="9200"/>
            <w:tcBorders>
              <w:top w:val="single" w:color="F57F17" w:sz="1"/>
              <w:left w:val="single" w:color="F57F17" w:sz="1"/>
              <w:bottom w:val="single" w:color="F57F17" w:sz="1"/>
              <w:right w:val="single" w:color="F57F17" w:sz="1"/>
            </w:tcBorders>
            <w:shd w:fill="FFFFFF" w:val="clear"/>
            <w:tcMar>
              <w:top w:type="dxa" w:w="50"/>
              <w:left w:type="dxa" w:w="160"/>
              <w:bottom w:type="dxa" w:w="50"/>
              <w:right w:type="dxa" w:w="160"/>
            </w:tcMar>
          </w:tcPr>
          <w:p>
            <w:r>
              <w:rPr>
                <w:rFonts w:ascii="Arial" w:cs="Arial" w:eastAsia="Arial" w:hAnsi="Arial"/>
                <w:color w:val="424242"/>
                <w:sz w:val="18"/>
                <w:szCs w:val="18"/>
              </w:rPr>
              <w:t xml:space="preserve">Investigar: BNP seriado, troponina antes/durante/após SBT, POCUS cardíaco com VCI e função VE</w:t>
            </w:r>
          </w:p>
        </w:tc>
      </w:tr>
      <w:tr>
        <w:tc>
          <w:tcPr>
            <w:tcW w:type="dxa" w:w="9200"/>
            <w:tcBorders>
              <w:top w:val="single" w:color="F57F17" w:sz="1"/>
              <w:left w:val="single" w:color="F57F17" w:sz="1"/>
              <w:bottom w:val="single" w:color="F57F17" w:sz="1"/>
              <w:right w:val="single" w:color="F57F17" w:sz="1"/>
            </w:tcBorders>
            <w:shd w:fill="FFFFFF" w:val="clear"/>
            <w:tcMar>
              <w:top w:type="dxa" w:w="50"/>
              <w:left w:type="dxa" w:w="160"/>
              <w:bottom w:type="dxa" w:w="50"/>
              <w:right w:type="dxa" w:w="160"/>
            </w:tcMar>
          </w:tcPr>
          <w:p>
            <w:r>
              <w:rPr>
                <w:rFonts w:ascii="Arial" w:cs="Arial" w:eastAsia="Arial" w:hAnsi="Arial"/>
                <w:color w:val="424242"/>
                <w:sz w:val="18"/>
                <w:szCs w:val="18"/>
              </w:rPr>
              <w:t xml:space="preserve">Conduta: diurético IV (furosemida) antes do SBT em pacientes com IC/disfunção diastólica → melhora taxa de sucesso</w:t>
            </w:r>
          </w:p>
        </w:tc>
      </w:tr>
      <w:tr>
        <w:tc>
          <w:tcPr>
            <w:tcW w:type="dxa" w:w="9200"/>
            <w:tcBorders>
              <w:top w:val="single" w:color="F57F17" w:sz="1"/>
              <w:left w:val="single" w:color="F57F17" w:sz="1"/>
              <w:bottom w:val="single" w:color="F57F17" w:sz="1"/>
              <w:right w:val="single" w:color="F57F17" w:sz="1"/>
            </w:tcBorders>
            <w:shd w:fill="FFFFFF" w:val="clear"/>
            <w:tcMar>
              <w:top w:type="dxa" w:w="50"/>
              <w:left w:type="dxa" w:w="160"/>
              <w:bottom w:type="dxa" w:w="50"/>
              <w:right w:type="dxa" w:w="160"/>
            </w:tcMar>
          </w:tcPr>
          <w:p>
            <w:r>
              <w:rPr>
                <w:rFonts w:ascii="Arial" w:cs="Arial" w:eastAsia="Arial" w:hAnsi="Arial"/>
                <w:color w:val="424242"/>
                <w:sz w:val="18"/>
                <w:szCs w:val="18"/>
              </w:rPr>
              <w:t xml:space="preserve">Referência: Cabello et al., Intensive Care Med 2010</w:t>
            </w:r>
          </w:p>
        </w:tc>
      </w:tr>
    </w:tbl>
    <w:p>
      <w:r>
        <w:rPr>
          <w:sz w:val="16"/>
          <w:szCs w:val="16"/>
        </w:rPr>
        <w:t xml:space="preserve"/>
      </w:r>
    </w:p>
    <w:p>
      <w:r>
        <w:rPr>
          <w:sz w:val="16"/>
          <w:szCs w:val="16"/>
        </w:rPr>
        <w:t xml:space="preserve"/>
      </w:r>
    </w:p>
    <w:p>
      <w:pPr>
        <w:pBdr>
          <w:bottom w:val="single" w:color="2E75B6" w:sz="8" w:space="1"/>
        </w:pBdr>
        <w:spacing w:after="160" w:before="360"/>
      </w:pPr>
      <w:r>
        <w:rPr>
          <w:rFonts w:ascii="Arial" w:cs="Arial" w:eastAsia="Arial" w:hAnsi="Arial"/>
          <w:b/>
          <w:bCs/>
          <w:caps/>
          <w:color w:val="1B3A6B"/>
          <w:sz w:val="34"/>
          <w:szCs w:val="34"/>
        </w:rPr>
        <w:t xml:space="preserve">6. EXTUBAÇÃO — CRITÉRIOS, TÉCNICA E EXTUBAÇÃO DIFÍCIL</w:t>
      </w:r>
    </w:p>
    <w:p>
      <w:pPr>
        <w:spacing w:after="120" w:before="240"/>
      </w:pPr>
      <w:r>
        <w:rPr>
          <w:rFonts w:ascii="Arial" w:cs="Arial" w:eastAsia="Arial" w:hAnsi="Arial"/>
          <w:b/>
          <w:bCs/>
          <w:color w:val="2E75B6"/>
          <w:sz w:val="26"/>
          <w:szCs w:val="26"/>
        </w:rPr>
        <w:t xml:space="preserve">6.1 Critérios para Extubação após SBT Bem-Sucedido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gridSpan w:val="1"/>
            <w:tcBorders>
              <w:top w:val="single" w:color="FFFFFF" w:sz="1"/>
              <w:left w:val="single" w:color="FFFFFF" w:sz="1"/>
              <w:bottom w:val="single" w:color="FFFFFF" w:sz="1"/>
              <w:right w:val="single" w:color="FFFFFF"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Parâmetro</w:t>
            </w:r>
          </w:p>
        </w:tc>
        <w:tc>
          <w:tcPr>
            <w:tcW w:type="dxa" w:w="6200"/>
            <w:gridSpan w:val="1"/>
            <w:tcBorders>
              <w:top w:val="single" w:color="FFFFFF" w:sz="1"/>
              <w:left w:val="single" w:color="FFFFFF" w:sz="1"/>
              <w:bottom w:val="single" w:color="FFFFFF" w:sz="1"/>
              <w:right w:val="single" w:color="FFFFFF"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Critério</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2E7D32"/>
                <w:sz w:val="18"/>
                <w:szCs w:val="18"/>
              </w:rPr>
              <w:t xml:space="preserve">Tosse eficaz</w:t>
            </w:r>
          </w:p>
        </w:tc>
        <w:tc>
          <w:tcPr>
            <w:tcW w:type="dxa" w:w="6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Paciente capaz de tossir sob comando e limpar secreções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D32"/>
                <w:sz w:val="18"/>
                <w:szCs w:val="18"/>
              </w:rPr>
              <w:t xml:space="preserve">Deglutição</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Reflexo de deglutição presente (swallowing test: 3 mL água)</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2E7D32"/>
                <w:sz w:val="18"/>
                <w:szCs w:val="18"/>
              </w:rPr>
              <w:t xml:space="preserve">Consciência</w:t>
            </w:r>
          </w:p>
        </w:tc>
        <w:tc>
          <w:tcPr>
            <w:tcW w:type="dxa" w:w="6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Segue comandos simples: 'Abra os olhos', 'Aperte minha mão', 'Mostre 2 dedos'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D32"/>
                <w:sz w:val="18"/>
                <w:szCs w:val="18"/>
              </w:rPr>
              <w:t xml:space="preserve">Secreção</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Quantidade manejável (aspiração ≤ q2h suficiente)</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2E7D32"/>
                <w:sz w:val="18"/>
                <w:szCs w:val="18"/>
              </w:rPr>
              <w:t xml:space="preserve">Via aérea</w:t>
            </w:r>
          </w:p>
        </w:tc>
        <w:tc>
          <w:tcPr>
            <w:tcW w:type="dxa" w:w="6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Sem edema laríngeo esperado; cuff leak test ≥ 110 mL ou 15,5% (discutível)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D32"/>
                <w:sz w:val="18"/>
                <w:szCs w:val="18"/>
              </w:rPr>
              <w:t xml:space="preserve">Suporte vasoativo</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Vasopressor em desmame ou ausente (dose baixa de nora aceitável)</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2E7D32"/>
                <w:sz w:val="18"/>
                <w:szCs w:val="18"/>
              </w:rPr>
              <w:t xml:space="preserve">Acidose</w:t>
            </w:r>
          </w:p>
        </w:tc>
        <w:tc>
          <w:tcPr>
            <w:tcW w:type="dxa" w:w="6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pH ≥ 7,25; sem crise de descompensação aguda</w:t>
            </w:r>
          </w:p>
        </w:tc>
      </w:tr>
    </w:tbl>
    <w:p>
      <w:r>
        <w:rPr>
          <w:sz w:val="16"/>
          <w:szCs w:val="16"/>
        </w:rPr>
        <w:t xml:space="preserve"/>
      </w:r>
    </w:p>
    <w:p>
      <w:pPr>
        <w:spacing w:after="120" w:before="240"/>
      </w:pPr>
      <w:r>
        <w:rPr>
          <w:rFonts w:ascii="Arial" w:cs="Arial" w:eastAsia="Arial" w:hAnsi="Arial"/>
          <w:b/>
          <w:bCs/>
          <w:color w:val="2E75B6"/>
          <w:sz w:val="26"/>
          <w:szCs w:val="26"/>
        </w:rPr>
        <w:t xml:space="preserve">6.2 Cuff Leak Test (Teste de Vazamento do Cuff)</w:t>
      </w:r>
    </w:p>
    <w:p>
      <w:pPr>
        <w:spacing w:after="80"/>
      </w:pPr>
      <w:r>
        <w:rPr>
          <w:rFonts w:ascii="Arial" w:cs="Arial" w:eastAsia="Arial" w:hAnsi="Arial"/>
          <w:color w:val="424242"/>
          <w:sz w:val="20"/>
          <w:szCs w:val="20"/>
        </w:rPr>
        <w:t xml:space="preserve">TÉCNICA: Em modo VCV — medir VT expirado COM e SEM cuff inflado (desinsuflado). Diferença &lt; 110 mL ou &lt; 15,5% do VT programado = ALTO risco de estridor pós-extubação (especialmente mulheres e intubação &gt; 36h).</w:t>
      </w:r>
    </w:p>
    <w:p>
      <w:pPr>
        <w:spacing w:after="80"/>
      </w:pPr>
      <w:r>
        <w:rPr>
          <w:rFonts w:ascii="Arial" w:cs="Arial" w:eastAsia="Arial" w:hAnsi="Arial"/>
          <w:color w:val="424242"/>
          <w:sz w:val="20"/>
          <w:szCs w:val="20"/>
        </w:rPr>
        <w:t xml:space="preserve">CONDUTA SE CUFF LEAK NEGATIVO: Metilprednisolona 20 mg IV q4h por 12h antes da extubação → reduz estridor pós-extubação (Cheng 2006, NNT = 4 para estridor). Considerar extubação para VMNI imediata.</w:t>
      </w:r>
    </w:p>
    <w:p>
      <w:r>
        <w:rPr>
          <w:sz w:val="16"/>
          <w:szCs w:val="16"/>
        </w:rPr>
        <w:t xml:space="preserve"/>
      </w:r>
    </w:p>
    <w:p>
      <w:pPr>
        <w:spacing w:after="120" w:before="240"/>
      </w:pPr>
      <w:r>
        <w:rPr>
          <w:rFonts w:ascii="Arial" w:cs="Arial" w:eastAsia="Arial" w:hAnsi="Arial"/>
          <w:b/>
          <w:bCs/>
          <w:color w:val="2E75B6"/>
          <w:sz w:val="26"/>
          <w:szCs w:val="26"/>
        </w:rPr>
        <w:t xml:space="preserve">6.3 Extubação de Alto Risco — Estratégias de Proteção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gridSpan w:val="1"/>
            <w:tcBorders>
              <w:top w:val="single" w:color="FFFFFF" w:sz="1"/>
              <w:left w:val="single" w:color="FFFFFF" w:sz="1"/>
              <w:bottom w:val="single" w:color="FFFFFF" w:sz="1"/>
              <w:right w:val="single" w:color="FFFFFF" w:sz="1"/>
            </w:tcBorders>
            <w:shd w:fill="C6282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Cenário</w:t>
            </w:r>
          </w:p>
        </w:tc>
        <w:tc>
          <w:tcPr>
            <w:tcW w:type="dxa" w:w="6800"/>
            <w:gridSpan w:val="1"/>
            <w:tcBorders>
              <w:top w:val="single" w:color="FFFFFF" w:sz="1"/>
              <w:left w:val="single" w:color="FFFFFF" w:sz="1"/>
              <w:bottom w:val="single" w:color="FFFFFF" w:sz="1"/>
              <w:right w:val="single" w:color="FFFFFF" w:sz="1"/>
            </w:tcBorders>
            <w:shd w:fill="C6282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Estratégia</w:t>
            </w:r>
          </w:p>
        </w:tc>
      </w:tr>
      <w:tr>
        <w:tc>
          <w:tcPr>
            <w:tcW w:type="dxa" w:w="2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bCs/>
                <w:color w:val="C62828"/>
                <w:sz w:val="18"/>
                <w:szCs w:val="18"/>
              </w:rPr>
              <w:t xml:space="preserve">DPOC / Hipercapnia crônica</w:t>
            </w:r>
          </w:p>
        </w:tc>
        <w:tc>
          <w:tcPr>
            <w:tcW w:type="dxa" w:w="6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VNI profilática imediata após extubação (Ferrer 2006, NNT ~5 para falha). BiPAP 10/5 cmH2O.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62828"/>
                <w:sz w:val="18"/>
                <w:szCs w:val="18"/>
              </w:rPr>
              <w:t xml:space="preserve">IC / Cardíaco</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VNI (CPAP ou BiPAP) pós-extubação se BNP &gt; 500. Furosemida IV pré-extubação.</w:t>
            </w:r>
          </w:p>
        </w:tc>
      </w:tr>
      <w:tr>
        <w:tc>
          <w:tcPr>
            <w:tcW w:type="dxa" w:w="2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bCs/>
                <w:color w:val="C62828"/>
                <w:sz w:val="18"/>
                <w:szCs w:val="18"/>
              </w:rPr>
              <w:t xml:space="preserve">Pós-operatório abdominal</w:t>
            </w:r>
          </w:p>
        </w:tc>
        <w:tc>
          <w:tcPr>
            <w:tcW w:type="dxa" w:w="6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VNI profilática reduz reintubação (Squadrone 2005: CPAP pós-op reduz 50% falha).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62828"/>
                <w:sz w:val="18"/>
                <w:szCs w:val="18"/>
              </w:rPr>
              <w:t xml:space="preserve">Alto risco (≥ 2 fatores risco)</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Considerar HFNC (Cânula Nasal de Alto Fluxo) após extubação. Hernandez 2016: HFNC não inferior à VNI em risco moderado.</w:t>
            </w:r>
          </w:p>
        </w:tc>
      </w:tr>
      <w:tr>
        <w:tc>
          <w:tcPr>
            <w:tcW w:type="dxa" w:w="2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bCs/>
                <w:color w:val="C62828"/>
                <w:sz w:val="18"/>
                <w:szCs w:val="18"/>
              </w:rPr>
              <w:t xml:space="preserve">Estridor pós-extubação</w:t>
            </w:r>
          </w:p>
        </w:tc>
        <w:tc>
          <w:tcPr>
            <w:tcW w:type="dxa" w:w="6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Adrenalina inalatória (1 mg em 4 mL SF) + dexametasona 10 mg IV. Se grave: reintubação imediata.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62828"/>
                <w:sz w:val="18"/>
                <w:szCs w:val="18"/>
              </w:rPr>
              <w:t xml:space="preserve">Falha de extubação (&lt; 72h)</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Reintubação + investigar causa. Taxa reintubação ideal: 10-15%. &gt; 15% = processo de desmame inadequado.</w:t>
            </w:r>
          </w:p>
        </w:tc>
      </w:tr>
    </w:tbl>
    <w:p>
      <w:r>
        <w:rPr>
          <w:sz w:val="16"/>
          <w:szCs w:val="16"/>
        </w:rPr>
        <w:t xml:space="preserve"/>
      </w:r>
    </w:p>
    <w:p>
      <w:r>
        <w:rPr>
          <w:sz w:val="16"/>
          <w:szCs w:val="16"/>
        </w:rPr>
        <w:t xml:space="preserve"/>
      </w:r>
    </w:p>
    <w:p>
      <w:pPr>
        <w:pBdr>
          <w:bottom w:val="single" w:color="2E75B6" w:sz="8" w:space="1"/>
        </w:pBdr>
        <w:spacing w:after="160" w:before="360"/>
      </w:pPr>
      <w:r>
        <w:rPr>
          <w:rFonts w:ascii="Arial" w:cs="Arial" w:eastAsia="Arial" w:hAnsi="Arial"/>
          <w:b/>
          <w:bCs/>
          <w:caps/>
          <w:color w:val="1B3A6B"/>
          <w:sz w:val="34"/>
          <w:szCs w:val="34"/>
        </w:rPr>
        <w:t xml:space="preserve">7. VNI / HFNC PÓS-EXTUBAÇÃO — EVIDÊNCIAS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600"/>
      </w:tblGrid>
      <w:tr>
        <w:tc>
          <w:tcPr>
            <w:tcW w:type="dxa" w:w="2000"/>
            <w:gridSpan w:val="1"/>
            <w:tcBorders>
              <w:top w:val="single" w:color="FFFFFF" w:sz="1"/>
              <w:left w:val="single" w:color="FFFFFF" w:sz="1"/>
              <w:bottom w:val="single" w:color="FFFFFF" w:sz="1"/>
              <w:right w:val="single" w:color="FFFFFF" w:sz="1"/>
            </w:tcBorders>
            <w:shd w:fill="6A1B9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Estratégia</w:t>
            </w:r>
          </w:p>
        </w:tc>
        <w:tc>
          <w:tcPr>
            <w:tcW w:type="dxa" w:w="3600"/>
            <w:gridSpan w:val="1"/>
            <w:tcBorders>
              <w:top w:val="single" w:color="FFFFFF" w:sz="1"/>
              <w:left w:val="single" w:color="FFFFFF" w:sz="1"/>
              <w:bottom w:val="single" w:color="FFFFFF" w:sz="1"/>
              <w:right w:val="single" w:color="FFFFFF" w:sz="1"/>
            </w:tcBorders>
            <w:shd w:fill="6A1B9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Indicação / Evidência</w:t>
            </w:r>
          </w:p>
        </w:tc>
        <w:tc>
          <w:tcPr>
            <w:tcW w:type="dxa" w:w="3600"/>
            <w:gridSpan w:val="1"/>
            <w:tcBorders>
              <w:top w:val="single" w:color="FFFFFF" w:sz="1"/>
              <w:left w:val="single" w:color="FFFFFF" w:sz="1"/>
              <w:bottom w:val="single" w:color="FFFFFF" w:sz="1"/>
              <w:right w:val="single" w:color="FFFFFF" w:sz="1"/>
            </w:tcBorders>
            <w:shd w:fill="6A1B9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Parâmetros</w:t>
            </w:r>
          </w:p>
        </w:tc>
      </w:tr>
      <w:tr>
        <w:tc>
          <w:tcPr>
            <w:tcW w:type="dxa" w:w="2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6A1B9A"/>
                <w:sz w:val="18"/>
                <w:szCs w:val="18"/>
              </w:rPr>
              <w:t xml:space="preserve">VNI Profilática</w:t>
            </w:r>
          </w:p>
        </w:tc>
        <w:tc>
          <w:tcPr>
            <w:tcW w:type="dxa" w:w="3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DPOC (Ferrer 2006), IC, pós-ABD alto risco. Inicia imediatamente após extubação sem aguardar sinais de falha.</w:t>
            </w:r>
          </w:p>
        </w:tc>
        <w:tc>
          <w:tcPr>
            <w:tcW w:type="dxa" w:w="3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BiPAP: IPAP 10-16 / EPAP 4-6 cmH2O. FiO2 titulada. Mínimo 8h nas 24h pós-extubação.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6A1B9A"/>
                <w:sz w:val="18"/>
                <w:szCs w:val="18"/>
              </w:rPr>
              <w:t xml:space="preserve">VNI Terapêutica (resgate)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Falha pós-extubação com IRpA hipoxêmica ou hipercapnia. ATENÇÃO: não atrasa reintubação.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BiPAP ou CPAP. Reavaliar em 1-2h. Sem melhora = reintubação IMEDIATA.</w:t>
            </w:r>
          </w:p>
        </w:tc>
      </w:tr>
      <w:tr>
        <w:tc>
          <w:tcPr>
            <w:tcW w:type="dxa" w:w="2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6A1B9A"/>
                <w:sz w:val="18"/>
                <w:szCs w:val="18"/>
              </w:rPr>
              <w:t xml:space="preserve">HFNC (Cânula Alto Fluxo)</w:t>
            </w:r>
          </w:p>
        </w:tc>
        <w:tc>
          <w:tcPr>
            <w:tcW w:type="dxa" w:w="3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Pós-extubação de risco moderado (Hernandez 2016). Confortável. Menor clearance de secreção vs VNI.</w:t>
            </w:r>
          </w:p>
        </w:tc>
        <w:tc>
          <w:tcPr>
            <w:tcW w:type="dxa" w:w="3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Fluxo 30-60 L/min. FiO2 titulada. Temperatura 37°C.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6A1B9A"/>
                <w:sz w:val="18"/>
                <w:szCs w:val="18"/>
              </w:rPr>
              <w:t xml:space="preserve">HFNC vs VNI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Frat 2015: HFNC melhor que VNI em IRA hipoxêmica grave. Hernandez 2016: HFNC ≠ VNI em pós-extubação alto risco.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Escolher conforme causa: Hipoxemia pura → HFNC. Hipercapnia/IC → VNI preferencial.</w:t>
            </w:r>
          </w:p>
        </w:tc>
      </w:tr>
    </w:tbl>
    <w:p>
      <w:r>
        <w:rPr>
          <w:sz w:val="16"/>
          <w:szCs w:val="16"/>
        </w:rPr>
        <w:t xml:space="preserve"/>
      </w:r>
    </w:p>
    <w:p>
      <w:r>
        <w:rPr>
          <w:sz w:val="16"/>
          <w:szCs w:val="16"/>
        </w:rPr>
        <w:t xml:space="preserve"/>
      </w:r>
    </w:p>
    <w:p>
      <w:pPr>
        <w:pBdr>
          <w:bottom w:val="single" w:color="2E75B6" w:sz="8" w:space="1"/>
        </w:pBdr>
        <w:spacing w:after="160" w:before="360"/>
      </w:pPr>
      <w:r>
        <w:rPr>
          <w:rFonts w:ascii="Arial" w:cs="Arial" w:eastAsia="Arial" w:hAnsi="Arial"/>
          <w:b/>
          <w:bCs/>
          <w:caps/>
          <w:color w:val="1B3A6B"/>
          <w:sz w:val="34"/>
          <w:szCs w:val="34"/>
        </w:rPr>
        <w:t xml:space="preserve">8. TRIALS FUNDAMENTAIS — DESMAME DE VM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3200"/>
        <w:gridCol w:w="1800"/>
      </w:tblGrid>
      <w:tr>
        <w:tc>
          <w:tcPr>
            <w:tcW w:type="dxa" w:w="2600"/>
            <w:gridSpan w:val="1"/>
            <w:tcBorders>
              <w:top w:val="single" w:color="FFFFFF" w:sz="1"/>
              <w:left w:val="single" w:color="FFFFFF" w:sz="1"/>
              <w:bottom w:val="single" w:color="FFFFFF" w:sz="1"/>
              <w:right w:val="single" w:color="FFFFFF" w:sz="1"/>
            </w:tcBorders>
            <w:shd w:fill="0D47A1"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Trial / Autor / Ano</w:t>
            </w:r>
          </w:p>
        </w:tc>
        <w:tc>
          <w:tcPr>
            <w:tcW w:type="dxa" w:w="1600"/>
            <w:gridSpan w:val="1"/>
            <w:tcBorders>
              <w:top w:val="single" w:color="FFFFFF" w:sz="1"/>
              <w:left w:val="single" w:color="FFFFFF" w:sz="1"/>
              <w:bottom w:val="single" w:color="FFFFFF" w:sz="1"/>
              <w:right w:val="single" w:color="FFFFFF" w:sz="1"/>
            </w:tcBorders>
            <w:shd w:fill="0D47A1"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 / Intervenção</w:t>
            </w:r>
          </w:p>
        </w:tc>
        <w:tc>
          <w:tcPr>
            <w:tcW w:type="dxa" w:w="3200"/>
            <w:gridSpan w:val="1"/>
            <w:tcBorders>
              <w:top w:val="single" w:color="FFFFFF" w:sz="1"/>
              <w:left w:val="single" w:color="FFFFFF" w:sz="1"/>
              <w:bottom w:val="single" w:color="FFFFFF" w:sz="1"/>
              <w:right w:val="single" w:color="FFFFFF" w:sz="1"/>
            </w:tcBorders>
            <w:shd w:fill="0D47A1"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Resultado Principal</w:t>
            </w:r>
          </w:p>
        </w:tc>
        <w:tc>
          <w:tcPr>
            <w:tcW w:type="dxa" w:w="1800"/>
            <w:gridSpan w:val="1"/>
            <w:tcBorders>
              <w:top w:val="single" w:color="FFFFFF" w:sz="1"/>
              <w:left w:val="single" w:color="FFFFFF" w:sz="1"/>
              <w:bottom w:val="single" w:color="FFFFFF" w:sz="1"/>
              <w:right w:val="single" w:color="FFFFFF" w:sz="1"/>
            </w:tcBorders>
            <w:shd w:fill="0D47A1"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Impacto</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left"/>
            </w:pPr>
            <w:r>
              <w:rPr>
                <w:rFonts w:ascii="Arial" w:cs="Arial" w:eastAsia="Arial" w:hAnsi="Arial"/>
                <w:b/>
                <w:bCs/>
                <w:color w:val="0D47A1"/>
                <w:sz w:val="18"/>
                <w:szCs w:val="18"/>
              </w:rPr>
              <w:t xml:space="preserve">Yang &amp; Tobin — NEJM 1991</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36 pts / f/VT</w:t>
            </w:r>
          </w:p>
        </w:tc>
        <w:tc>
          <w:tcPr>
            <w:tcW w:type="dxa" w:w="3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f/VT &lt; 80 = Sn 97% sucesso. Índice mais usado.</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Padrão ouro índice preditivo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D47A1"/>
                <w:sz w:val="18"/>
                <w:szCs w:val="18"/>
              </w:rPr>
              <w:t xml:space="preserve">Brochard et al. — NEJM 1994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456 pts / SBT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PSV = T-piece = SIMV. PSV melhor tolerada.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Equivalência PSV x T-piece</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left"/>
            </w:pPr>
            <w:r>
              <w:rPr>
                <w:rFonts w:ascii="Arial" w:cs="Arial" w:eastAsia="Arial" w:hAnsi="Arial"/>
                <w:b/>
                <w:bCs/>
                <w:color w:val="0D47A1"/>
                <w:sz w:val="18"/>
                <w:szCs w:val="18"/>
              </w:rPr>
              <w:t xml:space="preserve">Esteban et al. — NEJM 1995</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130 pts / SBT</w:t>
            </w:r>
          </w:p>
        </w:tc>
        <w:tc>
          <w:tcPr>
            <w:tcW w:type="dxa" w:w="3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SBT 30min = 2h (mesma eficácia). Menos é mais.</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30 min SBT suficiente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D47A1"/>
                <w:sz w:val="18"/>
                <w:szCs w:val="18"/>
              </w:rPr>
              <w:t xml:space="preserve">Girard et al. — Lancet 2008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336 pts / SAT+SBT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SAT+SBT: menos VM, menos delirium, -1 ano mortalidade.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Protocolo aBCDE</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left"/>
            </w:pPr>
            <w:r>
              <w:rPr>
                <w:rFonts w:ascii="Arial" w:cs="Arial" w:eastAsia="Arial" w:hAnsi="Arial"/>
                <w:b/>
                <w:bCs/>
                <w:color w:val="0D47A1"/>
                <w:sz w:val="18"/>
                <w:szCs w:val="18"/>
              </w:rPr>
              <w:t xml:space="preserve">Ferrer et al. — Am J RCC 2006</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162 pts / VNI DPOC</w:t>
            </w:r>
          </w:p>
        </w:tc>
        <w:tc>
          <w:tcPr>
            <w:tcW w:type="dxa" w:w="3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VNI profilática: reduz falha 52%, reduce VM e UTI.</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VNI padrão em DPOC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D47A1"/>
                <w:sz w:val="18"/>
                <w:szCs w:val="18"/>
              </w:rPr>
              <w:t xml:space="preserve">Hernandez et al. — JAMA 2016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527 pts / HFNC vs VNI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HFNC não-inferior a VNI em pós-ext. alto risco.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HFNC alternativa aceitável</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left"/>
            </w:pPr>
            <w:r>
              <w:rPr>
                <w:rFonts w:ascii="Arial" w:cs="Arial" w:eastAsia="Arial" w:hAnsi="Arial"/>
                <w:b/>
                <w:bCs/>
                <w:color w:val="0D47A1"/>
                <w:sz w:val="18"/>
                <w:szCs w:val="18"/>
              </w:rPr>
              <w:t xml:space="preserve">Frat et al. — NEJM 2015</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310 pts / HFNC IRA hipox</w:t>
            </w:r>
          </w:p>
        </w:tc>
        <w:tc>
          <w:tcPr>
            <w:tcW w:type="dxa" w:w="3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HFNC: menos intubação, menos mortalidade 90d.</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HFNC para IRA hipoxêmica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D47A1"/>
                <w:sz w:val="18"/>
                <w:szCs w:val="18"/>
              </w:rPr>
              <w:t xml:space="preserve">Cabello et al. — ICM 2010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50 pts / cardiopatia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10-20% falhas têm isquemia induzida por desmame.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BNP + POCUS no desmame</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left"/>
            </w:pPr>
            <w:r>
              <w:rPr>
                <w:rFonts w:ascii="Arial" w:cs="Arial" w:eastAsia="Arial" w:hAnsi="Arial"/>
                <w:b/>
                <w:bCs/>
                <w:color w:val="0D47A1"/>
                <w:sz w:val="18"/>
                <w:szCs w:val="18"/>
              </w:rPr>
              <w:t xml:space="preserve">Thille et al. — NEJM 2011</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130 pts / reintubação</w:t>
            </w:r>
          </w:p>
        </w:tc>
        <w:tc>
          <w:tcPr>
            <w:tcW w:type="dxa" w:w="3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Reintubação precoce (&lt; 12h) melhor que VNI resgate tardio.</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Não atrasar reintubação</w:t>
            </w:r>
          </w:p>
        </w:tc>
      </w:tr>
    </w:tbl>
    <w:p>
      <w:r>
        <w:rPr>
          <w:sz w:val="16"/>
          <w:szCs w:val="16"/>
        </w:rPr>
        <w:t xml:space="preserve"/>
      </w:r>
    </w:p>
    <w:p>
      <w:r>
        <w:rPr>
          <w:sz w:val="16"/>
          <w:szCs w:val="16"/>
        </w:rP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0695C" w:val="clear"/>
            <w:tcMar>
              <w:top w:type="dxa" w:w="120"/>
              <w:left w:type="dxa" w:w="200"/>
              <w:bottom w:type="dxa" w:w="120"/>
              <w:right w:type="dxa" w:w="200"/>
            </w:tcMar>
          </w:tcPr>
          <w:p>
            <w:pPr>
              <w:jc w:val="center"/>
            </w:pPr>
            <w:r>
              <w:rPr>
                <w:rFonts w:ascii="Arial" w:cs="Arial" w:eastAsia="Arial" w:hAnsi="Arial"/>
                <w:b/>
                <w:bCs/>
                <w:color w:val="FFFFFF"/>
                <w:sz w:val="32"/>
                <w:szCs w:val="32"/>
              </w:rPr>
              <w:t xml:space="preserve">🧬 BLOQUEADORES NEUROMUSCULARES NA UTI</w:t>
            </w:r>
          </w:p>
          <w:p>
            <w:pPr>
              <w:jc w:val="center"/>
            </w:pPr>
            <w:r>
              <w:rPr>
                <w:rFonts w:ascii="Arial" w:cs="Arial" w:eastAsia="Arial" w:hAnsi="Arial"/>
                <w:color w:val="E0F2F1"/>
                <w:sz w:val="20"/>
                <w:szCs w:val="20"/>
              </w:rPr>
              <w:t xml:space="preserve">Farmacologia · Monitorização TOF · Indicações · Reversão · Complicações</w:t>
            </w:r>
          </w:p>
        </w:tc>
      </w:tr>
    </w:tbl>
    <w:p>
      <w:r>
        <w:rPr>
          <w:sz w:val="16"/>
          <w:szCs w:val="16"/>
        </w:rPr>
        <w:t xml:space="preserve"/>
      </w:r>
    </w:p>
    <w:p>
      <w:pPr>
        <w:pBdr>
          <w:bottom w:val="single" w:color="2E75B6" w:sz="8" w:space="1"/>
        </w:pBdr>
        <w:spacing w:after="160" w:before="360"/>
      </w:pPr>
      <w:r>
        <w:rPr>
          <w:rFonts w:ascii="Arial" w:cs="Arial" w:eastAsia="Arial" w:hAnsi="Arial"/>
          <w:b/>
          <w:bCs/>
          <w:caps/>
          <w:color w:val="1B3A6B"/>
          <w:sz w:val="34"/>
          <w:szCs w:val="34"/>
        </w:rPr>
        <w:t xml:space="preserve">9. BLOQUEADORES NEUROMUSCULARES (BNM) — CONCEITOS</w:t>
      </w:r>
    </w:p>
    <w:p>
      <w:pPr>
        <w:spacing w:after="80"/>
      </w:pPr>
      <w:r>
        <w:rPr>
          <w:rFonts w:ascii="Arial" w:cs="Arial" w:eastAsia="Arial" w:hAnsi="Arial"/>
          <w:color w:val="424242"/>
          <w:sz w:val="20"/>
          <w:szCs w:val="20"/>
        </w:rPr>
        <w:t xml:space="preserve">BNMs (agentes bloqueadores da junção neuromuscular) produzem paralisia muscular total ao bloquear receptores nicotínicos na placa motora. Na UTI, indicados em situações específicas onde ventilação protetora ou manobras clínicas são impossíveis sem bloqueio completo.</w:t>
      </w:r>
    </w:p>
    <w:p>
      <w:r>
        <w:rPr>
          <w:sz w:val="16"/>
          <w:szCs w:val="16"/>
        </w:rPr>
        <w:t xml:space="preserve"/>
      </w:r>
    </w:p>
    <w:p>
      <w:pPr>
        <w:spacing w:after="120" w:before="240"/>
      </w:pPr>
      <w:r>
        <w:rPr>
          <w:rFonts w:ascii="Arial" w:cs="Arial" w:eastAsia="Arial" w:hAnsi="Arial"/>
          <w:b/>
          <w:bCs/>
          <w:color w:val="2E75B6"/>
          <w:sz w:val="26"/>
          <w:szCs w:val="26"/>
        </w:rPr>
        <w:t xml:space="preserve">9.1 Classificação Farmacológica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2000"/>
        <w:gridCol w:w="1200"/>
        <w:gridCol w:w="1200"/>
      </w:tblGrid>
      <w:tr>
        <w:tc>
          <w:tcPr>
            <w:tcW w:type="dxa" w:w="1600"/>
            <w:gridSpan w:val="1"/>
            <w:tcBorders>
              <w:top w:val="single" w:color="FFFFFF" w:sz="1"/>
              <w:left w:val="single" w:color="FFFFFF" w:sz="1"/>
              <w:bottom w:val="single" w:color="FFFFFF" w:sz="1"/>
              <w:right w:val="single" w:color="FFFFFF" w:sz="1"/>
            </w:tcBorders>
            <w:shd w:fill="0069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BNM</w:t>
            </w:r>
          </w:p>
        </w:tc>
        <w:tc>
          <w:tcPr>
            <w:tcW w:type="dxa" w:w="1600"/>
            <w:gridSpan w:val="1"/>
            <w:tcBorders>
              <w:top w:val="single" w:color="FFFFFF" w:sz="1"/>
              <w:left w:val="single" w:color="FFFFFF" w:sz="1"/>
              <w:bottom w:val="single" w:color="FFFFFF" w:sz="1"/>
              <w:right w:val="single" w:color="FFFFFF" w:sz="1"/>
            </w:tcBorders>
            <w:shd w:fill="0069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Classe</w:t>
            </w:r>
          </w:p>
        </w:tc>
        <w:tc>
          <w:tcPr>
            <w:tcW w:type="dxa" w:w="1600"/>
            <w:gridSpan w:val="1"/>
            <w:tcBorders>
              <w:top w:val="single" w:color="FFFFFF" w:sz="1"/>
              <w:left w:val="single" w:color="FFFFFF" w:sz="1"/>
              <w:bottom w:val="single" w:color="FFFFFF" w:sz="1"/>
              <w:right w:val="single" w:color="FFFFFF" w:sz="1"/>
            </w:tcBorders>
            <w:shd w:fill="0069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Dose IOT</w:t>
            </w:r>
          </w:p>
        </w:tc>
        <w:tc>
          <w:tcPr>
            <w:tcW w:type="dxa" w:w="2000"/>
            <w:gridSpan w:val="1"/>
            <w:tcBorders>
              <w:top w:val="single" w:color="FFFFFF" w:sz="1"/>
              <w:left w:val="single" w:color="FFFFFF" w:sz="1"/>
              <w:bottom w:val="single" w:color="FFFFFF" w:sz="1"/>
              <w:right w:val="single" w:color="FFFFFF" w:sz="1"/>
            </w:tcBorders>
            <w:shd w:fill="0069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Dose IC UTI</w:t>
            </w:r>
          </w:p>
        </w:tc>
        <w:tc>
          <w:tcPr>
            <w:tcW w:type="dxa" w:w="1200"/>
            <w:gridSpan w:val="1"/>
            <w:tcBorders>
              <w:top w:val="single" w:color="FFFFFF" w:sz="1"/>
              <w:left w:val="single" w:color="FFFFFF" w:sz="1"/>
              <w:bottom w:val="single" w:color="FFFFFF" w:sz="1"/>
              <w:right w:val="single" w:color="FFFFFF" w:sz="1"/>
            </w:tcBorders>
            <w:shd w:fill="0069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Duração</w:t>
            </w:r>
          </w:p>
        </w:tc>
        <w:tc>
          <w:tcPr>
            <w:tcW w:type="dxa" w:w="1200"/>
            <w:gridSpan w:val="1"/>
            <w:tcBorders>
              <w:top w:val="single" w:color="FFFFFF" w:sz="1"/>
              <w:left w:val="single" w:color="FFFFFF" w:sz="1"/>
              <w:bottom w:val="single" w:color="FFFFFF" w:sz="1"/>
              <w:right w:val="single" w:color="FFFFFF" w:sz="1"/>
            </w:tcBorders>
            <w:shd w:fill="0069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Eliminação</w:t>
            </w:r>
          </w:p>
        </w:tc>
      </w:tr>
      <w:tr>
        <w:tc>
          <w:tcPr>
            <w:tcW w:type="dxa" w:w="16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bCs/>
                <w:color w:val="424242"/>
                <w:sz w:val="18"/>
                <w:szCs w:val="18"/>
              </w:rPr>
              <w:t xml:space="preserve">Succinilcolina</w:t>
            </w:r>
          </w:p>
        </w:tc>
        <w:tc>
          <w:tcPr>
            <w:tcW w:type="dxa" w:w="16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Despolarizante</w:t>
            </w:r>
          </w:p>
        </w:tc>
        <w:tc>
          <w:tcPr>
            <w:tcW w:type="dxa" w:w="16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1–1,5 mg/kg IV</w:t>
            </w:r>
          </w:p>
        </w:tc>
        <w:tc>
          <w:tcPr>
            <w:tcW w:type="dxa" w:w="20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NÃO usar IC</w:t>
            </w:r>
          </w:p>
        </w:tc>
        <w:tc>
          <w:tcPr>
            <w:tcW w:type="dxa" w:w="1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5–10 min</w:t>
            </w:r>
          </w:p>
        </w:tc>
        <w:tc>
          <w:tcPr>
            <w:tcW w:type="dxa" w:w="1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Pseudocolinest.</w:t>
            </w:r>
          </w:p>
        </w:tc>
      </w:tr>
      <w:tr>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2E7D32"/>
                <w:sz w:val="18"/>
                <w:szCs w:val="18"/>
              </w:rPr>
              <w:t xml:space="preserve">Cisatracúrio</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Não-despolarizante</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0,15–0,2 mg/kg</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2E7D32"/>
                <w:sz w:val="18"/>
                <w:szCs w:val="18"/>
              </w:rPr>
              <w:t xml:space="preserve">0,06–0,18 mg/kg/h (2,5–3 mcg/kg/min)</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45–75 min</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Hofmann + esterase</w:t>
            </w:r>
          </w:p>
        </w:tc>
      </w:tr>
      <w:tr>
        <w:tc>
          <w:tcPr>
            <w:tcW w:type="dxa" w:w="16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bCs/>
                <w:color w:val="424242"/>
                <w:sz w:val="18"/>
                <w:szCs w:val="18"/>
              </w:rPr>
              <w:t xml:space="preserve">Rocurônio</w:t>
            </w:r>
          </w:p>
        </w:tc>
        <w:tc>
          <w:tcPr>
            <w:tcW w:type="dxa" w:w="16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Não-despolarizante</w:t>
            </w:r>
          </w:p>
        </w:tc>
        <w:tc>
          <w:tcPr>
            <w:tcW w:type="dxa" w:w="16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0,6–1,2 mg/kg (RSI alta dose)</w:t>
            </w:r>
          </w:p>
        </w:tc>
        <w:tc>
          <w:tcPr>
            <w:tcW w:type="dxa" w:w="20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0,3–0,6 mg/kg/h</w:t>
            </w:r>
          </w:p>
        </w:tc>
        <w:tc>
          <w:tcPr>
            <w:tcW w:type="dxa" w:w="1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30–60 min</w:t>
            </w:r>
          </w:p>
        </w:tc>
        <w:tc>
          <w:tcPr>
            <w:tcW w:type="dxa" w:w="1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Biliar/renal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424242"/>
                <w:sz w:val="18"/>
                <w:szCs w:val="18"/>
              </w:rPr>
              <w:t xml:space="preserve">Vecurônio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Não-despolarizante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0,1 mg/kg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0,08–0,1 mg/kg/h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25–40 min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Biliar/renal</w:t>
            </w:r>
          </w:p>
        </w:tc>
      </w:tr>
      <w:tr>
        <w:tc>
          <w:tcPr>
            <w:tcW w:type="dxa" w:w="16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bCs/>
                <w:color w:val="424242"/>
                <w:sz w:val="18"/>
                <w:szCs w:val="18"/>
              </w:rPr>
              <w:t xml:space="preserve">Pancurônio</w:t>
            </w:r>
          </w:p>
        </w:tc>
        <w:tc>
          <w:tcPr>
            <w:tcW w:type="dxa" w:w="16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Não-despolarizante</w:t>
            </w:r>
          </w:p>
        </w:tc>
        <w:tc>
          <w:tcPr>
            <w:tcW w:type="dxa" w:w="16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0,1 mg/kg</w:t>
            </w:r>
          </w:p>
        </w:tc>
        <w:tc>
          <w:tcPr>
            <w:tcW w:type="dxa" w:w="20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0,06–0,1 mg/kg/h</w:t>
            </w:r>
          </w:p>
        </w:tc>
        <w:tc>
          <w:tcPr>
            <w:tcW w:type="dxa" w:w="1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60–100 min</w:t>
            </w:r>
          </w:p>
        </w:tc>
        <w:tc>
          <w:tcPr>
            <w:tcW w:type="dxa" w:w="1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Renal 80%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424242"/>
                <w:sz w:val="18"/>
                <w:szCs w:val="18"/>
              </w:rPr>
              <w:t xml:space="preserve">Atracúrio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Não-despolarizante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0,5 mg/kg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0,3–0,6 mg/kg/h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20–35 min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Hofmann + esterase</w:t>
            </w:r>
          </w:p>
        </w:tc>
      </w:tr>
    </w:tbl>
    <w:p>
      <w:r>
        <w:rPr>
          <w:sz w:val="16"/>
          <w:szCs w:val="16"/>
        </w:rPr>
        <w:t xml:space="preserve"/>
      </w:r>
    </w:p>
    <w:p>
      <w:pPr>
        <w:pBdr>
          <w:bottom w:val="single" w:color="2E75B6" w:sz="8" w:space="1"/>
        </w:pBdr>
        <w:spacing w:after="160" w:before="360"/>
      </w:pPr>
      <w:r>
        <w:rPr>
          <w:rFonts w:ascii="Arial" w:cs="Arial" w:eastAsia="Arial" w:hAnsi="Arial"/>
          <w:b/>
          <w:bCs/>
          <w:caps/>
          <w:color w:val="1B3A6B"/>
          <w:sz w:val="34"/>
          <w:szCs w:val="34"/>
        </w:rPr>
        <w:t xml:space="preserve">10. MONITORIZAÇÃO TOF (TRAIN-OF-FOUR)</w:t>
      </w:r>
    </w:p>
    <w:p>
      <w:pPr>
        <w:spacing w:after="80"/>
      </w:pPr>
      <w:r>
        <w:rPr>
          <w:rFonts w:ascii="Arial" w:cs="Arial" w:eastAsia="Arial" w:hAnsi="Arial"/>
          <w:color w:val="424242"/>
          <w:sz w:val="20"/>
          <w:szCs w:val="20"/>
        </w:rPr>
        <w:t xml:space="preserve">O TOF (trem-de-quatro) é o padrão-ouro para monitorização do bloqueio neuromuscular. Aplica-se 4 estímulos de 2 Hz ao nervo ulnar (punho) e avalia-se a resposta muscular (adutor do polegar) ou addutor do hallux.</w:t>
      </w:r>
    </w:p>
    <w:p>
      <w:r>
        <w:rPr>
          <w:sz w:val="16"/>
          <w:szCs w:val="16"/>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200"/>
        <w:gridCol w:w="2800"/>
      </w:tblGrid>
      <w:tr>
        <w:tc>
          <w:tcPr>
            <w:tcW w:type="dxa" w:w="1800"/>
            <w:gridSpan w:val="1"/>
            <w:tcBorders>
              <w:top w:val="single" w:color="FFFFFF" w:sz="1"/>
              <w:left w:val="single" w:color="FFFFFF" w:sz="1"/>
              <w:bottom w:val="single" w:color="FFFFFF" w:sz="1"/>
              <w:right w:val="single" w:color="FFFFFF" w:sz="1"/>
            </w:tcBorders>
            <w:shd w:fill="6A1B9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TOF (twitches)</w:t>
            </w:r>
          </w:p>
        </w:tc>
        <w:tc>
          <w:tcPr>
            <w:tcW w:type="dxa" w:w="2400"/>
            <w:gridSpan w:val="1"/>
            <w:tcBorders>
              <w:top w:val="single" w:color="FFFFFF" w:sz="1"/>
              <w:left w:val="single" w:color="FFFFFF" w:sz="1"/>
              <w:bottom w:val="single" w:color="FFFFFF" w:sz="1"/>
              <w:right w:val="single" w:color="FFFFFF" w:sz="1"/>
            </w:tcBorders>
            <w:shd w:fill="6A1B9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Bloqueio NMJ</w:t>
            </w:r>
          </w:p>
        </w:tc>
        <w:tc>
          <w:tcPr>
            <w:tcW w:type="dxa" w:w="2200"/>
            <w:gridSpan w:val="1"/>
            <w:tcBorders>
              <w:top w:val="single" w:color="FFFFFF" w:sz="1"/>
              <w:left w:val="single" w:color="FFFFFF" w:sz="1"/>
              <w:bottom w:val="single" w:color="FFFFFF" w:sz="1"/>
              <w:right w:val="single" w:color="FFFFFF" w:sz="1"/>
            </w:tcBorders>
            <w:shd w:fill="6A1B9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Alvo UTI</w:t>
            </w:r>
          </w:p>
        </w:tc>
        <w:tc>
          <w:tcPr>
            <w:tcW w:type="dxa" w:w="2800"/>
            <w:gridSpan w:val="1"/>
            <w:tcBorders>
              <w:top w:val="single" w:color="FFFFFF" w:sz="1"/>
              <w:left w:val="single" w:color="FFFFFF" w:sz="1"/>
              <w:bottom w:val="single" w:color="FFFFFF" w:sz="1"/>
              <w:right w:val="single" w:color="FFFFFF" w:sz="1"/>
            </w:tcBorders>
            <w:shd w:fill="6A1B9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Conduta</w:t>
            </w:r>
          </w:p>
        </w:tc>
      </w:tr>
      <w:tr>
        <w:tc>
          <w:tcPr>
            <w:tcW w:type="dxa" w:w="1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center"/>
            </w:pPr>
            <w:r>
              <w:rPr>
                <w:rFonts w:ascii="Arial" w:cs="Arial" w:eastAsia="Arial" w:hAnsi="Arial"/>
                <w:b/>
                <w:bCs/>
                <w:color w:val="424242"/>
                <w:sz w:val="18"/>
                <w:szCs w:val="18"/>
              </w:rPr>
              <w:t xml:space="preserve">4/4 twitches</w:t>
            </w:r>
          </w:p>
        </w:tc>
        <w:tc>
          <w:tcPr>
            <w:tcW w:type="dxa" w:w="24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Bloqueio &lt; 75% — parcial</w:t>
            </w:r>
          </w:p>
        </w:tc>
        <w:tc>
          <w:tcPr>
            <w:tcW w:type="dxa" w:w="2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424242"/>
                <w:sz w:val="18"/>
                <w:szCs w:val="18"/>
              </w:rPr>
              <w:t xml:space="preserve">Desmame BNM</w:t>
            </w:r>
          </w:p>
        </w:tc>
        <w:tc>
          <w:tcPr>
            <w:tcW w:type="dxa" w:w="2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Reduzir/suspender infusão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24242"/>
                <w:sz w:val="18"/>
                <w:szCs w:val="18"/>
              </w:rPr>
              <w:t xml:space="preserve">3/4 twitches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Bloqueio ~75%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424242"/>
                <w:sz w:val="18"/>
                <w:szCs w:val="18"/>
              </w:rPr>
              <w:t xml:space="preserve">Desmame iniciando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Reduzir dose 25%</w:t>
            </w:r>
          </w:p>
        </w:tc>
      </w:tr>
      <w:tr>
        <w:tc>
          <w:tcPr>
            <w:tcW w:type="dxa" w:w="1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center"/>
            </w:pPr>
            <w:r>
              <w:rPr>
                <w:rFonts w:ascii="Arial" w:cs="Arial" w:eastAsia="Arial" w:hAnsi="Arial"/>
                <w:b/>
                <w:bCs/>
                <w:color w:val="424242"/>
                <w:sz w:val="18"/>
                <w:szCs w:val="18"/>
              </w:rPr>
              <w:t xml:space="preserve">2/4 twitches</w:t>
            </w:r>
          </w:p>
        </w:tc>
        <w:tc>
          <w:tcPr>
            <w:tcW w:type="dxa" w:w="24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Bloqueio ~80%</w:t>
            </w:r>
          </w:p>
        </w:tc>
        <w:tc>
          <w:tcPr>
            <w:tcW w:type="dxa" w:w="2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424242"/>
                <w:sz w:val="18"/>
                <w:szCs w:val="18"/>
              </w:rPr>
              <w:t xml:space="preserve">Zona de ajuste</w:t>
            </w:r>
          </w:p>
        </w:tc>
        <w:tc>
          <w:tcPr>
            <w:tcW w:type="dxa" w:w="2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Manter ou reduzir levemente</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1/4 twitch</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Bloqueio ~90%</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2E7D32"/>
                <w:sz w:val="18"/>
                <w:szCs w:val="18"/>
              </w:rPr>
              <w:t xml:space="preserve">ALVO p/ SDRA grave/prona</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Dose adequada</w:t>
            </w:r>
          </w:p>
        </w:tc>
      </w:tr>
      <w:tr>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0/4 twitches</w:t>
            </w:r>
          </w:p>
        </w:tc>
        <w:tc>
          <w:tcPr>
            <w:tcW w:type="dxa" w:w="2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Bloqueio &gt; 95% — completo</w:t>
            </w:r>
          </w:p>
        </w:tc>
        <w:tc>
          <w:tcPr>
            <w:tcW w:type="dxa" w:w="2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bCs/>
                <w:color w:val="C62828"/>
                <w:sz w:val="18"/>
                <w:szCs w:val="18"/>
              </w:rPr>
              <w:t xml:space="preserve">EVITAR exceto cirurgia</w:t>
            </w:r>
          </w:p>
        </w:tc>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Reduzir dose — risco miopatia</w:t>
            </w:r>
          </w:p>
        </w:tc>
      </w:tr>
      <w:tr>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Post-tetanic count (PTC)</w:t>
            </w:r>
          </w:p>
        </w:tc>
        <w:tc>
          <w:tcPr>
            <w:tcW w:type="dxa" w:w="2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Bloqueio profundo</w:t>
            </w:r>
          </w:p>
        </w:tc>
        <w:tc>
          <w:tcPr>
            <w:tcW w:type="dxa" w:w="2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bCs/>
                <w:color w:val="C62828"/>
                <w:sz w:val="18"/>
                <w:szCs w:val="18"/>
              </w:rPr>
              <w:t xml:space="preserve">SDRA muito grave</w:t>
            </w:r>
          </w:p>
        </w:tc>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Avaliar profundidade quando TOF = 0</w:t>
            </w:r>
          </w:p>
        </w:tc>
      </w:tr>
    </w:tbl>
    <w:p>
      <w:r>
        <w:rPr>
          <w:sz w:val="16"/>
          <w:szCs w:val="16"/>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gridSpan w:val="1"/>
            <w:tcBorders>
              <w:top w:val="single" w:color="F57F17" w:sz="1"/>
              <w:left w:val="single" w:color="F57F17" w:sz="1"/>
              <w:bottom w:val="single" w:color="F57F17" w:sz="1"/>
              <w:right w:val="single" w:color="F57F17" w:sz="1"/>
            </w:tcBorders>
            <w:shd w:fill="F57F17" w:val="clear"/>
            <w:tcMar>
              <w:top w:type="dxa" w:w="100"/>
              <w:left w:type="dxa" w:w="160"/>
              <w:bottom w:type="dxa" w:w="100"/>
              <w:right w:type="dxa" w:w="160"/>
            </w:tcMar>
          </w:tcPr>
          <w:p>
            <w:r>
              <w:rPr>
                <w:rFonts w:ascii="Arial" w:cs="Arial" w:eastAsia="Arial" w:hAnsi="Arial"/>
                <w:b/>
                <w:bCs/>
                <w:color w:val="424242"/>
                <w:sz w:val="20"/>
                <w:szCs w:val="20"/>
              </w:rPr>
              <w:t xml:space="preserve">⚠️ LIMITAÇÕES DO TOF — PONTOS CRÍTICOS PARA A PROVA TEMI</w:t>
            </w:r>
          </w:p>
        </w:tc>
      </w:tr>
      <w:tr>
        <w:tc>
          <w:tcPr>
            <w:tcW w:type="dxa" w:w="9200"/>
            <w:tcBorders>
              <w:top w:val="single" w:color="F57F17" w:sz="1"/>
              <w:left w:val="single" w:color="F57F17" w:sz="1"/>
              <w:bottom w:val="single" w:color="F57F17" w:sz="1"/>
              <w:right w:val="single" w:color="F57F17" w:sz="1"/>
            </w:tcBorders>
            <w:shd w:fill="FFFFFF" w:val="clear"/>
            <w:tcMar>
              <w:top w:type="dxa" w:w="50"/>
              <w:left w:type="dxa" w:w="160"/>
              <w:bottom w:type="dxa" w:w="50"/>
              <w:right w:type="dxa" w:w="160"/>
            </w:tcMar>
          </w:tcPr>
          <w:p>
            <w:r>
              <w:rPr>
                <w:rFonts w:ascii="Arial" w:cs="Arial" w:eastAsia="Arial" w:hAnsi="Arial"/>
                <w:color w:val="424242"/>
                <w:sz w:val="18"/>
                <w:szCs w:val="18"/>
              </w:rPr>
              <w:t xml:space="preserve">TOF acelerar = apenas monitoriza o bloqueio; NÃO informa sobre adequação da sedação/analgesia</w:t>
            </w:r>
          </w:p>
        </w:tc>
      </w:tr>
      <w:tr>
        <w:tc>
          <w:tcPr>
            <w:tcW w:type="dxa" w:w="9200"/>
            <w:tcBorders>
              <w:top w:val="single" w:color="F57F17" w:sz="1"/>
              <w:left w:val="single" w:color="F57F17" w:sz="1"/>
              <w:bottom w:val="single" w:color="F57F17" w:sz="1"/>
              <w:right w:val="single" w:color="F57F17" w:sz="1"/>
            </w:tcBorders>
            <w:shd w:fill="FFFFFF" w:val="clear"/>
            <w:tcMar>
              <w:top w:type="dxa" w:w="50"/>
              <w:left w:type="dxa" w:w="160"/>
              <w:bottom w:type="dxa" w:w="50"/>
              <w:right w:type="dxa" w:w="160"/>
            </w:tcMar>
          </w:tcPr>
          <w:p>
            <w:r>
              <w:rPr>
                <w:rFonts w:ascii="Arial" w:cs="Arial" w:eastAsia="Arial" w:hAnsi="Arial"/>
                <w:color w:val="424242"/>
                <w:sz w:val="18"/>
                <w:szCs w:val="18"/>
              </w:rPr>
              <w:t xml:space="preserve">BNM MASCARA RASS: paciente pode estar acordado e sofrendo com TOF 1/4 → SEMPRE garantir sedação/analgesia PROFUNDA antes de iniciar BNM</w:t>
            </w:r>
          </w:p>
        </w:tc>
      </w:tr>
      <w:tr>
        <w:tc>
          <w:tcPr>
            <w:tcW w:type="dxa" w:w="9200"/>
            <w:tcBorders>
              <w:top w:val="single" w:color="F57F17" w:sz="1"/>
              <w:left w:val="single" w:color="F57F17" w:sz="1"/>
              <w:bottom w:val="single" w:color="F57F17" w:sz="1"/>
              <w:right w:val="single" w:color="F57F17" w:sz="1"/>
            </w:tcBorders>
            <w:shd w:fill="FFFFFF" w:val="clear"/>
            <w:tcMar>
              <w:top w:type="dxa" w:w="50"/>
              <w:left w:type="dxa" w:w="160"/>
              <w:bottom w:type="dxa" w:w="50"/>
              <w:right w:type="dxa" w:w="160"/>
            </w:tcMar>
          </w:tcPr>
          <w:p>
            <w:r>
              <w:rPr>
                <w:rFonts w:ascii="Arial" w:cs="Arial" w:eastAsia="Arial" w:hAnsi="Arial"/>
                <w:color w:val="424242"/>
                <w:sz w:val="18"/>
                <w:szCs w:val="18"/>
              </w:rPr>
              <w:t xml:space="preserve">Hipotermia, edema, obesidade podem falsear leitura do TOF</w:t>
            </w:r>
          </w:p>
        </w:tc>
      </w:tr>
      <w:tr>
        <w:tc>
          <w:tcPr>
            <w:tcW w:type="dxa" w:w="9200"/>
            <w:tcBorders>
              <w:top w:val="single" w:color="F57F17" w:sz="1"/>
              <w:left w:val="single" w:color="F57F17" w:sz="1"/>
              <w:bottom w:val="single" w:color="F57F17" w:sz="1"/>
              <w:right w:val="single" w:color="F57F17" w:sz="1"/>
            </w:tcBorders>
            <w:shd w:fill="FFFFFF" w:val="clear"/>
            <w:tcMar>
              <w:top w:type="dxa" w:w="50"/>
              <w:left w:type="dxa" w:w="160"/>
              <w:bottom w:type="dxa" w:w="50"/>
              <w:right w:type="dxa" w:w="160"/>
            </w:tcMar>
          </w:tcPr>
          <w:p>
            <w:r>
              <w:rPr>
                <w:rFonts w:ascii="Arial" w:cs="Arial" w:eastAsia="Arial" w:hAnsi="Arial"/>
                <w:color w:val="424242"/>
                <w:sz w:val="18"/>
                <w:szCs w:val="18"/>
              </w:rPr>
              <w:t xml:space="preserve">TOF qualitativo (visual/tátil) subestima bloqueio residual: preferir TOF quantitativo (aceleromiografia)</w:t>
            </w:r>
          </w:p>
        </w:tc>
      </w:tr>
      <w:tr>
        <w:tc>
          <w:tcPr>
            <w:tcW w:type="dxa" w:w="9200"/>
            <w:tcBorders>
              <w:top w:val="single" w:color="F57F17" w:sz="1"/>
              <w:left w:val="single" w:color="F57F17" w:sz="1"/>
              <w:bottom w:val="single" w:color="F57F17" w:sz="1"/>
              <w:right w:val="single" w:color="F57F17" w:sz="1"/>
            </w:tcBorders>
            <w:shd w:fill="FFFFFF" w:val="clear"/>
            <w:tcMar>
              <w:top w:type="dxa" w:w="50"/>
              <w:left w:type="dxa" w:w="160"/>
              <w:bottom w:type="dxa" w:w="50"/>
              <w:right w:type="dxa" w:w="160"/>
            </w:tcMar>
          </w:tcPr>
          <w:p>
            <w:r>
              <w:rPr>
                <w:rFonts w:ascii="Arial" w:cs="Arial" w:eastAsia="Arial" w:hAnsi="Arial"/>
                <w:color w:val="424242"/>
                <w:sz w:val="18"/>
                <w:szCs w:val="18"/>
              </w:rPr>
              <w:t xml:space="preserve">Monitorização: pelo menos a cada 4-6h com ajuste de dose pelo TOF — evitar bloqueio excessivo</w:t>
            </w:r>
          </w:p>
        </w:tc>
      </w:tr>
    </w:tbl>
    <w:p>
      <w:r>
        <w:rPr>
          <w:sz w:val="16"/>
          <w:szCs w:val="16"/>
        </w:rPr>
        <w:t xml:space="preserve"/>
      </w:r>
    </w:p>
    <w:p>
      <w:r>
        <w:rPr>
          <w:sz w:val="16"/>
          <w:szCs w:val="16"/>
        </w:rPr>
        <w:t xml:space="preserve"/>
      </w:r>
    </w:p>
    <w:p>
      <w:pPr>
        <w:pBdr>
          <w:bottom w:val="single" w:color="2E75B6" w:sz="8" w:space="1"/>
        </w:pBdr>
        <w:spacing w:after="160" w:before="360"/>
      </w:pPr>
      <w:r>
        <w:rPr>
          <w:rFonts w:ascii="Arial" w:cs="Arial" w:eastAsia="Arial" w:hAnsi="Arial"/>
          <w:b/>
          <w:bCs/>
          <w:caps/>
          <w:color w:val="1B3A6B"/>
          <w:sz w:val="34"/>
          <w:szCs w:val="34"/>
        </w:rPr>
        <w:t xml:space="preserve">11. INDICAÇÕES DE BNM NA UTI — EVIDÊNCIAS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000"/>
        <w:gridCol w:w="2200"/>
      </w:tblGrid>
      <w:tr>
        <w:tc>
          <w:tcPr>
            <w:tcW w:type="dxa" w:w="2600"/>
            <w:gridSpan w:val="1"/>
            <w:tcBorders>
              <w:top w:val="single" w:color="FFFFFF" w:sz="1"/>
              <w:left w:val="single" w:color="FFFFFF" w:sz="1"/>
              <w:bottom w:val="single" w:color="FFFFFF" w:sz="1"/>
              <w:right w:val="single" w:color="FFFFFF" w:sz="1"/>
            </w:tcBorders>
            <w:shd w:fill="0069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Indicação</w:t>
            </w:r>
          </w:p>
        </w:tc>
        <w:tc>
          <w:tcPr>
            <w:tcW w:type="dxa" w:w="2400"/>
            <w:gridSpan w:val="1"/>
            <w:tcBorders>
              <w:top w:val="single" w:color="FFFFFF" w:sz="1"/>
              <w:left w:val="single" w:color="FFFFFF" w:sz="1"/>
              <w:bottom w:val="single" w:color="FFFFFF" w:sz="1"/>
              <w:right w:val="single" w:color="FFFFFF" w:sz="1"/>
            </w:tcBorders>
            <w:shd w:fill="0069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Critérios</w:t>
            </w:r>
          </w:p>
        </w:tc>
        <w:tc>
          <w:tcPr>
            <w:tcW w:type="dxa" w:w="2000"/>
            <w:gridSpan w:val="1"/>
            <w:tcBorders>
              <w:top w:val="single" w:color="FFFFFF" w:sz="1"/>
              <w:left w:val="single" w:color="FFFFFF" w:sz="1"/>
              <w:bottom w:val="single" w:color="FFFFFF" w:sz="1"/>
              <w:right w:val="single" w:color="FFFFFF" w:sz="1"/>
            </w:tcBorders>
            <w:shd w:fill="0069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BNM / Duração</w:t>
            </w:r>
          </w:p>
        </w:tc>
        <w:tc>
          <w:tcPr>
            <w:tcW w:type="dxa" w:w="2200"/>
            <w:gridSpan w:val="1"/>
            <w:tcBorders>
              <w:top w:val="single" w:color="FFFFFF" w:sz="1"/>
              <w:left w:val="single" w:color="FFFFFF" w:sz="1"/>
              <w:bottom w:val="single" w:color="FFFFFF" w:sz="1"/>
              <w:right w:val="single" w:color="FFFFFF" w:sz="1"/>
            </w:tcBorders>
            <w:shd w:fill="0069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Evidência</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2E7D32"/>
                <w:sz w:val="18"/>
                <w:szCs w:val="18"/>
              </w:rPr>
              <w:t xml:space="preserve">SDRA Grave (1ª linha)</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P:F &lt; 150 mmHg + SDRA moderada-grave nas primeiras 48h</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2E7D32"/>
                <w:sz w:val="18"/>
                <w:szCs w:val="18"/>
              </w:rPr>
              <w:t xml:space="preserve">Cisatracúrio 48h: bólus 15 mg IV → IC 37,5 mg/h</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ACURASYS 2010: reduz mortalidade 28d. ROSE 2019: sem benefício geral (sedação profunda equivalente)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424242"/>
                <w:sz w:val="18"/>
                <w:szCs w:val="18"/>
              </w:rPr>
              <w:t xml:space="preserve">Pronação (prona)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Toda prona deve ter sedação profunda. BNM se assíncronia ou agitação durante prona.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424242"/>
                <w:sz w:val="18"/>
                <w:szCs w:val="18"/>
              </w:rPr>
              <w:t xml:space="preserve">Cisatracúrio IC durante período de prona (16h)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Consenso especialistas. PROSEVA 2013 não mandatou BNM.</w:t>
            </w:r>
          </w:p>
        </w:tc>
      </w:tr>
      <w:tr>
        <w:tc>
          <w:tcPr>
            <w:tcW w:type="dxa" w:w="26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bCs/>
                <w:color w:val="424242"/>
                <w:sz w:val="18"/>
                <w:szCs w:val="18"/>
              </w:rPr>
              <w:t xml:space="preserve">Status Asmático Refratário</w:t>
            </w:r>
          </w:p>
        </w:tc>
        <w:tc>
          <w:tcPr>
            <w:tcW w:type="dxa" w:w="24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Broncoespasmo grave sem resposta a BD + adrenalina + MgSO4</w:t>
            </w:r>
          </w:p>
        </w:tc>
        <w:tc>
          <w:tcPr>
            <w:tcW w:type="dxa" w:w="20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bCs/>
                <w:color w:val="424242"/>
                <w:sz w:val="18"/>
                <w:szCs w:val="18"/>
              </w:rPr>
              <w:t xml:space="preserve">Succinilcolina (IOT RSI) → cisatracúrio IC por 24-48h</w:t>
            </w:r>
          </w:p>
        </w:tc>
        <w:tc>
          <w:tcPr>
            <w:tcW w:type="dxa" w:w="2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Nível especialista. Curto prazo apenas.</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2E7D32"/>
                <w:sz w:val="18"/>
                <w:szCs w:val="18"/>
              </w:rPr>
              <w:t xml:space="preserve">IOT Sequência Rápida (RSI)</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Paciente com estômago cheio ou risco aspiração</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2E7D32"/>
                <w:sz w:val="18"/>
                <w:szCs w:val="18"/>
              </w:rPr>
              <w:t xml:space="preserve">Succinilcolina 1,5 mg/kg OU Rocurônio 1,2 mg/kg</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Padrão ouro IOT emergência</w:t>
            </w:r>
          </w:p>
        </w:tc>
      </w:tr>
      <w:tr>
        <w:tc>
          <w:tcPr>
            <w:tcW w:type="dxa" w:w="26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bCs/>
                <w:color w:val="424242"/>
                <w:sz w:val="18"/>
                <w:szCs w:val="18"/>
              </w:rPr>
              <w:t xml:space="preserve">Tetânico / Status Epiléptico</w:t>
            </w:r>
          </w:p>
        </w:tc>
        <w:tc>
          <w:tcPr>
            <w:tcW w:type="dxa" w:w="24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Paralisia para VM segura. NUNCA substitui anticonvulsivante.</w:t>
            </w:r>
          </w:p>
        </w:tc>
        <w:tc>
          <w:tcPr>
            <w:tcW w:type="dxa" w:w="20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bCs/>
                <w:color w:val="424242"/>
                <w:sz w:val="18"/>
                <w:szCs w:val="18"/>
              </w:rPr>
              <w:t xml:space="preserve">Cisatracúrio ou vecurônio. Monitorar EEG!</w:t>
            </w:r>
          </w:p>
        </w:tc>
        <w:tc>
          <w:tcPr>
            <w:tcW w:type="dxa" w:w="2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Consenso. EEG contínuo obrigatório.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424242"/>
                <w:sz w:val="18"/>
                <w:szCs w:val="18"/>
              </w:rPr>
              <w:t xml:space="preserve">Hipotermia Terapêutica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Controle tremores/calafrios pós-PCR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424242"/>
                <w:sz w:val="18"/>
                <w:szCs w:val="18"/>
              </w:rPr>
              <w:t xml:space="preserve">Cisatracúrio ou rocurônio por 12-24h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ESC/ESICM 2021 — controle de shivering</w:t>
            </w:r>
          </w:p>
        </w:tc>
      </w:tr>
      <w:tr>
        <w:tc>
          <w:tcPr>
            <w:tcW w:type="dxa" w:w="26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bCs/>
                <w:color w:val="424242"/>
                <w:sz w:val="18"/>
                <w:szCs w:val="18"/>
              </w:rPr>
              <w:t xml:space="preserve">HIPERTENSÃO INTRACRANIANA</w:t>
            </w:r>
          </w:p>
        </w:tc>
        <w:tc>
          <w:tcPr>
            <w:tcW w:type="dxa" w:w="24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Manobras ventilatórias para controle PIC aguda (hiperventilação controlada)</w:t>
            </w:r>
          </w:p>
        </w:tc>
        <w:tc>
          <w:tcPr>
            <w:tcW w:type="dxa" w:w="20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bCs/>
                <w:color w:val="424242"/>
                <w:sz w:val="18"/>
                <w:szCs w:val="18"/>
              </w:rPr>
              <w:t xml:space="preserve">Cisatracúrio por curto prazo — máx 24h</w:t>
            </w:r>
          </w:p>
        </w:tc>
        <w:tc>
          <w:tcPr>
            <w:tcW w:type="dxa" w:w="2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Uso pontual em crise de HIC</w:t>
            </w:r>
          </w:p>
        </w:tc>
      </w:tr>
    </w:tbl>
    <w:p>
      <w:r>
        <w:rPr>
          <w:sz w:val="16"/>
          <w:szCs w:val="16"/>
        </w:rPr>
        <w:t xml:space="preserve"/>
      </w:r>
    </w:p>
    <w:p>
      <w:r>
        <w:rPr>
          <w:sz w:val="16"/>
          <w:szCs w:val="16"/>
        </w:rPr>
        <w:t xml:space="preserve"/>
      </w:r>
    </w:p>
    <w:p>
      <w:pPr>
        <w:pBdr>
          <w:bottom w:val="single" w:color="2E75B6" w:sz="8" w:space="1"/>
        </w:pBdr>
        <w:spacing w:after="160" w:before="360"/>
      </w:pPr>
      <w:r>
        <w:rPr>
          <w:rFonts w:ascii="Arial" w:cs="Arial" w:eastAsia="Arial" w:hAnsi="Arial"/>
          <w:b/>
          <w:bCs/>
          <w:caps/>
          <w:color w:val="1B3A6B"/>
          <w:sz w:val="34"/>
          <w:szCs w:val="34"/>
        </w:rPr>
        <w:t xml:space="preserve">12. REVERSÃO DO BLOQUEIO NEUROMUSCULAR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200"/>
      </w:tblGrid>
      <w:tr>
        <w:tc>
          <w:tcPr>
            <w:tcW w:type="dxa" w:w="2200"/>
            <w:gridSpan w:val="1"/>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Agente</w:t>
            </w:r>
          </w:p>
        </w:tc>
        <w:tc>
          <w:tcPr>
            <w:tcW w:type="dxa" w:w="2400"/>
            <w:gridSpan w:val="1"/>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Mecanismo</w:t>
            </w:r>
          </w:p>
        </w:tc>
        <w:tc>
          <w:tcPr>
            <w:tcW w:type="dxa" w:w="2400"/>
            <w:gridSpan w:val="1"/>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Dose</w:t>
            </w:r>
          </w:p>
        </w:tc>
        <w:tc>
          <w:tcPr>
            <w:tcW w:type="dxa" w:w="2200"/>
            <w:gridSpan w:val="1"/>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Uso / Cuidados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24242"/>
                <w:sz w:val="18"/>
                <w:szCs w:val="18"/>
              </w:rPr>
              <w:t xml:space="preserve">Neostigmina</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Inibidor AChE — aumenta ACh na JNM</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0,04–0,07 mg/kg IV (máx 5 mg) + glicopirrolato 0,01 mg/kg</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APENAS com TOF ≥ 2/4. Associar antimuscarínico (glicopirrolato/atropina). Bradicardia, broncoespasmo.</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2E7D32"/>
                <w:sz w:val="18"/>
                <w:szCs w:val="18"/>
              </w:rPr>
              <w:t xml:space="preserve">Sugamadex</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Encapsulamento seletivo rocurônio/vecurônio</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2E7D32"/>
                <w:sz w:val="18"/>
                <w:szCs w:val="18"/>
              </w:rPr>
              <w:t xml:space="preserve">TOF 1-2: 2 mg/kg / TOF 0: 4 mg/kg / RSI emergência: 16 mg/kg</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REVERSOR SELETIVO rocurônio/vecurônio. Não funciona p/ succinilcolina. Cuidado: reverter e PSA insuficiente = awake.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24242"/>
                <w:sz w:val="18"/>
                <w:szCs w:val="18"/>
              </w:rPr>
              <w:t xml:space="preserve">Edrofônio</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Inibidor AChE (curta duração)</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0,5–1 mg/kg IV</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Uso limitado em UTI. Neostigmina preferida.</w:t>
            </w:r>
          </w:p>
        </w:tc>
      </w:tr>
    </w:tbl>
    <w:p>
      <w:r>
        <w:rPr>
          <w:sz w:val="16"/>
          <w:szCs w:val="16"/>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gridSpan w:val="1"/>
            <w:tcBorders>
              <w:top w:val="single" w:color="C62828" w:sz="1"/>
              <w:left w:val="single" w:color="C62828" w:sz="1"/>
              <w:bottom w:val="single" w:color="C62828" w:sz="1"/>
              <w:right w:val="single" w:color="C62828" w:sz="1"/>
            </w:tcBorders>
            <w:shd w:fill="C62828" w:val="clear"/>
            <w:tcMar>
              <w:top w:type="dxa" w:w="100"/>
              <w:left w:type="dxa" w:w="160"/>
              <w:bottom w:type="dxa" w:w="100"/>
              <w:right w:type="dxa" w:w="160"/>
            </w:tcMar>
          </w:tcPr>
          <w:p>
            <w:r>
              <w:rPr>
                <w:rFonts w:ascii="Arial" w:cs="Arial" w:eastAsia="Arial" w:hAnsi="Arial"/>
                <w:b/>
                <w:bCs/>
                <w:color w:val="FFFFFF"/>
                <w:sz w:val="20"/>
                <w:szCs w:val="20"/>
              </w:rPr>
              <w:t xml:space="preserve">🚨 MIOPATIA E NEUROPATIA DA UTI — COMPLICAÇÃO GRAVE DO BNM PROLONGADO</w:t>
            </w:r>
          </w:p>
        </w:tc>
      </w:tr>
      <w:tr>
        <w:tc>
          <w:tcPr>
            <w:tcW w:type="dxa" w:w="9200"/>
            <w:tcBorders>
              <w:top w:val="single" w:color="C62828" w:sz="1"/>
              <w:left w:val="single" w:color="C62828" w:sz="1"/>
              <w:bottom w:val="single" w:color="C62828" w:sz="1"/>
              <w:right w:val="single" w:color="C62828" w:sz="1"/>
            </w:tcBorders>
            <w:shd w:fill="FFFFFF" w:val="clear"/>
            <w:tcMar>
              <w:top w:type="dxa" w:w="50"/>
              <w:left w:type="dxa" w:w="160"/>
              <w:bottom w:type="dxa" w:w="50"/>
              <w:right w:type="dxa" w:w="160"/>
            </w:tcMar>
          </w:tcPr>
          <w:p>
            <w:r>
              <w:rPr>
                <w:rFonts w:ascii="Arial" w:cs="Arial" w:eastAsia="Arial" w:hAnsi="Arial"/>
                <w:color w:val="424242"/>
                <w:sz w:val="18"/>
                <w:szCs w:val="18"/>
              </w:rPr>
              <w:t xml:space="preserve">Incidência: 25-50% dos pacientes com BNM &gt; 2-3 dias em UTI</w:t>
            </w:r>
          </w:p>
        </w:tc>
      </w:tr>
      <w:tr>
        <w:tc>
          <w:tcPr>
            <w:tcW w:type="dxa" w:w="9200"/>
            <w:tcBorders>
              <w:top w:val="single" w:color="C62828" w:sz="1"/>
              <w:left w:val="single" w:color="C62828" w:sz="1"/>
              <w:bottom w:val="single" w:color="C62828" w:sz="1"/>
              <w:right w:val="single" w:color="C62828" w:sz="1"/>
            </w:tcBorders>
            <w:shd w:fill="FFFFFF" w:val="clear"/>
            <w:tcMar>
              <w:top w:type="dxa" w:w="50"/>
              <w:left w:type="dxa" w:w="160"/>
              <w:bottom w:type="dxa" w:w="50"/>
              <w:right w:type="dxa" w:w="160"/>
            </w:tcMar>
          </w:tcPr>
          <w:p>
            <w:r>
              <w:rPr>
                <w:rFonts w:ascii="Arial" w:cs="Arial" w:eastAsia="Arial" w:hAnsi="Arial"/>
                <w:color w:val="424242"/>
                <w:sz w:val="18"/>
                <w:szCs w:val="18"/>
              </w:rPr>
              <w:t xml:space="preserve">Fatores: corticoides + BNM (OR 14!), sepse, hiperglicemia, imobilidade</w:t>
            </w:r>
          </w:p>
        </w:tc>
      </w:tr>
      <w:tr>
        <w:tc>
          <w:tcPr>
            <w:tcW w:type="dxa" w:w="9200"/>
            <w:tcBorders>
              <w:top w:val="single" w:color="C62828" w:sz="1"/>
              <w:left w:val="single" w:color="C62828" w:sz="1"/>
              <w:bottom w:val="single" w:color="C62828" w:sz="1"/>
              <w:right w:val="single" w:color="C62828" w:sz="1"/>
            </w:tcBorders>
            <w:shd w:fill="FFFFFF" w:val="clear"/>
            <w:tcMar>
              <w:top w:type="dxa" w:w="50"/>
              <w:left w:type="dxa" w:w="160"/>
              <w:bottom w:type="dxa" w:w="50"/>
              <w:right w:type="dxa" w:w="160"/>
            </w:tcMar>
          </w:tcPr>
          <w:p>
            <w:r>
              <w:rPr>
                <w:rFonts w:ascii="Arial" w:cs="Arial" w:eastAsia="Arial" w:hAnsi="Arial"/>
                <w:color w:val="424242"/>
                <w:sz w:val="18"/>
                <w:szCs w:val="18"/>
              </w:rPr>
              <w:t xml:space="preserve">Apresentação: fraqueza grave (flacidez global), atraso desmame VM, diagnóstico por eletromiografia</w:t>
            </w:r>
          </w:p>
        </w:tc>
      </w:tr>
      <w:tr>
        <w:tc>
          <w:tcPr>
            <w:tcW w:type="dxa" w:w="9200"/>
            <w:tcBorders>
              <w:top w:val="single" w:color="C62828" w:sz="1"/>
              <w:left w:val="single" w:color="C62828" w:sz="1"/>
              <w:bottom w:val="single" w:color="C62828" w:sz="1"/>
              <w:right w:val="single" w:color="C62828" w:sz="1"/>
            </w:tcBorders>
            <w:shd w:fill="FFFFFF" w:val="clear"/>
            <w:tcMar>
              <w:top w:type="dxa" w:w="50"/>
              <w:left w:type="dxa" w:w="160"/>
              <w:bottom w:type="dxa" w:w="50"/>
              <w:right w:type="dxa" w:w="160"/>
            </w:tcMar>
          </w:tcPr>
          <w:p>
            <w:r>
              <w:rPr>
                <w:rFonts w:ascii="Arial" w:cs="Arial" w:eastAsia="Arial" w:hAnsi="Arial"/>
                <w:color w:val="424242"/>
                <w:sz w:val="18"/>
                <w:szCs w:val="18"/>
              </w:rPr>
              <w:t xml:space="preserve">Prevenção: BNM &lt; 48h sempre que possível; evitar pancurônio prolongado; controle glicêmico; fisioterapia precoce</w:t>
            </w:r>
          </w:p>
        </w:tc>
      </w:tr>
      <w:tr>
        <w:tc>
          <w:tcPr>
            <w:tcW w:type="dxa" w:w="9200"/>
            <w:tcBorders>
              <w:top w:val="single" w:color="C62828" w:sz="1"/>
              <w:left w:val="single" w:color="C62828" w:sz="1"/>
              <w:bottom w:val="single" w:color="C62828" w:sz="1"/>
              <w:right w:val="single" w:color="C62828" w:sz="1"/>
            </w:tcBorders>
            <w:shd w:fill="FFFFFF" w:val="clear"/>
            <w:tcMar>
              <w:top w:type="dxa" w:w="50"/>
              <w:left w:type="dxa" w:w="160"/>
              <w:bottom w:type="dxa" w:w="50"/>
              <w:right w:type="dxa" w:w="160"/>
            </w:tcMar>
          </w:tcPr>
          <w:p>
            <w:r>
              <w:rPr>
                <w:rFonts w:ascii="Arial" w:cs="Arial" w:eastAsia="Arial" w:hAnsi="Arial"/>
                <w:color w:val="424242"/>
                <w:sz w:val="18"/>
                <w:szCs w:val="18"/>
              </w:rPr>
              <w:t xml:space="preserve">EVITAR: corticoide + BNM simultaneamente por &gt; 48h (combinação deletéria)</w:t>
            </w:r>
          </w:p>
        </w:tc>
      </w:tr>
    </w:tbl>
    <w:p>
      <w:r>
        <w:rPr>
          <w:sz w:val="16"/>
          <w:szCs w:val="16"/>
        </w:rPr>
        <w:t xml:space="preserve"/>
      </w:r>
    </w:p>
    <w:p>
      <w:r>
        <w:rPr>
          <w:sz w:val="16"/>
          <w:szCs w:val="16"/>
        </w:rP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6A1B9A" w:val="clear"/>
            <w:tcMar>
              <w:top w:type="dxa" w:w="120"/>
              <w:left w:type="dxa" w:w="200"/>
              <w:bottom w:type="dxa" w:w="120"/>
              <w:right w:type="dxa" w:w="200"/>
            </w:tcMar>
          </w:tcPr>
          <w:p>
            <w:pPr>
              <w:jc w:val="center"/>
            </w:pPr>
            <w:r>
              <w:rPr>
                <w:rFonts w:ascii="Arial" w:cs="Arial" w:eastAsia="Arial" w:hAnsi="Arial"/>
                <w:b/>
                <w:bCs/>
                <w:color w:val="FFFFFF"/>
                <w:sz w:val="32"/>
                <w:szCs w:val="32"/>
              </w:rPr>
              <w:t xml:space="preserve">🧠 NEUROINTENSIVISMO AVANÇADO</w:t>
            </w:r>
          </w:p>
          <w:p>
            <w:pPr>
              <w:jc w:val="center"/>
            </w:pPr>
            <w:r>
              <w:rPr>
                <w:rFonts w:ascii="Arial" w:cs="Arial" w:eastAsia="Arial" w:hAnsi="Arial"/>
                <w:color w:val="F3E5F5"/>
                <w:sz w:val="20"/>
                <w:szCs w:val="20"/>
              </w:rPr>
              <w:t xml:space="preserve">TCE Grave · AVCH · HSA · HIC · Morte Encefálica · Monitorização Multimodal</w:t>
            </w:r>
          </w:p>
        </w:tc>
      </w:tr>
    </w:tbl>
    <w:p>
      <w:r>
        <w:rPr>
          <w:sz w:val="16"/>
          <w:szCs w:val="16"/>
        </w:rPr>
        <w:t xml:space="preserve"/>
      </w:r>
    </w:p>
    <w:p>
      <w:pPr>
        <w:pBdr>
          <w:bottom w:val="single" w:color="2E75B6" w:sz="8" w:space="1"/>
        </w:pBdr>
        <w:spacing w:after="160" w:before="360"/>
      </w:pPr>
      <w:r>
        <w:rPr>
          <w:rFonts w:ascii="Arial" w:cs="Arial" w:eastAsia="Arial" w:hAnsi="Arial"/>
          <w:b/>
          <w:bCs/>
          <w:caps/>
          <w:color w:val="1B3A6B"/>
          <w:sz w:val="34"/>
          <w:szCs w:val="34"/>
        </w:rPr>
        <w:t xml:space="preserve">13. HIPERTENSÃO INTRACRANIANA (HIC) — FISIOPATOLOGIA E MANEJO</w:t>
      </w:r>
    </w:p>
    <w:p>
      <w:pPr>
        <w:spacing w:after="80"/>
      </w:pPr>
      <w:r>
        <w:rPr>
          <w:rFonts w:ascii="Arial" w:cs="Arial" w:eastAsia="Arial" w:hAnsi="Arial"/>
          <w:color w:val="424242"/>
          <w:sz w:val="20"/>
          <w:szCs w:val="20"/>
        </w:rPr>
        <w:t xml:space="preserve">A Doutrina de Monro-Kellie estabelece que o volume intracraniano é fixo: Cérebro (~83%) + LCR (~11%) + Sangue (~6%). Aumento de qualquer componente → compensação automática até limite → elevação da PIC. PIC normal: 5–15 mmHg. PIC &gt; 20 mmHg = HIC. PIC &gt; 40 mmHg = HIC grave.</w:t>
      </w:r>
    </w:p>
    <w:p>
      <w:r>
        <w:rPr>
          <w:sz w:val="16"/>
          <w:szCs w:val="16"/>
        </w:rPr>
        <w:t xml:space="preserve"/>
      </w:r>
    </w:p>
    <w:p>
      <w:pPr>
        <w:spacing w:after="120" w:before="240"/>
      </w:pPr>
      <w:r>
        <w:rPr>
          <w:rFonts w:ascii="Arial" w:cs="Arial" w:eastAsia="Arial" w:hAnsi="Arial"/>
          <w:b/>
          <w:bCs/>
          <w:color w:val="2E75B6"/>
          <w:sz w:val="26"/>
          <w:szCs w:val="26"/>
        </w:rPr>
        <w:t xml:space="preserve">13.1 Escada Terapêutica da HIC (Berlin 2015 / Consensus 2017)</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3900"/>
        <w:gridCol w:w="2300"/>
      </w:tblGrid>
      <w:tr>
        <w:tc>
          <w:tcPr>
            <w:tcW w:type="dxa" w:w="700"/>
            <w:gridSpan w:val="1"/>
            <w:tcBorders>
              <w:top w:val="single" w:color="FFFFFF" w:sz="1"/>
              <w:left w:val="single" w:color="FFFFFF" w:sz="1"/>
              <w:bottom w:val="single" w:color="FFFFFF" w:sz="1"/>
              <w:right w:val="single" w:color="FFFFFF" w:sz="1"/>
            </w:tcBorders>
            <w:shd w:fill="6A1B9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Nível</w:t>
            </w:r>
          </w:p>
        </w:tc>
        <w:tc>
          <w:tcPr>
            <w:tcW w:type="dxa" w:w="2300"/>
            <w:gridSpan w:val="1"/>
            <w:tcBorders>
              <w:top w:val="single" w:color="FFFFFF" w:sz="1"/>
              <w:left w:val="single" w:color="FFFFFF" w:sz="1"/>
              <w:bottom w:val="single" w:color="FFFFFF" w:sz="1"/>
              <w:right w:val="single" w:color="FFFFFF" w:sz="1"/>
            </w:tcBorders>
            <w:shd w:fill="6A1B9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Intervenção</w:t>
            </w:r>
          </w:p>
        </w:tc>
        <w:tc>
          <w:tcPr>
            <w:tcW w:type="dxa" w:w="3900"/>
            <w:gridSpan w:val="1"/>
            <w:tcBorders>
              <w:top w:val="single" w:color="FFFFFF" w:sz="1"/>
              <w:left w:val="single" w:color="FFFFFF" w:sz="1"/>
              <w:bottom w:val="single" w:color="FFFFFF" w:sz="1"/>
              <w:right w:val="single" w:color="FFFFFF" w:sz="1"/>
            </w:tcBorders>
            <w:shd w:fill="6A1B9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Técnica</w:t>
            </w:r>
          </w:p>
        </w:tc>
        <w:tc>
          <w:tcPr>
            <w:tcW w:type="dxa" w:w="2300"/>
            <w:gridSpan w:val="1"/>
            <w:tcBorders>
              <w:top w:val="single" w:color="FFFFFF" w:sz="1"/>
              <w:left w:val="single" w:color="FFFFFF" w:sz="1"/>
              <w:bottom w:val="single" w:color="FFFFFF" w:sz="1"/>
              <w:right w:val="single" w:color="FFFFFF" w:sz="1"/>
            </w:tcBorders>
            <w:shd w:fill="6A1B9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Meta / Evidência</w:t>
            </w:r>
          </w:p>
        </w:tc>
      </w:tr>
      <w:tr>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424242"/>
                <w:sz w:val="18"/>
                <w:szCs w:val="18"/>
              </w:rPr>
              <w:t xml:space="preserve">1</w:t>
            </w:r>
          </w:p>
        </w:tc>
        <w:tc>
          <w:tcPr>
            <w:tcW w:type="dxa" w:w="2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424242"/>
                <w:sz w:val="18"/>
                <w:szCs w:val="18"/>
              </w:rPr>
              <w:t xml:space="preserve">Medidas de Base</w:t>
            </w:r>
          </w:p>
        </w:tc>
        <w:tc>
          <w:tcPr>
            <w:tcW w:type="dxa" w:w="3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Cabeceira 30°; normocapnia (PaCO2 35–40); normoxemia; temperatura ≤ 37°C; dor/agitação controladas; náusea/tosse tratadas</w:t>
            </w:r>
          </w:p>
        </w:tc>
        <w:tc>
          <w:tcPr>
            <w:tcW w:type="dxa" w:w="2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PIC &lt; 20; PAM &gt; 80; PPC 60-70 mmHg</w:t>
            </w:r>
          </w:p>
        </w:tc>
      </w:tr>
      <w:tr>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424242"/>
                <w:sz w:val="18"/>
                <w:szCs w:val="18"/>
              </w:rPr>
              <w:t xml:space="preserve">2</w:t>
            </w:r>
          </w:p>
        </w:tc>
        <w:tc>
          <w:tcPr>
            <w:tcW w:type="dxa" w:w="2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424242"/>
                <w:sz w:val="18"/>
                <w:szCs w:val="18"/>
              </w:rPr>
              <w:t xml:space="preserve">Sedação + Analgesia</w:t>
            </w:r>
          </w:p>
        </w:tc>
        <w:tc>
          <w:tcPr>
            <w:tcW w:type="dxa" w:w="3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Propofol 1ª escolha (reduz PIC + CMRO2). Ketamina: segura se normocapnia (controverso — revisão 2020 favorável). Opioides: fentanil IV.</w:t>
            </w:r>
          </w:p>
        </w:tc>
        <w:tc>
          <w:tcPr>
            <w:tcW w:type="dxa" w:w="2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RASS -3 a -4 em HIC ativa</w:t>
            </w:r>
          </w:p>
        </w:tc>
      </w:tr>
      <w:tr>
        <w:tc>
          <w:tcPr>
            <w:tcW w:type="dxa" w:w="7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center"/>
            </w:pPr>
            <w:r>
              <w:rPr>
                <w:rFonts w:ascii="Arial" w:cs="Arial" w:eastAsia="Arial" w:hAnsi="Arial"/>
                <w:b/>
                <w:bCs/>
                <w:color w:val="424242"/>
                <w:sz w:val="18"/>
                <w:szCs w:val="18"/>
              </w:rPr>
              <w:t xml:space="preserve">3</w:t>
            </w:r>
          </w:p>
        </w:tc>
        <w:tc>
          <w:tcPr>
            <w:tcW w:type="dxa" w:w="23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b/>
                <w:bCs/>
                <w:color w:val="424242"/>
                <w:sz w:val="18"/>
                <w:szCs w:val="18"/>
              </w:rPr>
              <w:t xml:space="preserve">Drenagem LCR</w:t>
            </w:r>
          </w:p>
        </w:tc>
        <w:tc>
          <w:tcPr>
            <w:tcW w:type="dxa" w:w="39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Cateter ventricular externo (DVE) com drenagem LCR. Indicado em hidrocefalia obstr. ou HIC refratária.</w:t>
            </w:r>
          </w:p>
        </w:tc>
        <w:tc>
          <w:tcPr>
            <w:tcW w:type="dxa" w:w="23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Cada 1 mL LCR drenado reduz PIC ~1 mmHg</w:t>
            </w:r>
          </w:p>
        </w:tc>
      </w:tr>
      <w:tr>
        <w:tc>
          <w:tcPr>
            <w:tcW w:type="dxa" w:w="7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center"/>
            </w:pPr>
            <w:r>
              <w:rPr>
                <w:rFonts w:ascii="Arial" w:cs="Arial" w:eastAsia="Arial" w:hAnsi="Arial"/>
                <w:b/>
                <w:bCs/>
                <w:color w:val="424242"/>
                <w:sz w:val="18"/>
                <w:szCs w:val="18"/>
              </w:rPr>
              <w:t xml:space="preserve">4</w:t>
            </w:r>
          </w:p>
        </w:tc>
        <w:tc>
          <w:tcPr>
            <w:tcW w:type="dxa" w:w="23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b/>
                <w:bCs/>
                <w:color w:val="424242"/>
                <w:sz w:val="18"/>
                <w:szCs w:val="18"/>
              </w:rPr>
              <w:t xml:space="preserve">Hiperosmolar</w:t>
            </w:r>
          </w:p>
        </w:tc>
        <w:tc>
          <w:tcPr>
            <w:tcW w:type="dxa" w:w="39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Manitol 20%: 0,25–1 g/kg IV bólus (efeito 15 min). SF 7,5%: 150 mL em 20 min (efeito 20–30 min). Monitorar: Osm &lt; 320 mOsm/L (manitol), Na &lt; 160 (SF).</w:t>
            </w:r>
          </w:p>
        </w:tc>
        <w:tc>
          <w:tcPr>
            <w:tcW w:type="dxa" w:w="23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Hipertônico: escolha atual p/ PIC refratária (Cottenceau 2011)</w:t>
            </w:r>
          </w:p>
        </w:tc>
      </w:tr>
      <w:tr>
        <w:tc>
          <w:tcPr>
            <w:tcW w:type="dxa" w:w="7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424242"/>
                <w:sz w:val="18"/>
                <w:szCs w:val="18"/>
              </w:rPr>
              <w:t xml:space="preserve">5</w:t>
            </w:r>
          </w:p>
        </w:tc>
        <w:tc>
          <w:tcPr>
            <w:tcW w:type="dxa" w:w="23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bCs/>
                <w:color w:val="424242"/>
                <w:sz w:val="18"/>
                <w:szCs w:val="18"/>
              </w:rPr>
              <w:t xml:space="preserve">Hiperventilação</w:t>
            </w:r>
          </w:p>
        </w:tc>
        <w:tc>
          <w:tcPr>
            <w:tcW w:type="dxa" w:w="3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PaCO2 30–35 mmHg — efeito imediato (vasoconstrição). USO TEMPORÁRIO (resgate) — máx 30 min. Hiperventilação prolongada = isquemia cerebral.</w:t>
            </w:r>
          </w:p>
        </w:tc>
        <w:tc>
          <w:tcPr>
            <w:tcW w:type="dxa" w:w="23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Apenas como ponte p/ outra medida (cirurgia)</w:t>
            </w:r>
          </w:p>
        </w:tc>
      </w:tr>
      <w:tr>
        <w:tc>
          <w:tcPr>
            <w:tcW w:type="dxa" w:w="7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424242"/>
                <w:sz w:val="18"/>
                <w:szCs w:val="18"/>
              </w:rPr>
              <w:t xml:space="preserve">6</w:t>
            </w:r>
          </w:p>
        </w:tc>
        <w:tc>
          <w:tcPr>
            <w:tcW w:type="dxa" w:w="23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bCs/>
                <w:color w:val="424242"/>
                <w:sz w:val="18"/>
                <w:szCs w:val="18"/>
              </w:rPr>
              <w:t xml:space="preserve">Barbitúricos</w:t>
            </w:r>
          </w:p>
        </w:tc>
        <w:tc>
          <w:tcPr>
            <w:tcW w:type="dxa" w:w="3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Tiopental: dose 5–10 mg/kg bólus → IC 1–5 mg/kg/h. Sedação profunda + redução CMRO2.</w:t>
            </w:r>
          </w:p>
        </w:tc>
        <w:tc>
          <w:tcPr>
            <w:tcW w:type="dxa" w:w="23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HIC refratária; risco hipotensão; EEG contínuo</w:t>
            </w:r>
          </w:p>
        </w:tc>
      </w:tr>
      <w:tr>
        <w:tc>
          <w:tcPr>
            <w:tcW w:type="dxa" w:w="7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424242"/>
                <w:sz w:val="18"/>
                <w:szCs w:val="18"/>
              </w:rPr>
              <w:t xml:space="preserve">7</w:t>
            </w:r>
          </w:p>
        </w:tc>
        <w:tc>
          <w:tcPr>
            <w:tcW w:type="dxa" w:w="23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bCs/>
                <w:color w:val="424242"/>
                <w:sz w:val="18"/>
                <w:szCs w:val="18"/>
              </w:rPr>
              <w:t xml:space="preserve">Hipotermia</w:t>
            </w:r>
          </w:p>
        </w:tc>
        <w:tc>
          <w:tcPr>
            <w:tcW w:type="dxa" w:w="3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32–35°C. Reduz CMRO2 7% por °C. Risco: infecção, arritmia, coagulopatia.</w:t>
            </w:r>
          </w:p>
        </w:tc>
        <w:tc>
          <w:tcPr>
            <w:tcW w:type="dxa" w:w="23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Evidência limitada — 2ª linha em HIC refratária</w:t>
            </w:r>
          </w:p>
        </w:tc>
      </w:tr>
      <w:tr>
        <w:tc>
          <w:tcPr>
            <w:tcW w:type="dxa" w:w="7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424242"/>
                <w:sz w:val="18"/>
                <w:szCs w:val="18"/>
              </w:rPr>
              <w:t xml:space="preserve">8</w:t>
            </w:r>
          </w:p>
        </w:tc>
        <w:tc>
          <w:tcPr>
            <w:tcW w:type="dxa" w:w="23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bCs/>
                <w:color w:val="424242"/>
                <w:sz w:val="18"/>
                <w:szCs w:val="18"/>
              </w:rPr>
              <w:t xml:space="preserve">Craniectomia Descompressiva</w:t>
            </w:r>
          </w:p>
        </w:tc>
        <w:tc>
          <w:tcPr>
            <w:tcW w:type="dxa" w:w="3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Remoção osso temporal-frontal (hemisferial) para acomodar edema sem herniação.</w:t>
            </w:r>
          </w:p>
        </w:tc>
        <w:tc>
          <w:tcPr>
            <w:tcW w:type="dxa" w:w="23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DECRA 2011, RESCUEicp 2016: melhora sobrevida mas piora desfecho funcional</w:t>
            </w:r>
          </w:p>
        </w:tc>
      </w:tr>
    </w:tbl>
    <w:p>
      <w:r>
        <w:rPr>
          <w:sz w:val="16"/>
          <w:szCs w:val="16"/>
        </w:rPr>
        <w:t xml:space="preserve"/>
      </w:r>
    </w:p>
    <w:p>
      <w:r>
        <w:rPr>
          <w:sz w:val="16"/>
          <w:szCs w:val="16"/>
        </w:rPr>
        <w:t xml:space="preserve"/>
      </w:r>
    </w:p>
    <w:p>
      <w:pPr>
        <w:pBdr>
          <w:bottom w:val="single" w:color="2E75B6" w:sz="8" w:space="1"/>
        </w:pBdr>
        <w:spacing w:after="160" w:before="360"/>
      </w:pPr>
      <w:r>
        <w:rPr>
          <w:rFonts w:ascii="Arial" w:cs="Arial" w:eastAsia="Arial" w:hAnsi="Arial"/>
          <w:b/>
          <w:bCs/>
          <w:caps/>
          <w:color w:val="1B3A6B"/>
          <w:sz w:val="34"/>
          <w:szCs w:val="34"/>
        </w:rPr>
        <w:t xml:space="preserve">14. TCE GRAVE — PROTOCOLO UTI (Glasgow ≤ 8)</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400"/>
      </w:tblGrid>
      <w:tr>
        <w:tc>
          <w:tcPr>
            <w:tcW w:type="dxa" w:w="2400"/>
            <w:gridSpan w:val="1"/>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Parâmetro</w:t>
            </w:r>
          </w:p>
        </w:tc>
        <w:tc>
          <w:tcPr>
            <w:tcW w:type="dxa" w:w="3400"/>
            <w:gridSpan w:val="1"/>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Meta / Target</w:t>
            </w:r>
          </w:p>
        </w:tc>
        <w:tc>
          <w:tcPr>
            <w:tcW w:type="dxa" w:w="3400"/>
            <w:gridSpan w:val="1"/>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Racional / Evidência</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PPC (Pressão Perfusão Cerebral)</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2E7D32"/>
                <w:sz w:val="18"/>
                <w:szCs w:val="18"/>
              </w:rPr>
              <w:t xml:space="preserve">60–70 mmHg (alvo individualizado)</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PPC = PAM – PIC. CPP-directed therapy (BEST-TRIP 2012) não superior a PIC-directed.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PIC</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D32"/>
                <w:sz w:val="18"/>
                <w:szCs w:val="18"/>
              </w:rPr>
              <w:t xml:space="preserve">&lt; 20 mmHg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&gt; 20 mmHg = HIC. Tratamento agressivo. Monitorar com DVE ou Camino bolt.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PAM</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2E7D32"/>
                <w:sz w:val="18"/>
                <w:szCs w:val="18"/>
              </w:rPr>
              <w:t xml:space="preserve">≥ 80–90 mmHg</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Manter PPC adequada. Noradrenalina se necessário.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PaO2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80–120 mmHg (SatO2 &gt; 95%)</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Hipóxia piora desfecho. Hiperoxia (PaO2 &gt; 300) = dano oxidativo — evitar.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PaCO2</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35–40 mmHg (normocapnia)</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Hipercapnia = vasodilatação → HIC. Hipocapnia = isquemia.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Temperatura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Normotermia ≤ 37,5°C</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Hiperpirexia aumenta CMRO2 20%/°C. Paracetamol + resfriamento externo.</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Glicemia</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140–180 mg/dL</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Hipoglicemia = dano neuronal imediato. Hiperglicemia piora edema.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Sódio</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138–145 mEq/L (ou até 150 se HIC)</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Hiponatremia → edema cerebral. SF hipertônico profilático controverso.</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Coagulação</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INR ≤ 1,5; Plaquetas ≥ 100.000</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Coagulopatia piora expansão hematoma — corrigir agressivamente (TCE hemorrágico).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Profilaxia convulsão</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Levetiracetam 500-1000 mg IV q12h por 7 dias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STICH: não melhora desfecho neuro mas reduz convulsões precoces (&lt; 7 dias).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Drenagem LCR (DVE)</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Objetivo: PIC &lt; 20 mmHg</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Drenagem intermitente ou contínua. Zero no forame de Monro (tragus).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Nutrição</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Enteral em 24-48h (se hemodinâmica estável)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Hipermetabolismo pós-TCE (130-140% do basal). Proteína 1,5-2 g/kg/dia.</w:t>
            </w:r>
          </w:p>
        </w:tc>
      </w:tr>
    </w:tbl>
    <w:p>
      <w:r>
        <w:rPr>
          <w:sz w:val="16"/>
          <w:szCs w:val="16"/>
        </w:rPr>
        <w:t xml:space="preserve"/>
      </w:r>
    </w:p>
    <w:p>
      <w:r>
        <w:rPr>
          <w:sz w:val="16"/>
          <w:szCs w:val="16"/>
        </w:rPr>
        <w:t xml:space="preserve"/>
      </w:r>
    </w:p>
    <w:p>
      <w:pPr>
        <w:pBdr>
          <w:bottom w:val="single" w:color="2E75B6" w:sz="8" w:space="1"/>
        </w:pBdr>
        <w:spacing w:after="160" w:before="360"/>
      </w:pPr>
      <w:r>
        <w:rPr>
          <w:rFonts w:ascii="Arial" w:cs="Arial" w:eastAsia="Arial" w:hAnsi="Arial"/>
          <w:b/>
          <w:bCs/>
          <w:caps/>
          <w:color w:val="1B3A6B"/>
          <w:sz w:val="34"/>
          <w:szCs w:val="34"/>
        </w:rPr>
        <w:t xml:space="preserve">15. AVC HEMORRÁGICO (AVCH) — UTI NEUROLÓGICA</w:t>
      </w:r>
    </w:p>
    <w:p>
      <w:pPr>
        <w:spacing w:after="120" w:before="240"/>
      </w:pPr>
      <w:r>
        <w:rPr>
          <w:rFonts w:ascii="Arial" w:cs="Arial" w:eastAsia="Arial" w:hAnsi="Arial"/>
          <w:b/>
          <w:bCs/>
          <w:color w:val="2E75B6"/>
          <w:sz w:val="26"/>
          <w:szCs w:val="26"/>
        </w:rPr>
        <w:t xml:space="preserve">15.1 AVCH Hipertensivo — Metas e Manejo Agudo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000"/>
      </w:tblGrid>
      <w:tr>
        <w:tc>
          <w:tcPr>
            <w:tcW w:type="dxa" w:w="3200"/>
            <w:gridSpan w:val="1"/>
            <w:tcBorders>
              <w:top w:val="single" w:color="FFFFFF" w:sz="1"/>
              <w:left w:val="single" w:color="FFFFFF" w:sz="1"/>
              <w:bottom w:val="single" w:color="FFFFFF" w:sz="1"/>
              <w:right w:val="single" w:color="FFFFFF" w:sz="1"/>
            </w:tcBorders>
            <w:shd w:fill="C6282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Intervenção</w:t>
            </w:r>
          </w:p>
        </w:tc>
        <w:tc>
          <w:tcPr>
            <w:tcW w:type="dxa" w:w="3000"/>
            <w:gridSpan w:val="1"/>
            <w:tcBorders>
              <w:top w:val="single" w:color="FFFFFF" w:sz="1"/>
              <w:left w:val="single" w:color="FFFFFF" w:sz="1"/>
              <w:bottom w:val="single" w:color="FFFFFF" w:sz="1"/>
              <w:right w:val="single" w:color="FFFFFF" w:sz="1"/>
            </w:tcBorders>
            <w:shd w:fill="C6282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Alvo / Dose</w:t>
            </w:r>
          </w:p>
        </w:tc>
        <w:tc>
          <w:tcPr>
            <w:tcW w:type="dxa" w:w="3000"/>
            <w:gridSpan w:val="1"/>
            <w:tcBorders>
              <w:top w:val="single" w:color="FFFFFF" w:sz="1"/>
              <w:left w:val="single" w:color="FFFFFF" w:sz="1"/>
              <w:bottom w:val="single" w:color="FFFFFF" w:sz="1"/>
              <w:right w:val="single" w:color="FFFFFF" w:sz="1"/>
            </w:tcBorders>
            <w:shd w:fill="C6282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Evidência</w:t>
            </w:r>
          </w:p>
        </w:tc>
      </w:tr>
      <w:tr>
        <w:tc>
          <w:tcPr>
            <w:tcW w:type="dxa" w:w="3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bCs/>
                <w:color w:val="C62828"/>
                <w:sz w:val="18"/>
                <w:szCs w:val="18"/>
              </w:rPr>
              <w:t xml:space="preserve">PA — redução ≤ 1h (INTERACT-2/ATACH-2)</w:t>
            </w:r>
          </w:p>
        </w:tc>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bCs/>
                <w:color w:val="2E7D32"/>
                <w:sz w:val="18"/>
                <w:szCs w:val="18"/>
              </w:rPr>
              <w:t xml:space="preserve">INTERACT-2: PAS &lt; 140 mmHg em 1h. ATACH-2: sem benefício adicional com &lt; 110. Meta atual: PAS 130-150 mmHg.</w:t>
            </w:r>
          </w:p>
        </w:tc>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INTERACT-2 (NEJM 2013): PA &lt; 140 → menor expansão hematoma. ATACH-2 (NEJM 2016): &lt; 110 = mais eventos renais.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62828"/>
                <w:sz w:val="18"/>
                <w:szCs w:val="18"/>
              </w:rPr>
              <w:t xml:space="preserve">Anti-hipertensivo IV de escolha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Nicardipina 5–15 mg/h IC (1ª escolha) OU Labetalol 5-20 mg bólus OU Esmolol (FA) OU Hidralazina 5-10 mg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Nicardipina: titulação mais precisa. Nitroprussiato: EVITAR (vasodilatação cerebral → piora PIC).</w:t>
            </w:r>
          </w:p>
        </w:tc>
      </w:tr>
      <w:tr>
        <w:tc>
          <w:tcPr>
            <w:tcW w:type="dxa" w:w="3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bCs/>
                <w:color w:val="C62828"/>
                <w:sz w:val="18"/>
                <w:szCs w:val="18"/>
              </w:rPr>
              <w:t xml:space="preserve">Reversão anticoagulação</w:t>
            </w:r>
          </w:p>
        </w:tc>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Varfarina: CCP 4 fatores (25-50 U/kg) + Vit K 10 mg IV. NOAC: Andexanet-alfa (rivarox/apixaban) ou Idarucizumab (dabigatrana).</w:t>
            </w:r>
          </w:p>
        </w:tc>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AHA/ASA 2022: reversão urgente dentro de 4h. CCP &gt; PFC (resultado mais rápido).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62828"/>
                <w:sz w:val="18"/>
                <w:szCs w:val="18"/>
              </w:rPr>
              <w:t xml:space="preserve">Cirurgia (esvaziamento hematoma)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Glasgow 9-12 com deterioração + hematoma lobar acessível: considerar. Hematoma &lt; 30 mL: clínico. &gt; 60 mL profundo: geralmente clínico.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STICH I e II: cirurgia precoce sem benefício claro. ENRICH 2024: aspiração endoscópica melhora desfecho funcional em putamenal/lobar.</w:t>
            </w:r>
          </w:p>
        </w:tc>
      </w:tr>
      <w:tr>
        <w:tc>
          <w:tcPr>
            <w:tcW w:type="dxa" w:w="3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bCs/>
                <w:color w:val="C62828"/>
                <w:sz w:val="18"/>
                <w:szCs w:val="18"/>
              </w:rPr>
              <w:t xml:space="preserve">Hemostasia (hemorragia em expansão)</w:t>
            </w:r>
          </w:p>
        </w:tc>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Tranexâmico: sem benefício na AVCH isolada. Plasma: apenas se coagulopatia. Plaquetas: se &lt; 50.000 ou AAS+anticoag.</w:t>
            </w:r>
          </w:p>
        </w:tc>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TICH-2 (Lancet 2018): tranexâmico não melhora desfecho. Diferente do AVC isquêmico.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62828"/>
                <w:sz w:val="18"/>
                <w:szCs w:val="18"/>
              </w:rPr>
              <w:t xml:space="preserve">Pressão intracraniana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DVE se PIC &gt; 20 ou hidrocefalia. Monitorização Bolt.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Escada terapêutica HIC (item 13).</w:t>
            </w:r>
          </w:p>
        </w:tc>
      </w:tr>
    </w:tbl>
    <w:p>
      <w:r>
        <w:rPr>
          <w:sz w:val="16"/>
          <w:szCs w:val="16"/>
        </w:rPr>
        <w:t xml:space="preserve"/>
      </w:r>
    </w:p>
    <w:p>
      <w:pPr>
        <w:spacing w:after="120" w:before="240"/>
      </w:pPr>
      <w:r>
        <w:rPr>
          <w:rFonts w:ascii="Arial" w:cs="Arial" w:eastAsia="Arial" w:hAnsi="Arial"/>
          <w:b/>
          <w:bCs/>
          <w:color w:val="2E75B6"/>
          <w:sz w:val="26"/>
          <w:szCs w:val="26"/>
        </w:rPr>
        <w:t xml:space="preserve">15.2 Hemorragia Subaracnóidea (HSA) — Manejo na UTI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200"/>
      </w:tblGrid>
      <w:tr>
        <w:tc>
          <w:tcPr>
            <w:tcW w:type="dxa" w:w="2400"/>
            <w:gridSpan w:val="1"/>
            <w:tcBorders>
              <w:top w:val="single" w:color="FFFFFF" w:sz="1"/>
              <w:left w:val="single" w:color="FFFFFF" w:sz="1"/>
              <w:bottom w:val="single" w:color="FFFFFF" w:sz="1"/>
              <w:right w:val="single" w:color="FFFFFF" w:sz="1"/>
            </w:tcBorders>
            <w:shd w:fill="E65100"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Complicação</w:t>
            </w:r>
          </w:p>
        </w:tc>
        <w:tc>
          <w:tcPr>
            <w:tcW w:type="dxa" w:w="3600"/>
            <w:gridSpan w:val="1"/>
            <w:tcBorders>
              <w:top w:val="single" w:color="FFFFFF" w:sz="1"/>
              <w:left w:val="single" w:color="FFFFFF" w:sz="1"/>
              <w:bottom w:val="single" w:color="FFFFFF" w:sz="1"/>
              <w:right w:val="single" w:color="FFFFFF" w:sz="1"/>
            </w:tcBorders>
            <w:shd w:fill="E65100"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Manejo / Dose</w:t>
            </w:r>
          </w:p>
        </w:tc>
        <w:tc>
          <w:tcPr>
            <w:tcW w:type="dxa" w:w="3200"/>
            <w:gridSpan w:val="1"/>
            <w:tcBorders>
              <w:top w:val="single" w:color="FFFFFF" w:sz="1"/>
              <w:left w:val="single" w:color="FFFFFF" w:sz="1"/>
              <w:bottom w:val="single" w:color="FFFFFF" w:sz="1"/>
              <w:right w:val="single" w:color="FFFFFF" w:sz="1"/>
            </w:tcBorders>
            <w:shd w:fill="E65100"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Evidência / Meta</w:t>
            </w:r>
          </w:p>
        </w:tc>
      </w:tr>
      <w:tr>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bCs/>
                <w:color w:val="E65100"/>
                <w:sz w:val="18"/>
                <w:szCs w:val="18"/>
              </w:rPr>
              <w:t xml:space="preserve">Ressangramento (1ª semana — maior risco)</w:t>
            </w:r>
          </w:p>
        </w:tc>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Clipagem ou embolização PRECOCE (&lt; 24h) do aneurisma. Manter PAS &lt; 160 antes do tratamento definitivo.</w:t>
            </w:r>
          </w:p>
        </w:tc>
        <w:tc>
          <w:tcPr>
            <w:tcW w:type="dxa" w:w="3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Risco 15-20% primeiro dia sem tratamento. ISAT: coiling = clipagem em HSA aneurismática (NEJM 2002).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E65100"/>
                <w:sz w:val="18"/>
                <w:szCs w:val="18"/>
              </w:rPr>
              <w:t xml:space="preserve">Vasoespasmo (dias 4-14)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Nimodipina 60 mg VO q4h por 21 dias (PADRÃO). Euvolemia (evitar hipovolemia). Triple H abandonado — HHH sem evidência atual.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Nimodipina: único fármaco com evidência de melhora desfecho (Pickard 1989). Reduz isquemia tardia.</w:t>
            </w:r>
          </w:p>
        </w:tc>
      </w:tr>
      <w:tr>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bCs/>
                <w:color w:val="E65100"/>
                <w:sz w:val="18"/>
                <w:szCs w:val="18"/>
              </w:rPr>
              <w:t xml:space="preserve">Isquemia Cerebral Tardia (DCI)</w:t>
            </w:r>
          </w:p>
        </w:tc>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Monitorização Doppler transcraniano (VMCA &gt; 120-200 cm/s = vasoespasmo). Elevar PA se DCI (noradrenalina). Angioplastia química.</w:t>
            </w:r>
          </w:p>
        </w:tc>
        <w:tc>
          <w:tcPr>
            <w:tcW w:type="dxa" w:w="3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IDA = principal causa de morbimortalidade em HSA após ressangramento.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E65100"/>
                <w:sz w:val="18"/>
                <w:szCs w:val="18"/>
              </w:rPr>
              <w:t xml:space="preserve">Hidrocefalia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DVE se hidrocefalia aguda (Glasgow caindo). Derivação VP se crônica.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Hidrocefalia: 20-30% dos casos. Emergência cirúrgica.</w:t>
            </w:r>
          </w:p>
        </w:tc>
      </w:tr>
      <w:tr>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bCs/>
                <w:color w:val="E65100"/>
                <w:sz w:val="18"/>
                <w:szCs w:val="18"/>
              </w:rPr>
              <w:t xml:space="preserve">Hiponatremia (SIADH / CSWS)</w:t>
            </w:r>
          </w:p>
        </w:tc>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SIADH: restrição hídrica (controverso em HSA). CSWS: SF 0,9% + fludrocortisona. SF hipertônico se Na &lt; 125 + sintomas.</w:t>
            </w:r>
          </w:p>
        </w:tc>
        <w:tc>
          <w:tcPr>
            <w:tcW w:type="dxa" w:w="3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Hiponatremia piora vasoespasmo. CSWS é mais comum que SIADH em HSA.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E65100"/>
                <w:sz w:val="18"/>
                <w:szCs w:val="18"/>
              </w:rPr>
              <w:t xml:space="preserve">Convulsões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Levetiracetam profilático: dados limitados. Tratar convulsões clinicamente evidentes.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Convulsão pós-HSA: 1-7% (mais em clipagem). Profilaxia de rotina: sem evidência robusta.</w:t>
            </w:r>
          </w:p>
        </w:tc>
      </w:tr>
      <w:tr>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bCs/>
                <w:color w:val="E65100"/>
                <w:sz w:val="18"/>
                <w:szCs w:val="18"/>
              </w:rPr>
              <w:t xml:space="preserve">Cardiotoxicidade (Wave Syndrome)</w:t>
            </w:r>
          </w:p>
        </w:tc>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ECG: ondas T invertidas difusas, QT longo, troponina elevada. Ecocardiograma: disfunção VE transitória (stunned myocardium).</w:t>
            </w:r>
          </w:p>
        </w:tc>
        <w:tc>
          <w:tcPr>
            <w:tcW w:type="dxa" w:w="3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Catecolaminas pelo hipotálamo/SRAA. Geralmente transitório. Dobutamina se choque cardiogênico.</w:t>
            </w:r>
          </w:p>
        </w:tc>
      </w:tr>
    </w:tbl>
    <w:p>
      <w:r>
        <w:rPr>
          <w:sz w:val="16"/>
          <w:szCs w:val="16"/>
        </w:rPr>
        <w:t xml:space="preserve"/>
      </w:r>
    </w:p>
    <w:p>
      <w:r>
        <w:rPr>
          <w:sz w:val="16"/>
          <w:szCs w:val="16"/>
        </w:rPr>
        <w:t xml:space="preserve"/>
      </w:r>
    </w:p>
    <w:p>
      <w:pPr>
        <w:pBdr>
          <w:bottom w:val="single" w:color="2E75B6" w:sz="8" w:space="1"/>
        </w:pBdr>
        <w:spacing w:after="160" w:before="360"/>
      </w:pPr>
      <w:r>
        <w:rPr>
          <w:rFonts w:ascii="Arial" w:cs="Arial" w:eastAsia="Arial" w:hAnsi="Arial"/>
          <w:b/>
          <w:bCs/>
          <w:caps/>
          <w:color w:val="1B3A6B"/>
          <w:sz w:val="34"/>
          <w:szCs w:val="34"/>
        </w:rPr>
        <w:t xml:space="preserve">16. MONITORIZAÇÃO MULTIMODAL NEUROLÓGICA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400"/>
      </w:tblGrid>
      <w:tr>
        <w:tc>
          <w:tcPr>
            <w:tcW w:type="dxa" w:w="2000"/>
            <w:gridSpan w:val="1"/>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Método</w:t>
            </w:r>
          </w:p>
        </w:tc>
        <w:tc>
          <w:tcPr>
            <w:tcW w:type="dxa" w:w="2200"/>
            <w:gridSpan w:val="1"/>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Parâmetro</w:t>
            </w:r>
          </w:p>
        </w:tc>
        <w:tc>
          <w:tcPr>
            <w:tcW w:type="dxa" w:w="2600"/>
            <w:gridSpan w:val="1"/>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Indicação / Meta</w:t>
            </w:r>
          </w:p>
        </w:tc>
        <w:tc>
          <w:tcPr>
            <w:tcW w:type="dxa" w:w="2400"/>
            <w:gridSpan w:val="1"/>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Limitações</w:t>
            </w:r>
          </w:p>
        </w:tc>
      </w:tr>
      <w:tr>
        <w:tc>
          <w:tcPr>
            <w:tcW w:type="dxa" w:w="2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6A1B9A"/>
                <w:sz w:val="18"/>
                <w:szCs w:val="18"/>
              </w:rPr>
              <w:t xml:space="preserve">Cateter PIC (DVE/Bolt)</w:t>
            </w:r>
          </w:p>
        </w:tc>
        <w:tc>
          <w:tcPr>
            <w:tcW w:type="dxa" w:w="2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PIC contínua. DVE = gold standard.</w:t>
            </w:r>
          </w:p>
        </w:tc>
        <w:tc>
          <w:tcPr>
            <w:tcW w:type="dxa" w:w="2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TCE grave, HSA, HIC refratária. Meta &lt; 20 mmHg.</w:t>
            </w:r>
          </w:p>
        </w:tc>
        <w:tc>
          <w:tcPr>
            <w:tcW w:type="dxa" w:w="24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Invasivo. Risco infecção/sangramento.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6A1B9A"/>
                <w:sz w:val="18"/>
                <w:szCs w:val="18"/>
              </w:rPr>
              <w:t xml:space="preserve">PPC (PAM – PIC)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Perfusão cerebral calculada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Meta 60–70 mmHg (TCE). Ajustar por autoregulação.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Calculado — não mede fluxo real.</w:t>
            </w:r>
          </w:p>
        </w:tc>
      </w:tr>
      <w:tr>
        <w:tc>
          <w:tcPr>
            <w:tcW w:type="dxa" w:w="2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6A1B9A"/>
                <w:sz w:val="18"/>
                <w:szCs w:val="18"/>
              </w:rPr>
              <w:t xml:space="preserve">Doppler Transcraniano (DTC)</w:t>
            </w:r>
          </w:p>
        </w:tc>
        <w:tc>
          <w:tcPr>
            <w:tcW w:type="dxa" w:w="2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VMCA (VMCA &gt;120: vasoespasmo moderado; &gt;200: grave)</w:t>
            </w:r>
          </w:p>
        </w:tc>
        <w:tc>
          <w:tcPr>
            <w:tcW w:type="dxa" w:w="2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HSA (vasoespasmo), TCE, monitorização embolia.</w:t>
            </w:r>
          </w:p>
        </w:tc>
        <w:tc>
          <w:tcPr>
            <w:tcW w:type="dxa" w:w="24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Operador-dependente. Janela acústica.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6A1B9A"/>
                <w:sz w:val="18"/>
                <w:szCs w:val="18"/>
              </w:rPr>
              <w:t xml:space="preserve">ONSD por POCUS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Diâmetro bainha nervo óptico (&gt; 5,8 mm = PIC &gt; 20)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Alternativa não-invasiva. Emergência/triagem.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Não contínuo. Baixa especificidade isolada.</w:t>
            </w:r>
          </w:p>
        </w:tc>
      </w:tr>
      <w:tr>
        <w:tc>
          <w:tcPr>
            <w:tcW w:type="dxa" w:w="2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6A1B9A"/>
                <w:sz w:val="18"/>
                <w:szCs w:val="18"/>
              </w:rPr>
              <w:t xml:space="preserve">SjO2 (Bulbo Jugular)</w:t>
            </w:r>
          </w:p>
        </w:tc>
        <w:tc>
          <w:tcPr>
            <w:tcW w:type="dxa" w:w="2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Saturação O2 jugular: 55-75% = normal</w:t>
            </w:r>
          </w:p>
        </w:tc>
        <w:tc>
          <w:tcPr>
            <w:tcW w:type="dxa" w:w="2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Detecta isquemia (&lt; 55%) ou hiperemia (&gt; 75%).</w:t>
            </w:r>
          </w:p>
        </w:tc>
        <w:tc>
          <w:tcPr>
            <w:tcW w:type="dxa" w:w="24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Invasivo. Ponto único de monitorização.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6A1B9A"/>
                <w:sz w:val="18"/>
                <w:szCs w:val="18"/>
              </w:rPr>
              <w:t xml:space="preserve">PtiO2 (Licox)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Tensão O2 tecidual cerebral: &gt; 20 mmHg normal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Isquemia local (&lt; 15 mmHg). Guia terapia.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Regional. Custo alto.</w:t>
            </w:r>
          </w:p>
        </w:tc>
      </w:tr>
      <w:tr>
        <w:tc>
          <w:tcPr>
            <w:tcW w:type="dxa" w:w="2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6A1B9A"/>
                <w:sz w:val="18"/>
                <w:szCs w:val="18"/>
              </w:rPr>
              <w:t xml:space="preserve">EEG contínuo</w:t>
            </w:r>
          </w:p>
        </w:tc>
        <w:tc>
          <w:tcPr>
            <w:tcW w:type="dxa" w:w="2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Atividade elétrica cerebral</w:t>
            </w:r>
          </w:p>
        </w:tc>
        <w:tc>
          <w:tcPr>
            <w:tcW w:type="dxa" w:w="2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Status epiléptico não-convulsivo (SENS): 8-20% UTI neuro.</w:t>
            </w:r>
          </w:p>
        </w:tc>
        <w:tc>
          <w:tcPr>
            <w:tcW w:type="dxa" w:w="24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Custo, disponibilidade, interpretação.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6A1B9A"/>
                <w:sz w:val="18"/>
                <w:szCs w:val="18"/>
              </w:rPr>
              <w:t xml:space="preserve">Microdialise cerebral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Glicose, lactato, piruvato, glutamato local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Pesquisa + centros especializados. Isquemia metabólica.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Invasivo. Interpretação complexa.</w:t>
            </w:r>
          </w:p>
        </w:tc>
      </w:tr>
      <w:tr>
        <w:tc>
          <w:tcPr>
            <w:tcW w:type="dxa" w:w="2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6A1B9A"/>
                <w:sz w:val="18"/>
                <w:szCs w:val="18"/>
              </w:rPr>
              <w:t xml:space="preserve">NIRS (Near-infrared spectroscopy)</w:t>
            </w:r>
          </w:p>
        </w:tc>
        <w:tc>
          <w:tcPr>
            <w:tcW w:type="dxa" w:w="2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Saturação O2 tecidual cerebral regional</w:t>
            </w:r>
          </w:p>
        </w:tc>
        <w:tc>
          <w:tcPr>
            <w:tcW w:type="dxa" w:w="2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Cirurgia cardíaca, TCE. Tendência útil.</w:t>
            </w:r>
          </w:p>
        </w:tc>
        <w:tc>
          <w:tcPr>
            <w:tcW w:type="dxa" w:w="24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Sem correlação direta com PIC.</w:t>
            </w:r>
          </w:p>
        </w:tc>
      </w:tr>
    </w:tbl>
    <w:p>
      <w:r>
        <w:rPr>
          <w:sz w:val="16"/>
          <w:szCs w:val="16"/>
        </w:rPr>
        <w:t xml:space="preserve"/>
      </w:r>
    </w:p>
    <w:p>
      <w:r>
        <w:rPr>
          <w:sz w:val="16"/>
          <w:szCs w:val="16"/>
        </w:rPr>
        <w:t xml:space="preserve"/>
      </w:r>
    </w:p>
    <w:p>
      <w:pPr>
        <w:pBdr>
          <w:bottom w:val="single" w:color="2E75B6" w:sz="8" w:space="1"/>
        </w:pBdr>
        <w:spacing w:after="160" w:before="360"/>
      </w:pPr>
      <w:r>
        <w:rPr>
          <w:rFonts w:ascii="Arial" w:cs="Arial" w:eastAsia="Arial" w:hAnsi="Arial"/>
          <w:b/>
          <w:bCs/>
          <w:caps/>
          <w:color w:val="1B3A6B"/>
          <w:sz w:val="34"/>
          <w:szCs w:val="34"/>
        </w:rPr>
        <w:t xml:space="preserve">17. MORTE ENCEFÁLICA — DIAGNÓSTICO E PROTOCOLO CFM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gridSpan w:val="1"/>
            <w:tcBorders>
              <w:top w:val="single" w:color="C62828" w:sz="1"/>
              <w:left w:val="single" w:color="C62828" w:sz="1"/>
              <w:bottom w:val="single" w:color="C62828" w:sz="1"/>
              <w:right w:val="single" w:color="C62828" w:sz="1"/>
            </w:tcBorders>
            <w:shd w:fill="C62828" w:val="clear"/>
            <w:tcMar>
              <w:top w:type="dxa" w:w="100"/>
              <w:left w:type="dxa" w:w="160"/>
              <w:bottom w:type="dxa" w:w="100"/>
              <w:right w:type="dxa" w:w="160"/>
            </w:tcMar>
          </w:tcPr>
          <w:p>
            <w:r>
              <w:rPr>
                <w:rFonts w:ascii="Arial" w:cs="Arial" w:eastAsia="Arial" w:hAnsi="Arial"/>
                <w:b/>
                <w:bCs/>
                <w:color w:val="FFFFFF"/>
                <w:sz w:val="20"/>
                <w:szCs w:val="20"/>
              </w:rPr>
              <w:t xml:space="preserve">🔴 DIAGNÓSTICO DE MORTE ENCEFÁLICA — CFM Resolução 2.173/2017</w:t>
            </w:r>
          </w:p>
        </w:tc>
      </w:tr>
      <w:tr>
        <w:tc>
          <w:tcPr>
            <w:tcW w:type="dxa" w:w="9200"/>
            <w:tcBorders>
              <w:top w:val="single" w:color="C62828" w:sz="1"/>
              <w:left w:val="single" w:color="C62828" w:sz="1"/>
              <w:bottom w:val="single" w:color="C62828" w:sz="1"/>
              <w:right w:val="single" w:color="C62828" w:sz="1"/>
            </w:tcBorders>
            <w:shd w:fill="FFFFFF" w:val="clear"/>
            <w:tcMar>
              <w:top w:type="dxa" w:w="50"/>
              <w:left w:type="dxa" w:w="160"/>
              <w:bottom w:type="dxa" w:w="50"/>
              <w:right w:type="dxa" w:w="160"/>
            </w:tcMar>
          </w:tcPr>
          <w:p>
            <w:r>
              <w:rPr>
                <w:rFonts w:ascii="Arial" w:cs="Arial" w:eastAsia="Arial" w:hAnsi="Arial"/>
                <w:color w:val="424242"/>
                <w:sz w:val="18"/>
                <w:szCs w:val="18"/>
              </w:rPr>
              <w:t xml:space="preserve">CRITÉRIOS CLÍNICOS (todos obrigatórios):</w:t>
            </w:r>
          </w:p>
        </w:tc>
      </w:tr>
      <w:tr>
        <w:tc>
          <w:tcPr>
            <w:tcW w:type="dxa" w:w="9200"/>
            <w:tcBorders>
              <w:top w:val="single" w:color="C62828" w:sz="1"/>
              <w:left w:val="single" w:color="C62828" w:sz="1"/>
              <w:bottom w:val="single" w:color="C62828" w:sz="1"/>
              <w:right w:val="single" w:color="C62828" w:sz="1"/>
            </w:tcBorders>
            <w:shd w:fill="FFFFFF" w:val="clear"/>
            <w:tcMar>
              <w:top w:type="dxa" w:w="50"/>
              <w:left w:type="dxa" w:w="160"/>
              <w:bottom w:type="dxa" w:w="50"/>
              <w:right w:type="dxa" w:w="160"/>
            </w:tcMar>
          </w:tcPr>
          <w:p>
            <w:r>
              <w:rPr>
                <w:rFonts w:ascii="Arial" w:cs="Arial" w:eastAsia="Arial" w:hAnsi="Arial"/>
                <w:color w:val="424242"/>
                <w:sz w:val="18"/>
                <w:szCs w:val="18"/>
              </w:rPr>
              <w:t xml:space="preserve">1. Coma aperceptivo com ausência de atividade motora supraespinal</w:t>
            </w:r>
          </w:p>
        </w:tc>
      </w:tr>
      <w:tr>
        <w:tc>
          <w:tcPr>
            <w:tcW w:type="dxa" w:w="9200"/>
            <w:tcBorders>
              <w:top w:val="single" w:color="C62828" w:sz="1"/>
              <w:left w:val="single" w:color="C62828" w:sz="1"/>
              <w:bottom w:val="single" w:color="C62828" w:sz="1"/>
              <w:right w:val="single" w:color="C62828" w:sz="1"/>
            </w:tcBorders>
            <w:shd w:fill="FFFFFF" w:val="clear"/>
            <w:tcMar>
              <w:top w:type="dxa" w:w="50"/>
              <w:left w:type="dxa" w:w="160"/>
              <w:bottom w:type="dxa" w:w="50"/>
              <w:right w:type="dxa" w:w="160"/>
            </w:tcMar>
          </w:tcPr>
          <w:p>
            <w:r>
              <w:rPr>
                <w:rFonts w:ascii="Arial" w:cs="Arial" w:eastAsia="Arial" w:hAnsi="Arial"/>
                <w:color w:val="424242"/>
                <w:sz w:val="18"/>
                <w:szCs w:val="18"/>
              </w:rPr>
              <w:t xml:space="preserve">2. Ausência de reflexos de tronco cerebral (fotomotor, córneo, óculo-cefálico, óculo-vestibular, tosse/faringe, resposta motora à dor em face)</w:t>
            </w:r>
          </w:p>
        </w:tc>
      </w:tr>
      <w:tr>
        <w:tc>
          <w:tcPr>
            <w:tcW w:type="dxa" w:w="9200"/>
            <w:tcBorders>
              <w:top w:val="single" w:color="C62828" w:sz="1"/>
              <w:left w:val="single" w:color="C62828" w:sz="1"/>
              <w:bottom w:val="single" w:color="C62828" w:sz="1"/>
              <w:right w:val="single" w:color="C62828" w:sz="1"/>
            </w:tcBorders>
            <w:shd w:fill="FFFFFF" w:val="clear"/>
            <w:tcMar>
              <w:top w:type="dxa" w:w="50"/>
              <w:left w:type="dxa" w:w="160"/>
              <w:bottom w:type="dxa" w:w="50"/>
              <w:right w:type="dxa" w:w="160"/>
            </w:tcMar>
          </w:tcPr>
          <w:p>
            <w:r>
              <w:rPr>
                <w:rFonts w:ascii="Arial" w:cs="Arial" w:eastAsia="Arial" w:hAnsi="Arial"/>
                <w:color w:val="424242"/>
                <w:sz w:val="18"/>
                <w:szCs w:val="18"/>
              </w:rPr>
              <w:t xml:space="preserve">3. Apneia confirmada: PaCO2 ≥ 55 mmHg (ou ≥ 20 mmHg acima do basal) SEM esforço respiratório</w:t>
            </w:r>
          </w:p>
        </w:tc>
      </w:tr>
      <w:tr>
        <w:tc>
          <w:tcPr>
            <w:tcW w:type="dxa" w:w="9200"/>
            <w:tcBorders>
              <w:top w:val="single" w:color="C62828" w:sz="1"/>
              <w:left w:val="single" w:color="C62828" w:sz="1"/>
              <w:bottom w:val="single" w:color="C62828" w:sz="1"/>
              <w:right w:val="single" w:color="C62828" w:sz="1"/>
            </w:tcBorders>
            <w:shd w:fill="FFEBEE" w:val="clear"/>
            <w:tcMar>
              <w:top w:type="dxa" w:w="50"/>
              <w:left w:type="dxa" w:w="160"/>
              <w:bottom w:type="dxa" w:w="50"/>
              <w:right w:type="dxa" w:w="160"/>
            </w:tcMar>
          </w:tcPr>
          <w:p>
            <w:r>
              <w:rPr>
                <w:rFonts w:ascii="Arial" w:cs="Arial" w:eastAsia="Arial" w:hAnsi="Arial"/>
                <w:color w:val="424242"/>
                <w:sz w:val="18"/>
                <w:szCs w:val="18"/>
              </w:rPr>
              <w:t xml:space="preserve"/>
            </w:r>
          </w:p>
        </w:tc>
      </w:tr>
      <w:tr>
        <w:tc>
          <w:tcPr>
            <w:tcW w:type="dxa" w:w="9200"/>
            <w:tcBorders>
              <w:top w:val="single" w:color="C62828" w:sz="1"/>
              <w:left w:val="single" w:color="C62828" w:sz="1"/>
              <w:bottom w:val="single" w:color="C62828" w:sz="1"/>
              <w:right w:val="single" w:color="C62828" w:sz="1"/>
            </w:tcBorders>
            <w:shd w:fill="FFFFFF" w:val="clear"/>
            <w:tcMar>
              <w:top w:type="dxa" w:w="50"/>
              <w:left w:type="dxa" w:w="160"/>
              <w:bottom w:type="dxa" w:w="50"/>
              <w:right w:type="dxa" w:w="160"/>
            </w:tcMar>
          </w:tcPr>
          <w:p>
            <w:r>
              <w:rPr>
                <w:rFonts w:ascii="Arial" w:cs="Arial" w:eastAsia="Arial" w:hAnsi="Arial"/>
                <w:color w:val="424242"/>
                <w:sz w:val="18"/>
                <w:szCs w:val="18"/>
              </w:rPr>
              <w:t xml:space="preserve">PROTOCOLO:</w:t>
            </w:r>
          </w:p>
        </w:tc>
      </w:tr>
      <w:tr>
        <w:tc>
          <w:tcPr>
            <w:tcW w:type="dxa" w:w="9200"/>
            <w:tcBorders>
              <w:top w:val="single" w:color="C62828" w:sz="1"/>
              <w:left w:val="single" w:color="C62828" w:sz="1"/>
              <w:bottom w:val="single" w:color="C62828" w:sz="1"/>
              <w:right w:val="single" w:color="C62828" w:sz="1"/>
            </w:tcBorders>
            <w:shd w:fill="FFFFFF" w:val="clear"/>
            <w:tcMar>
              <w:top w:type="dxa" w:w="50"/>
              <w:left w:type="dxa" w:w="160"/>
              <w:bottom w:type="dxa" w:w="50"/>
              <w:right w:type="dxa" w:w="160"/>
            </w:tcMar>
          </w:tcPr>
          <w:p>
            <w:r>
              <w:rPr>
                <w:rFonts w:ascii="Arial" w:cs="Arial" w:eastAsia="Arial" w:hAnsi="Arial"/>
                <w:color w:val="424242"/>
                <w:sz w:val="18"/>
                <w:szCs w:val="18"/>
              </w:rPr>
              <w:t xml:space="preserve">→ 2 avaliações clínicas (por médicos diferentes, pelo menos 1 com especialidade neuro)</w:t>
            </w:r>
          </w:p>
        </w:tc>
      </w:tr>
      <w:tr>
        <w:tc>
          <w:tcPr>
            <w:tcW w:type="dxa" w:w="9200"/>
            <w:tcBorders>
              <w:top w:val="single" w:color="C62828" w:sz="1"/>
              <w:left w:val="single" w:color="C62828" w:sz="1"/>
              <w:bottom w:val="single" w:color="C62828" w:sz="1"/>
              <w:right w:val="single" w:color="C62828" w:sz="1"/>
            </w:tcBorders>
            <w:shd w:fill="FFFFFF" w:val="clear"/>
            <w:tcMar>
              <w:top w:type="dxa" w:w="50"/>
              <w:left w:type="dxa" w:w="160"/>
              <w:bottom w:type="dxa" w:w="50"/>
              <w:right w:type="dxa" w:w="160"/>
            </w:tcMar>
          </w:tcPr>
          <w:p>
            <w:r>
              <w:rPr>
                <w:rFonts w:ascii="Arial" w:cs="Arial" w:eastAsia="Arial" w:hAnsi="Arial"/>
                <w:color w:val="424242"/>
                <w:sz w:val="18"/>
                <w:szCs w:val="18"/>
              </w:rPr>
              <w:t xml:space="preserve">→ Intervalos: Neonato (&lt;7d): 24h / 7d-2 meses: 12h / 2m-2anos: 12h / &gt; 2anos: 1h</w:t>
            </w:r>
          </w:p>
        </w:tc>
      </w:tr>
      <w:tr>
        <w:tc>
          <w:tcPr>
            <w:tcW w:type="dxa" w:w="9200"/>
            <w:tcBorders>
              <w:top w:val="single" w:color="C62828" w:sz="1"/>
              <w:left w:val="single" w:color="C62828" w:sz="1"/>
              <w:bottom w:val="single" w:color="C62828" w:sz="1"/>
              <w:right w:val="single" w:color="C62828" w:sz="1"/>
            </w:tcBorders>
            <w:shd w:fill="FFFFFF" w:val="clear"/>
            <w:tcMar>
              <w:top w:type="dxa" w:w="50"/>
              <w:left w:type="dxa" w:w="160"/>
              <w:bottom w:type="dxa" w:w="50"/>
              <w:right w:type="dxa" w:w="160"/>
            </w:tcMar>
          </w:tcPr>
          <w:p>
            <w:r>
              <w:rPr>
                <w:rFonts w:ascii="Arial" w:cs="Arial" w:eastAsia="Arial" w:hAnsi="Arial"/>
                <w:color w:val="424242"/>
                <w:sz w:val="18"/>
                <w:szCs w:val="18"/>
              </w:rPr>
              <w:t xml:space="preserve">→ EXAME COMPLEMENTAR obrigatório: Angiografia, EEG, SPECT, Doppler transcraniano (1 exame com ausência de fluxo/atividade)</w:t>
            </w:r>
          </w:p>
        </w:tc>
      </w:tr>
      <w:tr>
        <w:tc>
          <w:tcPr>
            <w:tcW w:type="dxa" w:w="9200"/>
            <w:tcBorders>
              <w:top w:val="single" w:color="C62828" w:sz="1"/>
              <w:left w:val="single" w:color="C62828" w:sz="1"/>
              <w:bottom w:val="single" w:color="C62828" w:sz="1"/>
              <w:right w:val="single" w:color="C62828" w:sz="1"/>
            </w:tcBorders>
            <w:shd w:fill="FFEBEE" w:val="clear"/>
            <w:tcMar>
              <w:top w:type="dxa" w:w="50"/>
              <w:left w:type="dxa" w:w="160"/>
              <w:bottom w:type="dxa" w:w="50"/>
              <w:right w:type="dxa" w:w="160"/>
            </w:tcMar>
          </w:tcPr>
          <w:p>
            <w:r>
              <w:rPr>
                <w:rFonts w:ascii="Arial" w:cs="Arial" w:eastAsia="Arial" w:hAnsi="Arial"/>
                <w:color w:val="424242"/>
                <w:sz w:val="18"/>
                <w:szCs w:val="18"/>
              </w:rPr>
              <w:t xml:space="preserve"/>
            </w:r>
          </w:p>
        </w:tc>
      </w:tr>
      <w:tr>
        <w:tc>
          <w:tcPr>
            <w:tcW w:type="dxa" w:w="9200"/>
            <w:tcBorders>
              <w:top w:val="single" w:color="C62828" w:sz="1"/>
              <w:left w:val="single" w:color="C62828" w:sz="1"/>
              <w:bottom w:val="single" w:color="C62828" w:sz="1"/>
              <w:right w:val="single" w:color="C62828" w:sz="1"/>
            </w:tcBorders>
            <w:shd w:fill="FFFFFF" w:val="clear"/>
            <w:tcMar>
              <w:top w:type="dxa" w:w="50"/>
              <w:left w:type="dxa" w:w="160"/>
              <w:bottom w:type="dxa" w:w="50"/>
              <w:right w:type="dxa" w:w="160"/>
            </w:tcMar>
          </w:tcPr>
          <w:p>
            <w:r>
              <w:rPr>
                <w:rFonts w:ascii="Arial" w:cs="Arial" w:eastAsia="Arial" w:hAnsi="Arial"/>
                <w:color w:val="424242"/>
                <w:sz w:val="18"/>
                <w:szCs w:val="18"/>
              </w:rPr>
              <w:t xml:space="preserve">CAUSAS REVERSÍVEIS — EXCLUIR ANTES:</w:t>
            </w:r>
          </w:p>
        </w:tc>
      </w:tr>
      <w:tr>
        <w:tc>
          <w:tcPr>
            <w:tcW w:type="dxa" w:w="9200"/>
            <w:tcBorders>
              <w:top w:val="single" w:color="C62828" w:sz="1"/>
              <w:left w:val="single" w:color="C62828" w:sz="1"/>
              <w:bottom w:val="single" w:color="C62828" w:sz="1"/>
              <w:right w:val="single" w:color="C62828" w:sz="1"/>
            </w:tcBorders>
            <w:shd w:fill="FFFFFF" w:val="clear"/>
            <w:tcMar>
              <w:top w:type="dxa" w:w="50"/>
              <w:left w:type="dxa" w:w="160"/>
              <w:bottom w:type="dxa" w:w="50"/>
              <w:right w:type="dxa" w:w="160"/>
            </w:tcMar>
          </w:tcPr>
          <w:p>
            <w:r>
              <w:rPr>
                <w:rFonts w:ascii="Arial" w:cs="Arial" w:eastAsia="Arial" w:hAnsi="Arial"/>
                <w:color w:val="424242"/>
                <w:sz w:val="18"/>
                <w:szCs w:val="18"/>
              </w:rPr>
              <w:t xml:space="preserve">→ Temperatura &lt; 35°C / Hipotensão grave / BNM em uso / Sedativos não eliminados / Distúrbios metabólicos graves</w:t>
            </w:r>
          </w:p>
        </w:tc>
      </w:tr>
    </w:tbl>
    <w:p>
      <w:r>
        <w:rPr>
          <w:sz w:val="16"/>
          <w:szCs w:val="16"/>
        </w:rPr>
        <w:t xml:space="preserve"/>
      </w:r>
    </w:p>
    <w:p>
      <w:r>
        <w:rPr>
          <w:sz w:val="16"/>
          <w:szCs w:val="16"/>
        </w:rPr>
        <w:t xml:space="preserve"/>
      </w:r>
    </w:p>
    <w:p>
      <w:pPr>
        <w:pBdr>
          <w:bottom w:val="single" w:color="2E75B6" w:sz="8" w:space="1"/>
        </w:pBdr>
        <w:spacing w:after="160" w:before="360"/>
      </w:pPr>
      <w:r>
        <w:rPr>
          <w:rFonts w:ascii="Arial" w:cs="Arial" w:eastAsia="Arial" w:hAnsi="Arial"/>
          <w:b/>
          <w:bCs/>
          <w:caps/>
          <w:color w:val="1B3A6B"/>
          <w:sz w:val="34"/>
          <w:szCs w:val="34"/>
        </w:rPr>
        <w:t xml:space="preserve">18. STATUS EPILÉPTICO REFRATÁRIO — UTI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400"/>
        <w:gridCol w:w="2800"/>
      </w:tblGrid>
      <w:tr>
        <w:tc>
          <w:tcPr>
            <w:tcW w:type="dxa" w:w="1400"/>
            <w:gridSpan w:val="1"/>
            <w:tcBorders>
              <w:top w:val="single" w:color="FFFFFF" w:sz="1"/>
              <w:left w:val="single" w:color="FFFFFF" w:sz="1"/>
              <w:bottom w:val="single" w:color="FFFFFF" w:sz="1"/>
              <w:right w:val="single" w:color="FFFFFF" w:sz="1"/>
            </w:tcBorders>
            <w:shd w:fill="7B1FA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Fase</w:t>
            </w:r>
          </w:p>
        </w:tc>
        <w:tc>
          <w:tcPr>
            <w:tcW w:type="dxa" w:w="2600"/>
            <w:gridSpan w:val="1"/>
            <w:tcBorders>
              <w:top w:val="single" w:color="FFFFFF" w:sz="1"/>
              <w:left w:val="single" w:color="FFFFFF" w:sz="1"/>
              <w:bottom w:val="single" w:color="FFFFFF" w:sz="1"/>
              <w:right w:val="single" w:color="FFFFFF" w:sz="1"/>
            </w:tcBorders>
            <w:shd w:fill="7B1FA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Tempo</w:t>
            </w:r>
          </w:p>
        </w:tc>
        <w:tc>
          <w:tcPr>
            <w:tcW w:type="dxa" w:w="2400"/>
            <w:gridSpan w:val="1"/>
            <w:tcBorders>
              <w:top w:val="single" w:color="FFFFFF" w:sz="1"/>
              <w:left w:val="single" w:color="FFFFFF" w:sz="1"/>
              <w:bottom w:val="single" w:color="FFFFFF" w:sz="1"/>
              <w:right w:val="single" w:color="FFFFFF" w:sz="1"/>
            </w:tcBorders>
            <w:shd w:fill="7B1FA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Fármaco</w:t>
            </w:r>
          </w:p>
        </w:tc>
        <w:tc>
          <w:tcPr>
            <w:tcW w:type="dxa" w:w="2800"/>
            <w:gridSpan w:val="1"/>
            <w:tcBorders>
              <w:top w:val="single" w:color="FFFFFF" w:sz="1"/>
              <w:left w:val="single" w:color="FFFFFF" w:sz="1"/>
              <w:bottom w:val="single" w:color="FFFFFF" w:sz="1"/>
              <w:right w:val="single" w:color="FFFFFF" w:sz="1"/>
            </w:tcBorders>
            <w:shd w:fill="7B1FA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Dose</w:t>
            </w:r>
          </w:p>
        </w:tc>
      </w:tr>
      <w:tr>
        <w:tc>
          <w:tcPr>
            <w:tcW w:type="dxa" w:w="14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center"/>
            </w:pPr>
            <w:r>
              <w:rPr>
                <w:rFonts w:ascii="Arial" w:cs="Arial" w:eastAsia="Arial" w:hAnsi="Arial"/>
                <w:b/>
                <w:bCs/>
                <w:color w:val="424242"/>
                <w:sz w:val="18"/>
                <w:szCs w:val="18"/>
              </w:rPr>
              <w:t xml:space="preserve">Fase 1 (≤ 5 min)</w:t>
            </w:r>
          </w:p>
        </w:tc>
        <w:tc>
          <w:tcPr>
            <w:tcW w:type="dxa" w:w="2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Crise em andamento</w:t>
            </w:r>
          </w:p>
        </w:tc>
        <w:tc>
          <w:tcPr>
            <w:tcW w:type="dxa" w:w="24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424242"/>
                <w:sz w:val="18"/>
                <w:szCs w:val="18"/>
              </w:rPr>
              <w:t xml:space="preserve">Benzodiazepínico</w:t>
            </w:r>
          </w:p>
        </w:tc>
        <w:tc>
          <w:tcPr>
            <w:tcW w:type="dxa" w:w="2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Diazepam 0,2-0,5 mg/kg IV (máx 20 mg) OU Lorazepam 0,1 mg/kg IV OU Midazolam 10 mg IM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24242"/>
                <w:sz w:val="18"/>
                <w:szCs w:val="18"/>
              </w:rPr>
              <w:t xml:space="preserve">Fase 2 (5–30 min)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Crise estabelecida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424242"/>
                <w:sz w:val="18"/>
                <w:szCs w:val="18"/>
              </w:rPr>
              <w:t xml:space="preserve">2ª linha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Fenitoína 20 mg/kg IV (50 mg/min) OU Valproato 40 mg/kg IV (10 min) OU Levetiracetam 60 mg/kg IV (15 min)</w:t>
            </w:r>
          </w:p>
        </w:tc>
      </w:tr>
      <w:tr>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424242"/>
                <w:sz w:val="18"/>
                <w:szCs w:val="18"/>
              </w:rPr>
              <w:t xml:space="preserve">Fase 3 (30–60 min)</w:t>
            </w:r>
          </w:p>
        </w:tc>
        <w:tc>
          <w:tcPr>
            <w:tcW w:type="dxa" w:w="2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Status estabelecido</w:t>
            </w:r>
          </w:p>
        </w:tc>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bCs/>
                <w:color w:val="424242"/>
                <w:sz w:val="18"/>
                <w:szCs w:val="18"/>
              </w:rPr>
              <w:t xml:space="preserve">3ª linha / repetir</w:t>
            </w:r>
          </w:p>
        </w:tc>
        <w:tc>
          <w:tcPr>
            <w:tcW w:type="dxa" w:w="2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Repetir fenitoína 10 mg/kg OU tentar outro agente 2ª linha</w:t>
            </w:r>
          </w:p>
        </w:tc>
      </w:tr>
      <w:tr>
        <w:tc>
          <w:tcPr>
            <w:tcW w:type="dxa" w:w="1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Fase 4 (&gt; 60 min)</w:t>
            </w:r>
          </w:p>
        </w:tc>
        <w:tc>
          <w:tcPr>
            <w:tcW w:type="dxa" w:w="2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Status Refratário</w:t>
            </w:r>
          </w:p>
        </w:tc>
        <w:tc>
          <w:tcPr>
            <w:tcW w:type="dxa" w:w="2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bCs/>
                <w:color w:val="C62828"/>
                <w:sz w:val="18"/>
                <w:szCs w:val="18"/>
              </w:rPr>
              <w:t xml:space="preserve">UTI + sedação coma</w:t>
            </w:r>
          </w:p>
        </w:tc>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Midazolam IC: 0,2 mg/kg bólus → 0,1-2 mg/kg/h OU Propofol: 1-2 mg/kg bólus → 1-15 mg/kg/h</w:t>
            </w:r>
          </w:p>
        </w:tc>
      </w:tr>
      <w:tr>
        <w:tc>
          <w:tcPr>
            <w:tcW w:type="dxa" w:w="1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Fase 5 (&gt; 24h)</w:t>
            </w:r>
          </w:p>
        </w:tc>
        <w:tc>
          <w:tcPr>
            <w:tcW w:type="dxa" w:w="2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Status Super-refratário</w:t>
            </w:r>
          </w:p>
        </w:tc>
        <w:tc>
          <w:tcPr>
            <w:tcW w:type="dxa" w:w="2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bCs/>
                <w:color w:val="C62828"/>
                <w:sz w:val="18"/>
                <w:szCs w:val="18"/>
              </w:rPr>
              <w:t xml:space="preserve">Terapias escaladas</w:t>
            </w:r>
          </w:p>
        </w:tc>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Ketamina: 1-5 mg/kg/h IC. Fenobarbital: 20 mg/kg IV. Tiopental coma. EEG contínuo obrigatório.</w:t>
            </w:r>
          </w:p>
        </w:tc>
      </w:tr>
    </w:tbl>
    <w:p>
      <w:r>
        <w:rPr>
          <w:sz w:val="16"/>
          <w:szCs w:val="16"/>
        </w:rPr>
        <w:t xml:space="preserve"/>
      </w:r>
    </w:p>
    <w:p>
      <w:r>
        <w:rPr>
          <w:sz w:val="16"/>
          <w:szCs w:val="16"/>
        </w:rPr>
        <w:t xml:space="preserve"/>
      </w:r>
    </w:p>
    <w:p>
      <w:pPr>
        <w:pBdr>
          <w:bottom w:val="single" w:color="2E75B6" w:sz="8" w:space="1"/>
        </w:pBdr>
        <w:spacing w:after="160" w:before="360"/>
      </w:pPr>
      <w:r>
        <w:rPr>
          <w:rFonts w:ascii="Arial" w:cs="Arial" w:eastAsia="Arial" w:hAnsi="Arial"/>
          <w:b/>
          <w:bCs/>
          <w:caps/>
          <w:color w:val="1B3A6B"/>
          <w:sz w:val="34"/>
          <w:szCs w:val="34"/>
        </w:rPr>
        <w:t xml:space="preserve">19. TRIALS FUNDAMENTAIS — NEUROINTENSIVISMO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3200"/>
        <w:gridCol w:w="2000"/>
      </w:tblGrid>
      <w:tr>
        <w:tc>
          <w:tcPr>
            <w:tcW w:type="dxa" w:w="2600"/>
            <w:gridSpan w:val="1"/>
            <w:tcBorders>
              <w:top w:val="single" w:color="FFFFFF" w:sz="1"/>
              <w:left w:val="single" w:color="FFFFFF" w:sz="1"/>
              <w:bottom w:val="single" w:color="FFFFFF" w:sz="1"/>
              <w:right w:val="single" w:color="FFFFFF" w:sz="1"/>
            </w:tcBorders>
            <w:shd w:fill="0D47A1"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Trial / Ano</w:t>
            </w:r>
          </w:p>
        </w:tc>
        <w:tc>
          <w:tcPr>
            <w:tcW w:type="dxa" w:w="1400"/>
            <w:gridSpan w:val="1"/>
            <w:tcBorders>
              <w:top w:val="single" w:color="FFFFFF" w:sz="1"/>
              <w:left w:val="single" w:color="FFFFFF" w:sz="1"/>
              <w:bottom w:val="single" w:color="FFFFFF" w:sz="1"/>
              <w:right w:val="single" w:color="FFFFFF" w:sz="1"/>
            </w:tcBorders>
            <w:shd w:fill="0D47A1"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Intervenção</w:t>
            </w:r>
          </w:p>
        </w:tc>
        <w:tc>
          <w:tcPr>
            <w:tcW w:type="dxa" w:w="3200"/>
            <w:gridSpan w:val="1"/>
            <w:tcBorders>
              <w:top w:val="single" w:color="FFFFFF" w:sz="1"/>
              <w:left w:val="single" w:color="FFFFFF" w:sz="1"/>
              <w:bottom w:val="single" w:color="FFFFFF" w:sz="1"/>
              <w:right w:val="single" w:color="FFFFFF" w:sz="1"/>
            </w:tcBorders>
            <w:shd w:fill="0D47A1"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Resultado Principal</w:t>
            </w:r>
          </w:p>
        </w:tc>
        <w:tc>
          <w:tcPr>
            <w:tcW w:type="dxa" w:w="2000"/>
            <w:gridSpan w:val="1"/>
            <w:tcBorders>
              <w:top w:val="single" w:color="FFFFFF" w:sz="1"/>
              <w:left w:val="single" w:color="FFFFFF" w:sz="1"/>
              <w:bottom w:val="single" w:color="FFFFFF" w:sz="1"/>
              <w:right w:val="single" w:color="FFFFFF" w:sz="1"/>
            </w:tcBorders>
            <w:shd w:fill="0D47A1"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Impacto</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left"/>
            </w:pPr>
            <w:r>
              <w:rPr>
                <w:rFonts w:ascii="Arial" w:cs="Arial" w:eastAsia="Arial" w:hAnsi="Arial"/>
                <w:b/>
                <w:bCs/>
                <w:color w:val="0D47A1"/>
                <w:sz w:val="18"/>
                <w:szCs w:val="18"/>
              </w:rPr>
              <w:t xml:space="preserve">INTERACT-2 — NEJM 2013</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PA aguda AVCH</w:t>
            </w:r>
          </w:p>
        </w:tc>
        <w:tc>
          <w:tcPr>
            <w:tcW w:type="dxa" w:w="3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PA &lt; 140 em 1h: melhora funcional (mRS). Menos expansão hematoma.</w:t>
            </w:r>
          </w:p>
        </w:tc>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Meta PA 130-150 em AVCH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D47A1"/>
                <w:sz w:val="18"/>
                <w:szCs w:val="18"/>
              </w:rPr>
              <w:t xml:space="preserve">ATACH-2 — NEJM 2016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PA &lt; 110 vs &lt; 140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PA &lt; 110 = sem benefício + mais eventos renais. Não intensificar.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Limite inferior PA = 130 mmHg</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left"/>
            </w:pPr>
            <w:r>
              <w:rPr>
                <w:rFonts w:ascii="Arial" w:cs="Arial" w:eastAsia="Arial" w:hAnsi="Arial"/>
                <w:b/>
                <w:bCs/>
                <w:color w:val="0D47A1"/>
                <w:sz w:val="18"/>
                <w:szCs w:val="18"/>
              </w:rPr>
              <w:t xml:space="preserve">ISAT — Lancet 2002</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Clipagem vs coiling HSA</w:t>
            </w:r>
          </w:p>
        </w:tc>
        <w:tc>
          <w:tcPr>
            <w:tcW w:type="dxa" w:w="3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Coiling: melhor independência funcional 1 ano (23 vs 30.6% dependência).</w:t>
            </w:r>
          </w:p>
        </w:tc>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Coiling preferível se viável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D47A1"/>
                <w:sz w:val="18"/>
                <w:szCs w:val="18"/>
              </w:rPr>
              <w:t xml:space="preserve">PROSEVA — NEJM 2013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Prona SDRA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Prona 16h: mortalidade 16% vs 33% (absoluto!). NNT = 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Padrão ouro SDRA grave</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left"/>
            </w:pPr>
            <w:r>
              <w:rPr>
                <w:rFonts w:ascii="Arial" w:cs="Arial" w:eastAsia="Arial" w:hAnsi="Arial"/>
                <w:b/>
                <w:bCs/>
                <w:color w:val="0D47A1"/>
                <w:sz w:val="18"/>
                <w:szCs w:val="18"/>
              </w:rPr>
              <w:t xml:space="preserve">DECRA — NEJM 2011</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Craniect. descompr. TCE</w:t>
            </w:r>
          </w:p>
        </w:tc>
        <w:tc>
          <w:tcPr>
            <w:tcW w:type="dxa" w:w="3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Craniectomia: reduz PIC mas PIORA desfecho neurológico.</w:t>
            </w:r>
          </w:p>
        </w:tc>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Não usar craniect. precoce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D47A1"/>
                <w:sz w:val="18"/>
                <w:szCs w:val="18"/>
              </w:rPr>
              <w:t xml:space="preserve">RESCUEicp — NEJM 2016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Craniect. vs tratamento clínico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Craniectomia: mais sobrevida mas mais vegetativos. Trade-off mortalidade x função.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Decisão individualizada</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left"/>
            </w:pPr>
            <w:r>
              <w:rPr>
                <w:rFonts w:ascii="Arial" w:cs="Arial" w:eastAsia="Arial" w:hAnsi="Arial"/>
                <w:b/>
                <w:bCs/>
                <w:color w:val="0D47A1"/>
                <w:sz w:val="18"/>
                <w:szCs w:val="18"/>
              </w:rPr>
              <w:t xml:space="preserve">BEST-TRIP — NEJM 2012</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Monitorização PIC vs TC</w:t>
            </w:r>
          </w:p>
        </w:tc>
        <w:tc>
          <w:tcPr>
            <w:tcW w:type="dxa" w:w="3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Monitorização PIC não superior a TC seriada + clínica em TCE grave.</w:t>
            </w:r>
          </w:p>
        </w:tc>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PIC monitor necessário — não suficiente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D47A1"/>
                <w:sz w:val="18"/>
                <w:szCs w:val="18"/>
              </w:rPr>
              <w:t xml:space="preserve">ENRICH — NEJM 2024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Aspiração endosc. AVCH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Esvaziamento endoscópico AVCH lobar/putamenal: melhora mRS 180d.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Nova evidência AVCH cirúrgico</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left"/>
            </w:pPr>
            <w:r>
              <w:rPr>
                <w:rFonts w:ascii="Arial" w:cs="Arial" w:eastAsia="Arial" w:hAnsi="Arial"/>
                <w:b/>
                <w:bCs/>
                <w:color w:val="0D47A1"/>
                <w:sz w:val="18"/>
                <w:szCs w:val="18"/>
              </w:rPr>
              <w:t xml:space="preserve">STICH I/II — Lancet 2005/2013</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Cirurgia precoce AVCH</w:t>
            </w:r>
          </w:p>
        </w:tc>
        <w:tc>
          <w:tcPr>
            <w:tcW w:type="dxa" w:w="3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Cirurgia precoce não melhora desfecho em maioria dos AVCH.</w:t>
            </w:r>
          </w:p>
        </w:tc>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Tratamento conservador padrão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D47A1"/>
                <w:sz w:val="18"/>
                <w:szCs w:val="18"/>
              </w:rPr>
              <w:t xml:space="preserve">IMAGES — JAMA 2004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MgSO4 AVC isquêmico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MgSO4 sem benefício em AVC isquêmico.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Magnésio: sem indicação AVC</w:t>
            </w:r>
          </w:p>
        </w:tc>
      </w:tr>
    </w:tbl>
    <w:p>
      <w:r>
        <w:rPr>
          <w:sz w:val="16"/>
          <w:szCs w:val="16"/>
        </w:rPr>
        <w:t xml:space="preserve"/>
      </w:r>
    </w:p>
    <w:p>
      <w:r>
        <w:rPr>
          <w:sz w:val="16"/>
          <w:szCs w:val="16"/>
        </w:rPr>
        <w:t xml:space="preserve"/>
      </w:r>
    </w:p>
    <w:p>
      <w:pPr>
        <w:pBdr>
          <w:bottom w:val="single" w:color="2E75B6" w:sz="8" w:space="1"/>
        </w:pBdr>
        <w:spacing w:after="160" w:before="360"/>
      </w:pPr>
      <w:r>
        <w:rPr>
          <w:rFonts w:ascii="Arial" w:cs="Arial" w:eastAsia="Arial" w:hAnsi="Arial"/>
          <w:b/>
          <w:bCs/>
          <w:caps/>
          <w:color w:val="1B3A6B"/>
          <w:sz w:val="34"/>
          <w:szCs w:val="34"/>
        </w:rPr>
        <w:t xml:space="preserve">20. QUESTÕES TEMI-STYLE — 5 QUESTÕES COMENTADAS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QUESTÃO 01 | Tema: Desmame VM + Índice de Tobin</w:t>
            </w:r>
          </w:p>
        </w:tc>
      </w:tr>
      <w:tr>
        <w:tc>
          <w:tcPr>
            <w:tcW w:type="dxa" w:w="9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24242"/>
                <w:sz w:val="19"/>
                <w:szCs w:val="19"/>
              </w:rPr>
              <w:t xml:space="preserve">Paciente de 58 anos em VM há 4 dias por pneumonia grave. FiO2 0,40, PEEP 6, SAT realizado com sucesso (RASS 0). Após 30 min de PSV 5/PEEP 5, apresenta FR 28 irpm, VT 450 mL (0,45 L), SpO2 95%, FC 88 bpm, sem uso de musculatura acessória. O índice de Tobin calculado é:</w:t>
            </w:r>
          </w:p>
        </w:tc>
      </w:tr>
      <w:tr>
        <w:tc>
          <w:tcPr>
            <w:tcW w:type="dxa" w:w="9200"/>
            <w:tcBorders>
              <w:top w:val="single" w:color="CCCCCC" w:sz="1"/>
              <w:left w:val="single" w:color="CCCCCC" w:sz="1"/>
              <w:bottom w:val="single" w:color="CCCCCC" w:sz="1"/>
              <w:right w:val="single" w:color="CCCCCC" w:sz="1"/>
            </w:tcBorders>
            <w:shd w:fill="E8F5E9" w:val="clear"/>
            <w:tcMar>
              <w:top w:type="dxa" w:w="60"/>
              <w:left w:type="dxa" w:w="160"/>
              <w:bottom w:type="dxa" w:w="60"/>
              <w:right w:type="dxa" w:w="160"/>
            </w:tcMar>
          </w:tcPr>
          <w:p>
            <w:r>
              <w:rPr>
                <w:rFonts w:ascii="Arial" w:cs="Arial" w:eastAsia="Arial" w:hAnsi="Arial"/>
                <w:b/>
                <w:bCs/>
                <w:color w:val="2E7D32"/>
                <w:sz w:val="18"/>
                <w:szCs w:val="18"/>
              </w:rPr>
              <w:t xml:space="preserve">A) f/VT = 28/0,45 = 62 rpm/L → Alta probabilidade de sucesso → proceder extubação</w:t>
            </w:r>
          </w:p>
        </w:tc>
      </w:tr>
      <w:tr>
        <w:tc>
          <w:tcPr>
            <w:tcW w:type="dxa" w:w="9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val="false"/>
                <w:bCs w:val="false"/>
                <w:color w:val="424242"/>
                <w:sz w:val="18"/>
                <w:szCs w:val="18"/>
              </w:rPr>
              <w:t xml:space="preserve">B) f/VT = 28/450 = 0,062 → Falha → retornar VM</w:t>
            </w:r>
          </w:p>
        </w:tc>
      </w:tr>
      <w:tr>
        <w:tc>
          <w:tcPr>
            <w:tcW w:type="dxa" w:w="9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val="false"/>
                <w:bCs w:val="false"/>
                <w:color w:val="424242"/>
                <w:sz w:val="18"/>
                <w:szCs w:val="18"/>
              </w:rPr>
              <w:t xml:space="preserve">C) f/VT = 28/0,45 = 62 → Zona cinza → aguardar mais 60 min</w:t>
            </w:r>
          </w:p>
        </w:tc>
      </w:tr>
      <w:tr>
        <w:tc>
          <w:tcPr>
            <w:tcW w:type="dxa" w:w="9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val="false"/>
                <w:bCs w:val="false"/>
                <w:color w:val="424242"/>
                <w:sz w:val="18"/>
                <w:szCs w:val="18"/>
              </w:rPr>
              <w:t xml:space="preserve">D) f/VT = FR/VT(mL) = 28/450 = 0,062 → Sucesso</w:t>
            </w:r>
          </w:p>
        </w:tc>
      </w:tr>
      <w:tr>
        <w:tc>
          <w:tcPr>
            <w:tcW w:type="dxa" w:w="9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val="false"/>
                <w:bCs w:val="false"/>
                <w:color w:val="424242"/>
                <w:sz w:val="18"/>
                <w:szCs w:val="18"/>
              </w:rPr>
              <w:t xml:space="preserve">E) Índice inadequado — apenas TC de tórax define a extubação</w:t>
            </w:r>
          </w:p>
        </w:tc>
      </w:tr>
      <w:tr>
        <w:tc>
          <w:tcPr>
            <w:tcW w:type="dxa" w:w="9200"/>
            <w:tcBorders>
              <w:top w:val="single" w:color="2E7D32" w:sz="1"/>
              <w:left w:val="single" w:color="2E7D32" w:sz="1"/>
              <w:bottom w:val="single" w:color="2E7D32" w:sz="1"/>
              <w:right w:val="single" w:color="2E7D32" w:sz="1"/>
            </w:tcBorders>
            <w:shd w:fill="E8F5E9" w:val="clear"/>
            <w:tcMar>
              <w:top w:type="dxa" w:w="100"/>
              <w:left w:type="dxa" w:w="160"/>
              <w:bottom w:type="dxa" w:w="100"/>
              <w:right w:type="dxa" w:w="160"/>
            </w:tcMar>
          </w:tcPr>
          <w:p>
            <w:r>
              <w:rPr>
                <w:rFonts w:ascii="Arial" w:cs="Arial" w:eastAsia="Arial" w:hAnsi="Arial"/>
                <w:b/>
                <w:bCs/>
                <w:color w:val="2E7D32"/>
                <w:sz w:val="19"/>
                <w:szCs w:val="19"/>
              </w:rPr>
              <w:t xml:space="preserve">✅ Resposta: A</w:t>
            </w:r>
          </w:p>
          <w:p>
            <w:r>
              <w:rPr>
                <w:rFonts w:ascii="Arial" w:cs="Arial" w:eastAsia="Arial" w:hAnsi="Arial"/>
                <w:color w:val="424242"/>
                <w:sz w:val="18"/>
                <w:szCs w:val="18"/>
              </w:rPr>
              <w:t xml:space="preserve">f/VT = FR (rpm) / VT em LITROS (não mL). VT 450 mL = 0,45 L. f/VT = 28/0,45 = 62,2 rpm/L. &lt; 80 = alta probabilidade de sucesso. Erro clássico = dividir por VT em mL (resultado 0,062 = sem sentido clínico). SBT bem-sucedido clinicamente + f/VT &lt; 80 = extubação indicada.</w:t>
            </w:r>
          </w:p>
        </w:tc>
      </w:tr>
    </w:tbl>
    <w:p>
      <w:r>
        <w:rPr>
          <w:sz w:val="16"/>
          <w:szCs w:val="16"/>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QUESTÃO 02 | Tema: BNM — Cisatracúrio e TOF</w:t>
            </w:r>
          </w:p>
        </w:tc>
      </w:tr>
      <w:tr>
        <w:tc>
          <w:tcPr>
            <w:tcW w:type="dxa" w:w="9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24242"/>
                <w:sz w:val="19"/>
                <w:szCs w:val="19"/>
              </w:rPr>
              <w:t xml:space="preserve">Paciente em VM por SDRA grave (P:F = 120 mmHg). Iniciado cisatracúrio em IC por 48h. Após 24h de infusão, TOF monitor mostra 0/4 twitches. A conduta mais adequada é:</w:t>
            </w:r>
          </w:p>
        </w:tc>
      </w:tr>
      <w:tr>
        <w:tc>
          <w:tcPr>
            <w:tcW w:type="dxa" w:w="9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val="false"/>
                <w:bCs w:val="false"/>
                <w:color w:val="424242"/>
                <w:sz w:val="18"/>
                <w:szCs w:val="18"/>
              </w:rPr>
              <w:t xml:space="preserve">A) Aumentar a dose do cisatracúrio — bloqueio insuficiente</w:t>
            </w:r>
          </w:p>
        </w:tc>
      </w:tr>
      <w:tr>
        <w:tc>
          <w:tcPr>
            <w:tcW w:type="dxa" w:w="9200"/>
            <w:tcBorders>
              <w:top w:val="single" w:color="CCCCCC" w:sz="1"/>
              <w:left w:val="single" w:color="CCCCCC" w:sz="1"/>
              <w:bottom w:val="single" w:color="CCCCCC" w:sz="1"/>
              <w:right w:val="single" w:color="CCCCCC" w:sz="1"/>
            </w:tcBorders>
            <w:shd w:fill="E8F5E9" w:val="clear"/>
            <w:tcMar>
              <w:top w:type="dxa" w:w="60"/>
              <w:left w:type="dxa" w:w="160"/>
              <w:bottom w:type="dxa" w:w="60"/>
              <w:right w:type="dxa" w:w="160"/>
            </w:tcMar>
          </w:tcPr>
          <w:p>
            <w:r>
              <w:rPr>
                <w:rFonts w:ascii="Arial" w:cs="Arial" w:eastAsia="Arial" w:hAnsi="Arial"/>
                <w:b/>
                <w:bCs/>
                <w:color w:val="2E7D32"/>
                <w:sz w:val="18"/>
                <w:szCs w:val="18"/>
              </w:rPr>
              <w:t xml:space="preserve">B) Reduzir a dose de cisatracúrio — bloqueio excessivo, risco de miopatia</w:t>
            </w:r>
          </w:p>
        </w:tc>
      </w:tr>
      <w:tr>
        <w:tc>
          <w:tcPr>
            <w:tcW w:type="dxa" w:w="9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val="false"/>
                <w:bCs w:val="false"/>
                <w:color w:val="424242"/>
                <w:sz w:val="18"/>
                <w:szCs w:val="18"/>
              </w:rPr>
              <w:t xml:space="preserve">C) Manter dose atual — TOF 0/4 é o alvo esperado para SDRA grave</w:t>
            </w:r>
          </w:p>
        </w:tc>
      </w:tr>
      <w:tr>
        <w:tc>
          <w:tcPr>
            <w:tcW w:type="dxa" w:w="9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val="false"/>
                <w:bCs w:val="false"/>
                <w:color w:val="424242"/>
                <w:sz w:val="18"/>
                <w:szCs w:val="18"/>
              </w:rPr>
              <w:t xml:space="preserve">D) Suspender imediatamente o cisatracúrio e verificar TOF</w:t>
            </w:r>
          </w:p>
        </w:tc>
      </w:tr>
      <w:tr>
        <w:tc>
          <w:tcPr>
            <w:tcW w:type="dxa" w:w="9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val="false"/>
                <w:bCs w:val="false"/>
                <w:color w:val="424242"/>
                <w:sz w:val="18"/>
                <w:szCs w:val="18"/>
              </w:rPr>
              <w:t xml:space="preserve">E) Adicionar sugamadex para reverter bloqueio excessivo</w:t>
            </w:r>
          </w:p>
        </w:tc>
      </w:tr>
      <w:tr>
        <w:tc>
          <w:tcPr>
            <w:tcW w:type="dxa" w:w="9200"/>
            <w:tcBorders>
              <w:top w:val="single" w:color="2E7D32" w:sz="1"/>
              <w:left w:val="single" w:color="2E7D32" w:sz="1"/>
              <w:bottom w:val="single" w:color="2E7D32" w:sz="1"/>
              <w:right w:val="single" w:color="2E7D32" w:sz="1"/>
            </w:tcBorders>
            <w:shd w:fill="E8F5E9" w:val="clear"/>
            <w:tcMar>
              <w:top w:type="dxa" w:w="100"/>
              <w:left w:type="dxa" w:w="160"/>
              <w:bottom w:type="dxa" w:w="100"/>
              <w:right w:type="dxa" w:w="160"/>
            </w:tcMar>
          </w:tcPr>
          <w:p>
            <w:r>
              <w:rPr>
                <w:rFonts w:ascii="Arial" w:cs="Arial" w:eastAsia="Arial" w:hAnsi="Arial"/>
                <w:b/>
                <w:bCs/>
                <w:color w:val="2E7D32"/>
                <w:sz w:val="19"/>
                <w:szCs w:val="19"/>
              </w:rPr>
              <w:t xml:space="preserve">✅ Resposta: B</w:t>
            </w:r>
          </w:p>
          <w:p>
            <w:r>
              <w:rPr>
                <w:rFonts w:ascii="Arial" w:cs="Arial" w:eastAsia="Arial" w:hAnsi="Arial"/>
                <w:color w:val="424242"/>
                <w:sz w:val="18"/>
                <w:szCs w:val="18"/>
              </w:rPr>
              <w:t xml:space="preserve">O alvo para SDRA grave em VM protetora é TOF 1-2/4 (bloqueio ~90%), não TOF 0/4 (bloqueio completo). TOF 0/4 é bloqueio excessivo e aumenta risco de miopatia da UTI. A conduta correta é REDUZIR a dose. O sugamadex não reverte cisatracúrio (apenas rocurônio/vecurônio). O alvo TOF 1/4 é descrito como adequado no protocolo ACURASYS.</w:t>
            </w:r>
          </w:p>
        </w:tc>
      </w:tr>
    </w:tbl>
    <w:p>
      <w:r>
        <w:rPr>
          <w:sz w:val="16"/>
          <w:szCs w:val="16"/>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QUESTÃO 03 | Tema: HIC — Escada Terapêutica</w:t>
            </w:r>
          </w:p>
        </w:tc>
      </w:tr>
      <w:tr>
        <w:tc>
          <w:tcPr>
            <w:tcW w:type="dxa" w:w="9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24242"/>
                <w:sz w:val="19"/>
                <w:szCs w:val="19"/>
              </w:rPr>
              <w:t xml:space="preserve">TCE grave, GCS 6, DVE instalado com PIC = 28 mmHg. PAM = 90 mmHg. Cabeceira 30°, normocapnia, normotermia. Propofol em IC. Drena-se 5 mL de LCR pelo DVE → PIC cai para 22 mmHg. Após 30 min PIC sobe para 30 mmHg. Próxima medida da escada terapêutica:</w:t>
            </w:r>
          </w:p>
        </w:tc>
      </w:tr>
      <w:tr>
        <w:tc>
          <w:tcPr>
            <w:tcW w:type="dxa" w:w="9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val="false"/>
                <w:bCs w:val="false"/>
                <w:color w:val="424242"/>
                <w:sz w:val="18"/>
                <w:szCs w:val="18"/>
              </w:rPr>
              <w:t xml:space="preserve">A) Hiperventilação agressiva: PaCO2 25 mmHg</w:t>
            </w:r>
          </w:p>
        </w:tc>
      </w:tr>
      <w:tr>
        <w:tc>
          <w:tcPr>
            <w:tcW w:type="dxa" w:w="9200"/>
            <w:tcBorders>
              <w:top w:val="single" w:color="CCCCCC" w:sz="1"/>
              <w:left w:val="single" w:color="CCCCCC" w:sz="1"/>
              <w:bottom w:val="single" w:color="CCCCCC" w:sz="1"/>
              <w:right w:val="single" w:color="CCCCCC" w:sz="1"/>
            </w:tcBorders>
            <w:shd w:fill="E8F5E9" w:val="clear"/>
            <w:tcMar>
              <w:top w:type="dxa" w:w="60"/>
              <w:left w:type="dxa" w:w="160"/>
              <w:bottom w:type="dxa" w:w="60"/>
              <w:right w:type="dxa" w:w="160"/>
            </w:tcMar>
          </w:tcPr>
          <w:p>
            <w:r>
              <w:rPr>
                <w:rFonts w:ascii="Arial" w:cs="Arial" w:eastAsia="Arial" w:hAnsi="Arial"/>
                <w:b/>
                <w:bCs/>
                <w:color w:val="2E7D32"/>
                <w:sz w:val="18"/>
                <w:szCs w:val="18"/>
              </w:rPr>
              <w:t xml:space="preserve">B) Manitol 20% 1 g/kg IV em bólus</w:t>
            </w:r>
          </w:p>
        </w:tc>
      </w:tr>
      <w:tr>
        <w:tc>
          <w:tcPr>
            <w:tcW w:type="dxa" w:w="9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val="false"/>
                <w:bCs w:val="false"/>
                <w:color w:val="424242"/>
                <w:sz w:val="18"/>
                <w:szCs w:val="18"/>
              </w:rPr>
              <w:t xml:space="preserve">C) Craniectomia descompressiva imediata</w:t>
            </w:r>
          </w:p>
        </w:tc>
      </w:tr>
      <w:tr>
        <w:tc>
          <w:tcPr>
            <w:tcW w:type="dxa" w:w="9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val="false"/>
                <w:bCs w:val="false"/>
                <w:color w:val="424242"/>
                <w:sz w:val="18"/>
                <w:szCs w:val="18"/>
              </w:rPr>
              <w:t xml:space="preserve">D) Aumentar FiO2 para 1,0 para melhorar oxigenação</w:t>
            </w:r>
          </w:p>
        </w:tc>
      </w:tr>
      <w:tr>
        <w:tc>
          <w:tcPr>
            <w:tcW w:type="dxa" w:w="9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val="false"/>
                <w:bCs w:val="false"/>
                <w:color w:val="424242"/>
                <w:sz w:val="18"/>
                <w:szCs w:val="18"/>
              </w:rPr>
              <w:t xml:space="preserve">E) Reduzir propofol — sedação profunda piora HIC</w:t>
            </w:r>
          </w:p>
        </w:tc>
      </w:tr>
      <w:tr>
        <w:tc>
          <w:tcPr>
            <w:tcW w:type="dxa" w:w="9200"/>
            <w:tcBorders>
              <w:top w:val="single" w:color="2E7D32" w:sz="1"/>
              <w:left w:val="single" w:color="2E7D32" w:sz="1"/>
              <w:bottom w:val="single" w:color="2E7D32" w:sz="1"/>
              <w:right w:val="single" w:color="2E7D32" w:sz="1"/>
            </w:tcBorders>
            <w:shd w:fill="E8F5E9" w:val="clear"/>
            <w:tcMar>
              <w:top w:type="dxa" w:w="100"/>
              <w:left w:type="dxa" w:w="160"/>
              <w:bottom w:type="dxa" w:w="100"/>
              <w:right w:type="dxa" w:w="160"/>
            </w:tcMar>
          </w:tcPr>
          <w:p>
            <w:r>
              <w:rPr>
                <w:rFonts w:ascii="Arial" w:cs="Arial" w:eastAsia="Arial" w:hAnsi="Arial"/>
                <w:b/>
                <w:bCs/>
                <w:color w:val="2E7D32"/>
                <w:sz w:val="19"/>
                <w:szCs w:val="19"/>
              </w:rPr>
              <w:t xml:space="preserve">✅ Resposta: B</w:t>
            </w:r>
          </w:p>
          <w:p>
            <w:r>
              <w:rPr>
                <w:rFonts w:ascii="Arial" w:cs="Arial" w:eastAsia="Arial" w:hAnsi="Arial"/>
                <w:color w:val="424242"/>
                <w:sz w:val="18"/>
                <w:szCs w:val="18"/>
              </w:rPr>
              <w:t xml:space="preserve">A escada terapêutica da HIC: medidas de base (feitas) → sedação (propofol — feita) → drenagem LCR (tentada, efeito temporário) → hiperosmolar (PRÓXIMO PASSO: manitol ou SF hipertônico). Hiperventilação agressiva (PaCO2 &lt; 30) só como resgate TEMPORÁRIO (máx 30 min — causa isquemia). Craniectomia é último recurso (DECRA: piora desfecho funcional). Manitol 0,25-1 g/kg é a 4ª etapa da escada.</w:t>
            </w:r>
          </w:p>
        </w:tc>
      </w:tr>
    </w:tbl>
    <w:p>
      <w:r>
        <w:rPr>
          <w:sz w:val="16"/>
          <w:szCs w:val="16"/>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QUESTÃO 04 | Tema: HSA — Vasoespasmo + Nimodipina</w:t>
            </w:r>
          </w:p>
        </w:tc>
      </w:tr>
      <w:tr>
        <w:tc>
          <w:tcPr>
            <w:tcW w:type="dxa" w:w="9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24242"/>
                <w:sz w:val="19"/>
                <w:szCs w:val="19"/>
              </w:rPr>
              <w:t xml:space="preserve">Mulher de 52 anos, HSA grau III Fisher por aneurisma de comunicante posterior, embolizada no 1º dia. No 7º dia, apresenta déficit motor novo à direita com deterioração da consciência. DTC mostra VMCA 185 cm/s à esquerda. A intervenção com maior evidência de melhora de desfecho nesse cenário é:</w:t>
            </w:r>
          </w:p>
        </w:tc>
      </w:tr>
      <w:tr>
        <w:tc>
          <w:tcPr>
            <w:tcW w:type="dxa" w:w="9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val="false"/>
                <w:bCs w:val="false"/>
                <w:color w:val="424242"/>
                <w:sz w:val="18"/>
                <w:szCs w:val="18"/>
              </w:rPr>
              <w:t xml:space="preserve">A) Iniciar triple H (hipertensão, hipervolemia, hemodiluição) imediata</w:t>
            </w:r>
          </w:p>
        </w:tc>
      </w:tr>
      <w:tr>
        <w:tc>
          <w:tcPr>
            <w:tcW w:type="dxa" w:w="9200"/>
            <w:tcBorders>
              <w:top w:val="single" w:color="CCCCCC" w:sz="1"/>
              <w:left w:val="single" w:color="CCCCCC" w:sz="1"/>
              <w:bottom w:val="single" w:color="CCCCCC" w:sz="1"/>
              <w:right w:val="single" w:color="CCCCCC" w:sz="1"/>
            </w:tcBorders>
            <w:shd w:fill="E8F5E9" w:val="clear"/>
            <w:tcMar>
              <w:top w:type="dxa" w:w="60"/>
              <w:left w:type="dxa" w:w="160"/>
              <w:bottom w:type="dxa" w:w="60"/>
              <w:right w:type="dxa" w:w="160"/>
            </w:tcMar>
          </w:tcPr>
          <w:p>
            <w:r>
              <w:rPr>
                <w:rFonts w:ascii="Arial" w:cs="Arial" w:eastAsia="Arial" w:hAnsi="Arial"/>
                <w:b/>
                <w:bCs/>
                <w:color w:val="2E7D32"/>
                <w:sz w:val="18"/>
                <w:szCs w:val="18"/>
              </w:rPr>
              <w:t xml:space="preserve">B) Iniciar nimodipina IV 2 mg/h se não estava em uso</w:t>
            </w:r>
          </w:p>
        </w:tc>
      </w:tr>
      <w:tr>
        <w:tc>
          <w:tcPr>
            <w:tcW w:type="dxa" w:w="9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val="false"/>
                <w:bCs w:val="false"/>
                <w:color w:val="424242"/>
                <w:sz w:val="18"/>
                <w:szCs w:val="18"/>
              </w:rPr>
              <w:t xml:space="preserve">C) Transfusão de hemácias para hematócrito &gt; 35%</w:t>
            </w:r>
          </w:p>
        </w:tc>
      </w:tr>
      <w:tr>
        <w:tc>
          <w:tcPr>
            <w:tcW w:type="dxa" w:w="9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val="false"/>
                <w:bCs w:val="false"/>
                <w:color w:val="424242"/>
                <w:sz w:val="18"/>
                <w:szCs w:val="18"/>
              </w:rPr>
              <w:t xml:space="preserve">D) Angioplastia química transluminal + papaverina intra-arterial</w:t>
            </w:r>
          </w:p>
        </w:tc>
      </w:tr>
      <w:tr>
        <w:tc>
          <w:tcPr>
            <w:tcW w:type="dxa" w:w="9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val="false"/>
                <w:bCs w:val="false"/>
                <w:color w:val="424242"/>
                <w:sz w:val="18"/>
                <w:szCs w:val="18"/>
              </w:rPr>
              <w:t xml:space="preserve">E) Expansão volêmica com albumina 20% 100 mL</w:t>
            </w:r>
          </w:p>
        </w:tc>
      </w:tr>
      <w:tr>
        <w:tc>
          <w:tcPr>
            <w:tcW w:type="dxa" w:w="9200"/>
            <w:tcBorders>
              <w:top w:val="single" w:color="2E7D32" w:sz="1"/>
              <w:left w:val="single" w:color="2E7D32" w:sz="1"/>
              <w:bottom w:val="single" w:color="2E7D32" w:sz="1"/>
              <w:right w:val="single" w:color="2E7D32" w:sz="1"/>
            </w:tcBorders>
            <w:shd w:fill="E8F5E9" w:val="clear"/>
            <w:tcMar>
              <w:top w:type="dxa" w:w="100"/>
              <w:left w:type="dxa" w:w="160"/>
              <w:bottom w:type="dxa" w:w="100"/>
              <w:right w:type="dxa" w:w="160"/>
            </w:tcMar>
          </w:tcPr>
          <w:p>
            <w:r>
              <w:rPr>
                <w:rFonts w:ascii="Arial" w:cs="Arial" w:eastAsia="Arial" w:hAnsi="Arial"/>
                <w:b/>
                <w:bCs/>
                <w:color w:val="2E7D32"/>
                <w:sz w:val="19"/>
                <w:szCs w:val="19"/>
              </w:rPr>
              <w:t xml:space="preserve">✅ Resposta: B</w:t>
            </w:r>
          </w:p>
          <w:p>
            <w:r>
              <w:rPr>
                <w:rFonts w:ascii="Arial" w:cs="Arial" w:eastAsia="Arial" w:hAnsi="Arial"/>
                <w:color w:val="424242"/>
                <w:sz w:val="18"/>
                <w:szCs w:val="18"/>
              </w:rPr>
              <w:t xml:space="preserve">Nimodipina oral 60 mg q4h por 21 dias é o ÚNICO fármaco com evidência de melhora de desfecho em HSA (Pickard 1989, nível de evidência A). Se não estava em uso = iniciar imediatamente (vasoespasmo tardio). Triple H foi abandonado — hipervolemia sem evidência. Angioplastia química é opção para vasoespasmo refratário à nimodipina + euvolemia. VMCA &gt; 120 = vasoespasmo moderado; &gt; 200 = grave.</w:t>
            </w:r>
          </w:p>
        </w:tc>
      </w:tr>
    </w:tbl>
    <w:p>
      <w:r>
        <w:rPr>
          <w:sz w:val="16"/>
          <w:szCs w:val="16"/>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QUESTÃO 05 | Tema: Morte Encefálica — CFM 2.173/2017</w:t>
            </w:r>
          </w:p>
        </w:tc>
      </w:tr>
      <w:tr>
        <w:tc>
          <w:tcPr>
            <w:tcW w:type="dxa" w:w="9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24242"/>
                <w:sz w:val="19"/>
                <w:szCs w:val="19"/>
              </w:rPr>
              <w:t xml:space="preserve">Paciente em coma por TCE grave há 72h. Foram realizadas 2 avaliações clínicas completas com intervalo de 1 hora, confirmando ausência de reflexos de tronco e apneia (PaCO2 final = 62 mmHg). Temperatura 37,2°C, PA estável, sem sedativos ativos. Para confirmar o diagnóstico de morte encefálica conforme CFM 2.173/2017, qual é o próximo passo obrigatório?</w:t>
            </w:r>
          </w:p>
        </w:tc>
      </w:tr>
      <w:tr>
        <w:tc>
          <w:tcPr>
            <w:tcW w:type="dxa" w:w="9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val="false"/>
                <w:bCs w:val="false"/>
                <w:color w:val="424242"/>
                <w:sz w:val="18"/>
                <w:szCs w:val="18"/>
              </w:rPr>
              <w:t xml:space="preserve">A) Terceira avaliação clínica por neurocirurgião</w:t>
            </w:r>
          </w:p>
        </w:tc>
      </w:tr>
      <w:tr>
        <w:tc>
          <w:tcPr>
            <w:tcW w:type="dxa" w:w="9200"/>
            <w:tcBorders>
              <w:top w:val="single" w:color="CCCCCC" w:sz="1"/>
              <w:left w:val="single" w:color="CCCCCC" w:sz="1"/>
              <w:bottom w:val="single" w:color="CCCCCC" w:sz="1"/>
              <w:right w:val="single" w:color="CCCCCC" w:sz="1"/>
            </w:tcBorders>
            <w:shd w:fill="E8F5E9" w:val="clear"/>
            <w:tcMar>
              <w:top w:type="dxa" w:w="60"/>
              <w:left w:type="dxa" w:w="160"/>
              <w:bottom w:type="dxa" w:w="60"/>
              <w:right w:type="dxa" w:w="160"/>
            </w:tcMar>
          </w:tcPr>
          <w:p>
            <w:r>
              <w:rPr>
                <w:rFonts w:ascii="Arial" w:cs="Arial" w:eastAsia="Arial" w:hAnsi="Arial"/>
                <w:b/>
                <w:bCs/>
                <w:color w:val="2E7D32"/>
                <w:sz w:val="18"/>
                <w:szCs w:val="18"/>
              </w:rPr>
              <w:t xml:space="preserve">B) Exame complementar confirmando ausência de fluxo ou atividade elétrica cerebral</w:t>
            </w:r>
          </w:p>
        </w:tc>
      </w:tr>
      <w:tr>
        <w:tc>
          <w:tcPr>
            <w:tcW w:type="dxa" w:w="9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val="false"/>
                <w:bCs w:val="false"/>
                <w:color w:val="424242"/>
                <w:sz w:val="18"/>
                <w:szCs w:val="18"/>
              </w:rPr>
              <w:t xml:space="preserve">C) Aguardar 24h adicionais para reavaliação</w:t>
            </w:r>
          </w:p>
        </w:tc>
      </w:tr>
      <w:tr>
        <w:tc>
          <w:tcPr>
            <w:tcW w:type="dxa" w:w="9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val="false"/>
                <w:bCs w:val="false"/>
                <w:color w:val="424242"/>
                <w:sz w:val="18"/>
                <w:szCs w:val="18"/>
              </w:rPr>
              <w:t xml:space="preserve">D) EEG de 20 minutos com derivações standard</w:t>
            </w:r>
          </w:p>
        </w:tc>
      </w:tr>
      <w:tr>
        <w:tc>
          <w:tcPr>
            <w:tcW w:type="dxa" w:w="9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val="false"/>
                <w:bCs w:val="false"/>
                <w:color w:val="424242"/>
                <w:sz w:val="18"/>
                <w:szCs w:val="18"/>
              </w:rPr>
              <w:t xml:space="preserve">E) TC de crânio evidenciando dano estrutural irreversível</w:t>
            </w:r>
          </w:p>
        </w:tc>
      </w:tr>
      <w:tr>
        <w:tc>
          <w:tcPr>
            <w:tcW w:type="dxa" w:w="9200"/>
            <w:tcBorders>
              <w:top w:val="single" w:color="2E7D32" w:sz="1"/>
              <w:left w:val="single" w:color="2E7D32" w:sz="1"/>
              <w:bottom w:val="single" w:color="2E7D32" w:sz="1"/>
              <w:right w:val="single" w:color="2E7D32" w:sz="1"/>
            </w:tcBorders>
            <w:shd w:fill="E8F5E9" w:val="clear"/>
            <w:tcMar>
              <w:top w:type="dxa" w:w="100"/>
              <w:left w:type="dxa" w:w="160"/>
              <w:bottom w:type="dxa" w:w="100"/>
              <w:right w:type="dxa" w:w="160"/>
            </w:tcMar>
          </w:tcPr>
          <w:p>
            <w:r>
              <w:rPr>
                <w:rFonts w:ascii="Arial" w:cs="Arial" w:eastAsia="Arial" w:hAnsi="Arial"/>
                <w:b/>
                <w:bCs/>
                <w:color w:val="2E7D32"/>
                <w:sz w:val="19"/>
                <w:szCs w:val="19"/>
              </w:rPr>
              <w:t xml:space="preserve">✅ Resposta: B</w:t>
            </w:r>
          </w:p>
          <w:p>
            <w:r>
              <w:rPr>
                <w:rFonts w:ascii="Arial" w:cs="Arial" w:eastAsia="Arial" w:hAnsi="Arial"/>
                <w:color w:val="424242"/>
                <w:sz w:val="18"/>
                <w:szCs w:val="18"/>
              </w:rPr>
              <w:t xml:space="preserve">CFM 2.173/2017: após 2 avaliações clínicas confirmando todos os critérios (inclui apneia com PaCO2 ≥ 55 mmHg), É OBRIGATÓRIO exame complementar que demonstre ausência de atividade elétrica ou de fluxo sanguíneo cerebral. Opções: EEG (silêncio elétrico), Doppler transcraniano (ausência de fluxo), angiografia (sem enchimento intracraniano), cintilografia (ausência de captação). TC de crânio NÃO é exame complementar aceito para ME. A TC confirma lesão estrutural mas não comprova ausência de atividade funcional.</w:t>
            </w:r>
          </w:p>
        </w:tc>
      </w:tr>
    </w:tbl>
    <w:p>
      <w:r>
        <w:rPr>
          <w:sz w:val="16"/>
          <w:szCs w:val="16"/>
        </w:rPr>
        <w:t xml:space="preserve"/>
      </w:r>
    </w:p>
    <w:p>
      <w:pPr>
        <w:pBdr>
          <w:bottom w:val="single" w:color="2E75B6" w:sz="4" w:space="1"/>
        </w:pBdr>
        <w:spacing w:after="240" w:before="240"/>
      </w:pPr>
      <w:r>
        <w:rPr>
          <w:sz w:val="4"/>
          <w:szCs w:val="4"/>
        </w:rPr>
        <w:t xml:space="preserve"/>
      </w:r>
    </w:p>
    <w:p>
      <w:pPr>
        <w:jc w:val="center"/>
      </w:pPr>
      <w:r>
        <w:rPr>
          <w:rFonts w:ascii="Arial" w:cs="Arial" w:eastAsia="Arial" w:hAnsi="Arial"/>
          <w:color w:val="424242"/>
          <w:sz w:val="18"/>
          <w:szCs w:val="18"/>
        </w:rPr>
        <w:t xml:space="preserve">Dr. Aldenir Rocha — CRM 16587 CREMEC | RQE 11846 | Hospital Regional Norte | Santa Casa Sobral-CE</w:t>
      </w:r>
    </w:p>
    <w:p>
      <w:pPr>
        <w:jc w:val="center"/>
      </w:pPr>
      <w:r>
        <w:rPr>
          <w:rFonts w:ascii="Arial" w:cs="Arial" w:eastAsia="Arial" w:hAnsi="Arial"/>
          <w:i/>
          <w:iCs/>
          <w:color w:val="2E75B6"/>
          <w:sz w:val="16"/>
          <w:szCs w:val="16"/>
        </w:rPr>
        <w:t xml:space="preserve">ARDSNet • ATS/ERS 2017 • SCCM PADIS 2018 • CFM 2.173/2017 • ERC/ESICM 2021 • AHA/ASA 2022</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2026-04-22T02:05:54.448Z</dcterms:created>
  <dcterms:modified xsi:type="dcterms:W3CDTF">2026-04-22T02:05:54.450Z</dcterms:modified>
</cp:coreProperties>
</file>

<file path=docProps/custom.xml><?xml version="1.0" encoding="utf-8"?>
<Properties xmlns="http://schemas.openxmlformats.org/officeDocument/2006/custom-properties" xmlns:vt="http://schemas.openxmlformats.org/officeDocument/2006/docPropsVTypes"/>
</file>