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jc w:val="center"/>
      </w:pPr>
      <w:r>
        <w:rPr>
          <w:rFonts w:ascii="Segoe UI Emoji" w:cs="Segoe UI Emoji" w:eastAsia="Segoe UI Emoji" w:hAnsi="Segoe UI Emoji"/>
          <w:sz w:val="64"/>
          <w:szCs w:val="64"/>
        </w:rPr>
        <w:t xml:space="preserve">🫁💨🔬</w:t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SDRA — SÍNDROME DO DESCONFORTO RESPIRATÓRIO AGUDO</w:t>
      </w: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Definição de Berlim  •  Fenótipos  •  VM Protetora  •  Pronação  •  Terapias de Resgate</w:t>
      </w:r>
    </w:p>
    <w:p>
      <w:pPr>
        <w:spacing w:before="120"/>
        <w:jc w:val="center"/>
      </w:pPr>
      <w:r>
        <w:rPr>
          <w:rFonts w:ascii="Arial" w:cs="Arial" w:eastAsia="Arial" w:hAnsi="Arial"/>
          <w:i/>
          <w:iCs/>
          <w:color w:val="00695C"/>
          <w:sz w:val="22"/>
          <w:szCs w:val="22"/>
        </w:rPr>
        <w:t xml:space="preserve">Driving Pressure  •  PEEP  •  BNM  •  Óxido Nítrico  •  ECMO-VV  •  Recrutamento Alveolar</w:t>
      </w:r>
    </w:p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Dr. Aldenir Rocha</w:t>
      </w:r>
    </w:p>
    <w:p>
      <w:pPr>
        <w:jc w:val="center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CRM 16587 CREMEC  |  RQE Clínica Médica 11846</w:t>
      </w:r>
    </w:p>
    <w:p>
      <w:pPr>
        <w:jc w:val="center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Hospital Regional Norte  |  Santa Casa de Misericórdia de Sobral – CE</w:t>
      </w:r>
    </w:p>
    <w:p>
      <w:pPr>
        <w:spacing w:before="160"/>
        <w:jc w:val="center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Versão 1.0  |  Abril/2026  |  ARDSNet 2000  •  PROSEVA 2013  •  Berlim 2012  •  ACURASYS  •  ROSE  •  EOLIA</w:t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🫁 PARTE I — DEFINIÇÃO DE BERLIM, FISIOPATOLOGIA E FENÓTIPOS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3F2FD"/>
                <w:sz w:val="20"/>
                <w:szCs w:val="20"/>
              </w:rPr>
              <w:t xml:space="preserve">Classificação 2012 • Lesão Alveolar Difusa • Hipoxemia • Fenótipos L/H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Bdr>
          <w:bottom w:val="single" w:color="2E75B6" w:sz="8" w:space="1"/>
        </w:pBdr>
        <w:spacing w:after="160" w:before="360"/>
      </w:pPr>
      <w:r>
        <w:rPr>
          <w:rFonts w:ascii="Arial" w:cs="Arial" w:eastAsia="Arial" w:hAnsi="Arial"/>
          <w:b/>
          <w:bCs/>
          <w:caps/>
          <w:color w:val="1B3A6B"/>
          <w:sz w:val="34"/>
          <w:szCs w:val="34"/>
        </w:rPr>
        <w:t xml:space="preserve">1. DEFINIÇÃO DE BERLIM (2012) — CRITÉRIOS E CLASSIFICAÇÃO</w:t>
      </w:r>
    </w:p>
    <w:p>
      <w:pPr>
        <w:spacing w:after="8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A Definição de Berlim (2012) substituiu a Definição AECC (1994) — eliminou o conceito de 'LPA' (P:F 200-300 sem estratificação por PEEP) e exige PEEP ≥ 5 cmH2O para calcular P:F. Permite diagnóstico por Rx (não exige TC obrigatória).</w:t>
      </w:r>
    </w:p>
    <w:p>
      <w:r>
        <w:rPr>
          <w:sz w:val="12"/>
          <w:szCs w:val="1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600"/>
        <w:gridCol w:w="1600"/>
        <w:gridCol w:w="2000"/>
      </w:tblGrid>
      <w:tr>
        <w:tc>
          <w:tcPr>
            <w:tcW w:type="dxa" w:w="24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Critério</w:t>
            </w:r>
          </w:p>
        </w:tc>
        <w:tc>
          <w:tcPr>
            <w:tcW w:type="dxa" w:w="1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SDRA Leve</w:t>
            </w:r>
          </w:p>
        </w:tc>
        <w:tc>
          <w:tcPr>
            <w:tcW w:type="dxa" w:w="1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SDRA Moderada</w:t>
            </w:r>
          </w:p>
        </w:tc>
        <w:tc>
          <w:tcPr>
            <w:tcW w:type="dxa" w:w="1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SDRA Grave</w:t>
            </w:r>
          </w:p>
        </w:tc>
        <w:tc>
          <w:tcPr>
            <w:tcW w:type="dxa" w:w="20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Detalhe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P:F (com PEEP ≥ 5)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200–300 mmHg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8"/>
                <w:szCs w:val="18"/>
              </w:rPr>
              <w:t xml:space="preserve">100–200 mmHg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&lt; 100 mmHg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Medir com PEEP ≥ 5 cmH2O em VM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Mortalidade hospitalar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~27%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8"/>
                <w:szCs w:val="18"/>
              </w:rPr>
              <w:t xml:space="preserve">~32%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~45%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Estudo de validação: 3066 pacientes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Indicação de Prona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Não rotineiro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8"/>
                <w:szCs w:val="18"/>
              </w:rPr>
              <w:t xml:space="preserve">Considerar se refratário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INDICADO após 12-24h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PROSEVA: P:F &lt; 150 como critério principal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Indicação de BNM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Não rotineiro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8"/>
                <w:szCs w:val="18"/>
              </w:rPr>
              <w:t xml:space="preserve">Avaliar caso a caso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BNM 48h se P:F &lt; 150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ACURASYS: BNM reduz mortalidade (ROSE: revisão)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Indicação ECMO-VV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Não indicado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8"/>
                <w:szCs w:val="18"/>
              </w:rPr>
              <w:t xml:space="preserve">Não rotineiro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P:F &lt; 80 refratário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EOLIA trial: ECMO de resgate em SDRA grave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Critérios Diagnósticos Completos de Berlim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069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Critério</w:t>
            </w:r>
          </w:p>
        </w:tc>
        <w:tc>
          <w:tcPr>
            <w:tcW w:type="dxa" w:w="70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069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Especificação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Início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&lt; 1 semana após insulto conhecido (sepse, pneumonia, trauma, aspiração) OU piora de sintomas respiratórios pré-existentes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Imagem de tórax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Rx ou TC: opacidades bilaterais não explicadas completamente por derrame, atelectasia lobar/pulmonar ou nódulos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Origem do edema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Não explicada por IC ou sobrecarga hídrica isolada. ECO: sem evidência de disfunção sistólica VE como causa principal. Se dúvida: PCWP &lt; 18 mmHg (Swan-Ganz ou POCUS)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Hipoxemia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P:F &lt; 300 mmHg com PEEP OU CPAP ≥ 5 cmH2O em VM. (Para P:F de classificação: PEEP obrigatório ≥ 5)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Fisiopatologia — Lesão Alveolar Difusa (LAD)</w:t>
      </w:r>
    </w:p>
    <w:p>
      <w:pPr>
        <w:spacing w:after="8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LAD = substrato histológico do SDRA. Fase exsudativa (0-7d): edema alveolar inflamatório + membranas hialinas + dano endotelial. Fase proliferativa (7-21d): pneumócitos tipo II proliferam, produção de colágeno. Fase fibrótica (&gt; 21d): fibrose pulmonar — pior prognóstico.</w:t>
      </w:r>
    </w:p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pBdr>
          <w:bottom w:val="single" w:color="2E75B6" w:sz="8" w:space="1"/>
        </w:pBdr>
        <w:spacing w:after="160" w:before="360"/>
      </w:pPr>
      <w:r>
        <w:rPr>
          <w:rFonts w:ascii="Arial" w:cs="Arial" w:eastAsia="Arial" w:hAnsi="Arial"/>
          <w:b/>
          <w:bCs/>
          <w:caps/>
          <w:color w:val="1B3A6B"/>
          <w:sz w:val="34"/>
          <w:szCs w:val="34"/>
        </w:rPr>
        <w:t xml:space="preserve">2. FENÓTIPOS DE SDRA — CONCEITO MODERNO (L/H E HIPOINFL/HIPERINFLAMATÓRIO)</w:t>
      </w:r>
    </w:p>
    <w:p>
      <w:pPr>
        <w:spacing w:after="8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A classificação fenotípica permite personalizar a ventilação mecânica. Fenótipos podem ser identificados clinicamente: fenótipo L (low) = edema + colapso mínimo; fenótipo H (heavy) = recrutalidade alta.</w:t>
      </w:r>
    </w:p>
    <w:p>
      <w:r>
        <w:rPr>
          <w:sz w:val="12"/>
          <w:szCs w:val="1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500"/>
      </w:tblGrid>
      <w:tr>
        <w:tc>
          <w:tcPr>
            <w:tcW w:type="dxa" w:w="22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Parâmetro</w:t>
            </w:r>
          </w:p>
        </w:tc>
        <w:tc>
          <w:tcPr>
            <w:tcW w:type="dxa" w:w="35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Fenótipo L (Low — Baixa Recrutalidade)</w:t>
            </w:r>
          </w:p>
        </w:tc>
        <w:tc>
          <w:tcPr>
            <w:tcW w:type="dxa" w:w="35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Fenótipo H (Heavy — Alta Recrutalidade)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Mecanismo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Pulmão 'quasi-normal': baixo peso, baixa recrutalidade. Hipoxemia por vasoconstrição e redistribuição. Ex: COVID-19 tipo L.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8"/>
                <w:szCs w:val="18"/>
              </w:rPr>
              <w:t xml:space="preserve">Edema alveolar exuberante, colapso difuso, alto peso pulmonar. Recrutalidade alta. Ex: SDRA clássico por pneumonia.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Complacência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ALTA (&gt; 40 mL/cmH2O) — pulmão ainda distensível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8"/>
                <w:szCs w:val="18"/>
              </w:rPr>
              <w:t xml:space="preserve">BAIXA (&lt; 30 mL/cmH2O) — pulmão rígido, recrutável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Resposta ao PEEP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Hipoxemia PIORA com PEEP alto (overdistensão sem recrutamento)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8"/>
                <w:szCs w:val="18"/>
              </w:rPr>
              <w:t xml:space="preserve">Hipoxemia MELHORA com PEEP alto (recrutamento de alvéolos colabados)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PEEP Ideal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PEEP BAIXO (5-8 cmH2O) — não recrutar o que está aberto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8"/>
                <w:szCs w:val="18"/>
              </w:rPr>
              <w:t xml:space="preserve">PEEP ALTO (12-16 cmH2O) — recrutamento ativo com monitorização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Resposta à Prona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Excelente — redistribuição de perfusão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8"/>
                <w:szCs w:val="18"/>
              </w:rPr>
              <w:t xml:space="preserve">Boa — recruta alvéolos dorsais colapsa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VT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VT 6-8 mL/kg PPI pode ser tolerado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8"/>
                <w:szCs w:val="18"/>
              </w:rPr>
              <w:t xml:space="preserve">VT estritamente 4-6 mL/kg PPI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Identificação clínica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Complacência estática alta no início. Rx menos opaco. COVID-19 tipo L.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8"/>
                <w:szCs w:val="18"/>
              </w:rPr>
              <w:t xml:space="preserve">Complacência baixa. Rx muito opaco. Driving pressure alta desde início.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95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💨 PARTE II — VENTILAÇÃO MECÂNICA PROTETORA NA SDRA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3F2FD"/>
                <w:sz w:val="20"/>
                <w:szCs w:val="20"/>
              </w:rPr>
              <w:t xml:space="preserve">ARDSNet • Driving Pressure • PEEP • Modos Ventilatórios • Hipercapnia Permissiva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Bdr>
          <w:bottom w:val="single" w:color="2E75B6" w:sz="8" w:space="1"/>
        </w:pBdr>
        <w:spacing w:after="160" w:before="360"/>
      </w:pPr>
      <w:r>
        <w:rPr>
          <w:rFonts w:ascii="Arial" w:cs="Arial" w:eastAsia="Arial" w:hAnsi="Arial"/>
          <w:b/>
          <w:bCs/>
          <w:caps/>
          <w:color w:val="1B3A6B"/>
          <w:sz w:val="34"/>
          <w:szCs w:val="34"/>
        </w:rPr>
        <w:t xml:space="preserve">3. VENTILAÇÃO MECÂNICA PROTETORA — PARÂMETROS E METAS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00"/>
        <w:gridCol w:w="2400"/>
      </w:tblGrid>
      <w:tr>
        <w:tc>
          <w:tcPr>
            <w:tcW w:type="dxa" w:w="22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069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Parâmetro</w:t>
            </w:r>
          </w:p>
        </w:tc>
        <w:tc>
          <w:tcPr>
            <w:tcW w:type="dxa" w:w="22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069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Alvo</w:t>
            </w:r>
          </w:p>
        </w:tc>
        <w:tc>
          <w:tcPr>
            <w:tcW w:type="dxa" w:w="24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069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 que?</w:t>
            </w:r>
          </w:p>
        </w:tc>
        <w:tc>
          <w:tcPr>
            <w:tcW w:type="dxa" w:w="24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069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Como Ajustar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Volume Corrente (VT)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4–6 mL/kg PPI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ARDSNet 2000: VT 6 = menos VILI (Ventilator Induced Lung Injury). Driving pressure &lt; 15 = benefício adicional.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PPI homens = 50 + 0,91 x (altura cm – 152,4). PPI mulheres = 45,5 + 0,91 x (altura – 152,4).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Pressão de Platô (Pplat)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&lt; 30 cmH2O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Barotrauma + volutrauma acima de 30 cmH2O.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Reduzir VT se Pplat &gt; 30. Aceitar hipercapnia permissiva.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Driving Pressure (DP)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&lt; 15 cmH2O (ideal &lt; 13)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Amato et al. (NEJM 2015): DP &gt; 15 = aumento de mortalidade independente de VT ou PEEP. DP = Pplat – PEEP.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DP = Pplat – PEEP. Reduzir VT OU aumentar PEEP (se recrutar). PEEP sem recrutar = DP piora.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PEEP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Individualizado (5–20 cmH2O)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PEEP adequado = previne colapso expiratório (atelectrauma). PEEP em excesso = overdistensão. Usar guiado por recrutalidade.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Tabela ARDSNet baixa/alta PEEP OU guided by driving pressure response OU esôfago (transpulmonar).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FiO2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Mínima para SpO2 88-95%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Hiperoxia: toxicidade pelo O2 radicais livres.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FiO2 1,0 somente nas primeiras horas críticas — reduzir assim que tolerar.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FR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20–35 irpm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Hipercapnia permissiva: aceitar PaCO2 50-70 se pH &gt; 7,20.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Aumentar FR antes de aumentar VT quando PaCO2 sobe.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Relação I:E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1:2 (convencional) a 1:1 (inversa em refratário)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Prolongar inspiração = recrutamento em fenótipo H refratário (controverso).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APRV: modo com Tinsp longo — pode recrutar mas evidência limitada.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Modo Ventilatório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VCV ou PCV — equivalentes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ARDSNet usou VCV. PCV: pressão limitada (melhor em complacência variável). APRV: resgate.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APRV (Airway Pressure Release Ventilation): Phigh 20-25 / Plow 0 / Thigh 4-6s / Tlow 0,4-0,8s — controverso.</w:t>
            </w:r>
          </w:p>
        </w:tc>
      </w:tr>
    </w:tbl>
    <w:p>
      <w:r>
        <w:rPr>
          <w:sz w:val="12"/>
          <w:szCs w:val="1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DRIVING PRESSURE — O PARÂMETRO MAIS IMPORTANTE DO SDRA (AMATO 2015)</w:t>
            </w:r>
          </w:p>
        </w:tc>
      </w:tr>
      <w:tr>
        <w:tc>
          <w:tcPr>
            <w:tcW w:type="dxa" w:w="9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Driving Pressure = Pressão de Platô – PEEP = ΔP (delta P).</w:t>
            </w:r>
          </w:p>
        </w:tc>
      </w:tr>
      <w:tr>
        <w:tc>
          <w:tcPr>
            <w:tcW w:type="dxa" w:w="9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Representa o 'estresse cíclico' sobre o pulmão por ciclo respiratório.</w:t>
            </w:r>
          </w:p>
        </w:tc>
      </w:tr>
      <w:tr>
        <w:tc>
          <w:tcPr>
            <w:tcW w:type="dxa" w:w="9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Amato et al. (NEJM 2015): análise de 9 trials (3562 pacientes): DP foi o único preditor independente de mortalidade.</w:t>
            </w:r>
          </w:p>
        </w:tc>
      </w:tr>
      <w:tr>
        <w:tc>
          <w:tcPr>
            <w:tcW w:type="dxa" w:w="9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Cada 1 cmH2O de aumento na DP = 1,41x maior risco de morte.</w:t>
            </w:r>
          </w:p>
        </w:tc>
      </w:tr>
      <w:tr>
        <w:tc>
          <w:tcPr>
            <w:tcW w:type="dxa" w:w="9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DP &lt; 13 cmH2O: menor mortalidade. DP &gt; 20 cmH2O: mortalidade muito alta.</w:t>
            </w:r>
          </w:p>
        </w:tc>
      </w:tr>
      <w:tr>
        <w:tc>
          <w:tcPr>
            <w:tcW w:type="dxa" w:w="9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PRÁTICO: se aumentar PEEP e DP cair = recrutamento ocorreu (pulmão mais distendido/recrutado). Se DP subir = overdistensão.</w:t>
            </w:r>
          </w:p>
        </w:tc>
      </w:tr>
      <w:tr>
        <w:tc>
          <w:tcPr>
            <w:tcW w:type="dxa" w:w="9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ESTRATÉGIA: ajustar VT e PEEP para MINIMIZAR DP, não para atingir VT ou PEEP fixos.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pBdr>
          <w:bottom w:val="single" w:color="2E75B6" w:sz="8" w:space="1"/>
        </w:pBdr>
        <w:spacing w:after="160" w:before="360"/>
      </w:pPr>
      <w:r>
        <w:rPr>
          <w:rFonts w:ascii="Arial" w:cs="Arial" w:eastAsia="Arial" w:hAnsi="Arial"/>
          <w:b/>
          <w:bCs/>
          <w:caps/>
          <w:color w:val="1B3A6B"/>
          <w:sz w:val="34"/>
          <w:szCs w:val="34"/>
        </w:rPr>
        <w:t xml:space="preserve">4. PRONAÇÃO (PRONA) NA SDRA GRAVE — PROTOCOLO COMPLETO</w:t>
      </w:r>
    </w:p>
    <w:p>
      <w:pPr>
        <w:spacing w:after="8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Pronação redistribui perfusão (dorsal &gt; ventral), recruta alvéolos dorsais colapsa (compressão cardíaca menor), homogeniza a distribuição de VILI. PROSEVA (NEJM 2013): 16h/dia de prona em SDRA grave (P:F &lt; 150) reduziu mortalidade de 32,8% para 16,0% (NNT = 6).</w:t>
      </w:r>
    </w:p>
    <w:p>
      <w:r>
        <w:rPr>
          <w:sz w:val="12"/>
          <w:szCs w:val="1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600"/>
      </w:tblGrid>
      <w:tr>
        <w:tc>
          <w:tcPr>
            <w:tcW w:type="dxa" w:w="22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651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Aspecto</w:t>
            </w:r>
          </w:p>
        </w:tc>
        <w:tc>
          <w:tcPr>
            <w:tcW w:type="dxa" w:w="34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651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Detalhe</w:t>
            </w:r>
          </w:p>
        </w:tc>
        <w:tc>
          <w:tcPr>
            <w:tcW w:type="dxa" w:w="3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651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Prática UTI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Indicação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SDRA grave: P:F &lt; 150 mmHg após 12-24h de VM protetora otimizada (VT 6, PEEP adequado, FiO2 alto).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PROSEVA: critério P:F &lt; 150 com PEEP ≥ 5 e FiO2 ≥ 0,6. Não aguardar deterioração — iniciar precocemente.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Duração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Ciclos de 16h em prona + 8h em supino. Repetir diariamente enquanto indicado.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Desmame: reduzir ciclos quando P:F &gt; 150 em supino x 2 dias consecutivos.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Sedação e BNM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Sedação RASS -4 obrigatória. BNM (cisatracúrio) durante a sessão se assíncronia, agitação.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BNM: 0,1-0,2 mg/kg/h cisatracúrio. TOF alvo 1-2/4. Não exceder 48h acumulados.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Equipe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Mínimo 5 pessoas: 1 coordenador (cabeceira), 2 cada lado + 1 pés. Segurança de vias aéreas é prioridade.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Checar: tubo ET posicionado, SNG, acessos venosos, cateter urinário — ANTES de prone.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Posicionamento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Decúbito ventral. Coxins nas extremidades (tórax, pelve). Cabeça rotacionada a cada 2h (risco lesão facial).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Ponto crítico: olhos fechados + proteção. Orelhas: sem dobrar cartilagem. Genitália: sem compressão.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Monitorização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PA invasiva preferível (permite medição contínua na prona). SpO2 contínua. Pressão de vias aéreas.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Alarmes de desconexão de VM — hipóxia aguda na prona requer reposicionamento imediato (supino emergência).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Complicações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Deslocamento do TOT (5-10%), lesão de pele/face, obstrução de SNG, hipotensão, edema facial.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Deslocamento TOT em prona = emergência. Ter material de intubação pronto. Não deproner em emergência sem checar TOT.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Critérios de Resposta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P:F melhora &gt; 20 mmHg em 1h de prona = respondedor. Sem melhora em 3 sessões: discutir ECMO-VV.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Não-respondedor precoce: reavaliar posicionamento, recrutalidade (fenótipo L não responde bem à prona como recrutamento).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A1B9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🔬 PARTE III — TERAPIAS DE RESGATE NA SDRA REFRATÁRIA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3F2FD"/>
                <w:sz w:val="20"/>
                <w:szCs w:val="20"/>
              </w:rPr>
              <w:t xml:space="preserve">Óxido Nítrico • Almitrina • ECMO-VV • Recrutamento • Corticoide • Surfactante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Bdr>
          <w:bottom w:val="single" w:color="2E75B6" w:sz="8" w:space="1"/>
        </w:pBdr>
        <w:spacing w:after="160" w:before="360"/>
      </w:pPr>
      <w:r>
        <w:rPr>
          <w:rFonts w:ascii="Arial" w:cs="Arial" w:eastAsia="Arial" w:hAnsi="Arial"/>
          <w:b/>
          <w:bCs/>
          <w:caps/>
          <w:color w:val="1B3A6B"/>
          <w:sz w:val="34"/>
          <w:szCs w:val="34"/>
        </w:rPr>
        <w:t xml:space="preserve">5. TERAPIAS DE RESGATE — SDRA GRAVE REFRATÁRIO</w:t>
      </w:r>
    </w:p>
    <w:p>
      <w:pPr>
        <w:spacing w:after="8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Definição de SDRA refratário: P:F &lt; 80 mmHg após VM protetora + prona + PEEP otimizado. Terapias de resgate têm menor evidência de redução de mortalidade, mas podem ser usadas como ponte para recuperação ou ECMO.</w:t>
      </w:r>
    </w:p>
    <w:p>
      <w:r>
        <w:rPr>
          <w:sz w:val="12"/>
          <w:szCs w:val="1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600"/>
        <w:gridCol w:w="2600"/>
      </w:tblGrid>
      <w:tr>
        <w:tc>
          <w:tcPr>
            <w:tcW w:type="dxa" w:w="20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Terapia</w:t>
            </w:r>
          </w:p>
        </w:tc>
        <w:tc>
          <w:tcPr>
            <w:tcW w:type="dxa" w:w="20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Mecanismo</w:t>
            </w:r>
          </w:p>
        </w:tc>
        <w:tc>
          <w:tcPr>
            <w:tcW w:type="dxa" w:w="2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Uso Clínico / Dose</w:t>
            </w:r>
          </w:p>
        </w:tc>
        <w:tc>
          <w:tcPr>
            <w:tcW w:type="dxa" w:w="2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Evidência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Óxido Nítrico Inalatório (iNO)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Vasodilatador seletivo pulmonar → redistribui perfusão para alvéolos ventilados → melhora V/Q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1-20 ppm inalatório. Avaliar resposta em 30-60 min. Desmame gradual (rebote se suspensão abrupta).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Melhora oxigenação em 60-70% dos casos. SEM redução de mortalidade (Dellinger 1998, Troncy 1998). Uso como resgate/ponte.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Almitrina (Almitrine Bismesylate)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Vasoconstritora pulmonar seletiva — potencializa vasoconstrição hipóxica → melhora V/Q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2-16 mcg/kg/min IC IV. Usar com baixas doses de iNO (sinergia).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Associação iNO + almitrina: sinergia PaO2/FiO2 (+30-40 mmHg). Não disponível no Brasil rotineiramente.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Corticosteroide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Anti-inflamatório: reduz cytokines, fibrose precoce, fase proliferativa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Metilprednisolona 1 mg/kg/dia ÷ q6h. Fase exsudativa (dias 7-14) OU fase fibroproliferativa.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LaSRS trial (NEJM 2006): sem redução mortalidade + piora se iniciado tardio (&gt; 14d). Deyo et al. 2020: benefício se iniciado &lt; 7d (fase exsudativa). RECOVERY COVID: dexametasona 6 mg/dia reduz mortalidade em SDRA-COVID.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Recrutamento Alveolar Sustentado (RAS)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Inflação alveolar controlada para abrir alvéolos colabados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CPAP 40 cmH2O 40 segundos (tradicional) OU PEEP escalonado (ramp). Apenas em fenótipo H (alta recrutalidade).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PHARLAP trial (NEJM 2019): manobra de recrutamento + PEEP alto AUMENTOU mortalidade em 28d. NÃO RECOMENDADO rotineiramente.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Surfactante exógeno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Restaura surfactante pulmonar degradado na SDRA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Surfactante inalatório/instilado via TOT. Adultos: dados limitados.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Crianças: benefício em SDRA neonatal e RDS. Adultos: SAIL trial, ARDS-12 — sem benefício em adultos. NÃO recomendado em SDRA adulto.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Posição Lateral (decúbito lateral 90°)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Redistribui perfusão similar à prona — alternativa quando prona não é possível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Períodos de 2-4h em decúbito lateral. Menos eficaz que prona.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Evidência limitada — alternativa prática em casos específicos (traqueostomia, IMC extremo).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ECMO-VV (ver seção específica)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Suporte extracorpóreo circulação sanguínea + oxigenação + remoção CO2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Ver seção ECMO-VV abaixo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EOLIA trial (NEJM 2018): ECMO como resgate em SDRA grave P:F &lt; 80.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pBdr>
          <w:bottom w:val="single" w:color="2E75B6" w:sz="8" w:space="1"/>
        </w:pBdr>
        <w:spacing w:after="160" w:before="360"/>
      </w:pPr>
      <w:r>
        <w:rPr>
          <w:rFonts w:ascii="Arial" w:cs="Arial" w:eastAsia="Arial" w:hAnsi="Arial"/>
          <w:b/>
          <w:bCs/>
          <w:caps/>
          <w:color w:val="1B3A6B"/>
          <w:sz w:val="34"/>
          <w:szCs w:val="34"/>
        </w:rPr>
        <w:t xml:space="preserve">6. ECMO-VV — OXIGENAÇÃO POR MEMBRANA EXTRACORPÓREA VENOVENOSA</w:t>
      </w:r>
    </w:p>
    <w:p>
      <w:pPr>
        <w:spacing w:after="8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ECMO-VV: sangue drenado da veia femoral (ou jugular), passa por oxigenador extracorpóreo e retorna oxigenado pela veia femoral contralateral (ou jugular). NÃO fornece suporte cardíaco (diferente da ECMO-VA). Indicado em SDRA grave refratário como ponte para recuperação pulmonar.</w:t>
      </w:r>
    </w:p>
    <w:p>
      <w:r>
        <w:rPr>
          <w:sz w:val="12"/>
          <w:szCs w:val="1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600"/>
      </w:tblGrid>
      <w:tr>
        <w:tc>
          <w:tcPr>
            <w:tcW w:type="dxa" w:w="20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47A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Aspecto</w:t>
            </w:r>
          </w:p>
        </w:tc>
        <w:tc>
          <w:tcPr>
            <w:tcW w:type="dxa" w:w="3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47A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Detalhes</w:t>
            </w:r>
          </w:p>
        </w:tc>
        <w:tc>
          <w:tcPr>
            <w:tcW w:type="dxa" w:w="3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47A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Prática Clínica / Complicações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Indicações ECMO-VV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SDRA grave refratário: P:F &lt; 80 mmHg após VM otimizada + prona ≥ 16h + PEEP otimizado. OU hipercapnia descontrolada (pH &lt; 7,15 com FR máxima). OU como ponte para transplante pulmonar.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EOLIA (NEJM 2018): ECMO vs suporte convencional em SDRA grave — 60d mortalidade 35% vs 46% (p=0,07). Cruzamento 35% do grupo controle. Análise adicional: ECMO reduz mortalidade em pacientes que necessitam.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Cânulas VV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Drenagem: cânula venosa femoral 23-25F (veia cava inferior → AD). Retorno: cânula venosa femoral contralateral 19-21F OU cânula duplo-lúmen jugular (Avalon) — única punção.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Avalon: preferida para mobilização precoce. Menor reciclagem (recirculação). Posição: eco confirma cânula na AD.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Parâmetros ECMO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Fluxo: 60-70% do DC (3-5 L/min). FiO2 ECMO: 1,0. Sweep (gás): ajusta remoção CO2 (aumentar sweep = mais CO2 retirado).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Reciclagem: sangue oxigenado aspirado de volta para o circuito — reduz eficácia. Sinal: diferença saturação venosa drenagem e sistêmica pequena.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VM durante ECMO-VV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Ultra-protetora: VT 3-4 mL/kg, PEEP 10-15, FR baixa, FiO2 0,4-0,5. Pulmão em 'repouso'.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Objetivo: eliminar VILI enquanto ECMO garante trocas gasosas. Driving pressure &lt; 10 cmH2O.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Anticoagulação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Heparina IC alvo ACT 160-180s ou TTPA 50-80s. Monitorar plaquetas (consumo pelo circuito).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Plaquetas &lt; 50k: reduzir anticoagulação. Sangramento intracraniano: considerar suspender anticoag com risco de trombose.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Desmame ECMO-VV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Reduzir FiO2 ECMO → 0,21. Reduzir fluxo para 1,5-2 L/min. Se troca gasosa mantida = desmame adequado. Clamp 4h → retirada.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Falha de desmame: ECMO dependência = pulmão fibrótico irreversível. Discussão de transplante pulmonar.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Contraindicações ECMO-VV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Doença subjacente terminal (metástase disseminada), dano neurológico irreversível, coagulopatia intratável, incapacidade de anticoaguler, VM ≥ 7d (menor chance recuperação pulmonar).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Seleção cuidadosa: ECMO é recurso de alto custo e complexidade. Centro especializado obrigatório.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pBdr>
          <w:bottom w:val="single" w:color="2E75B6" w:sz="8" w:space="1"/>
        </w:pBdr>
        <w:spacing w:after="160" w:before="360"/>
      </w:pPr>
      <w:r>
        <w:rPr>
          <w:rFonts w:ascii="Arial" w:cs="Arial" w:eastAsia="Arial" w:hAnsi="Arial"/>
          <w:b/>
          <w:bCs/>
          <w:caps/>
          <w:color w:val="1B3A6B"/>
          <w:sz w:val="34"/>
          <w:szCs w:val="34"/>
        </w:rPr>
        <w:t xml:space="preserve">7. TRIALS FUNDAMENTAIS — SDRA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3200"/>
        <w:gridCol w:w="2000"/>
      </w:tblGrid>
      <w:tr>
        <w:tc>
          <w:tcPr>
            <w:tcW w:type="dxa" w:w="2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Trial / Ano</w:t>
            </w:r>
          </w:p>
        </w:tc>
        <w:tc>
          <w:tcPr>
            <w:tcW w:type="dxa" w:w="14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 / Tema</w:t>
            </w:r>
          </w:p>
        </w:tc>
        <w:tc>
          <w:tcPr>
            <w:tcW w:type="dxa" w:w="32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Principal</w:t>
            </w:r>
          </w:p>
        </w:tc>
        <w:tc>
          <w:tcPr>
            <w:tcW w:type="dxa" w:w="20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ARDSNet — NEJM 2000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861 pts / VT 6 vs 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VT 6 mL/kg: mortalidade 31% vs 39,8% (↓22%). NNT = 12.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VT 6 mL/kg: padrão ouro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PROSEVA — NEJM 2013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466 pts / Prona 16h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Prona 16h: mortalidade 16% vs 32,8% (NNT = 6). Redução absoluta 47%.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Prona: maior evidência em SDRA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Amato et al. — NEJM 2015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3562 pts (9 trials) / DP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Driving Pressure: único preditor independente mortalidade. DP &gt; 15 = risco aumentado.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DP: melhor meta ventilatória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ACURASYS — NEJM 2010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340 pts / Cisatracúrio 48h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BNM 48h: mortalidade 90d reduzida (31,6% vs 40,7%). Menos barotrauma.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BNM nas primeiras 48h SDRA grave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ROSE — NEJM 2019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1006 pts / BNM vs sedação profunda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BNM sem benefício de mortalidade vs sedação profunda. Reavaliação do ACURASYS.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Sedação profunda = alternativa ao BNM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EOLIA — NEJM 2018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249 pts / ECMO-VV vs convencional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60d: 35% vs 46% (p=0,07). 35% do grupo controle cruzou para ECMO.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ECMO-VV: resgate SDRA P:F &lt; 80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PHARLAP — NEJM 2019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115 pts / Recrutamento + PEEP alto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Recrutamento + PEEP alto: AUMENTA mortalidade 28d.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Recrutamento agressivo: contraindicado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RECOVERY — NEJM 2021 (COVID)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1779 pts (SDRA COVID) / Dexametasona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Dexametasona 6 mg/dia: reduz mortalidade em SDRA-COVID em VM (29% vs 41%).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Corticoide: indicado em SDRA-COVID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EPVent2 — JAMA 2019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200 pts / PEEP transpulmonar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PEEP guiado por pressão esofágica vs padrão: sem diferença.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PEEP transpulmonar: sem superioridade clara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DEXA-ARDS — Lancet Resp Med 2020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277 pts / Dexametasona SDRA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Dexametasona 20→10 mg/dia: 60d mortalidade 21% vs 36%.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Corticoide no SDRA não-COVID: benefício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pBdr>
          <w:bottom w:val="single" w:color="2E75B6" w:sz="8" w:space="1"/>
        </w:pBdr>
        <w:spacing w:after="160" w:before="360"/>
      </w:pPr>
      <w:r>
        <w:rPr>
          <w:rFonts w:ascii="Arial" w:cs="Arial" w:eastAsia="Arial" w:hAnsi="Arial"/>
          <w:b/>
          <w:bCs/>
          <w:caps/>
          <w:color w:val="1B3A6B"/>
          <w:sz w:val="34"/>
          <w:szCs w:val="34"/>
        </w:rPr>
        <w:t xml:space="preserve">8. QUESTÕES TEMI-STYLE — SDRA (5 QUESTÕES)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QUESTÃO 01 | SDRA — Driving Pressure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Paciente em VM por SDRA moderado (P:F 145 mmHg). VT 6 mL/kg PPI (420 mL), PEEP 10 cmH2O, FR 22 irpm, FiO2 0,65. Pplat = 30 cmH2O. DP = 20 cmH2O. SatO2 90%. A conduta mais baseada em evidências para reduzir o risco de VILI é: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A) Aumentar PEEP para 14 cmH2O — reduzir colapso alveolar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B) Reduzir FiO2 para 0,55 — hipóxia moderada é aceitável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C) Reduzir VT para 4 mL/kg PPI (280 mL) para tentar reduzir DP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D) Aumentar FR para 30 irpm para compensar redução do VT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E) Manter parâmetros — Pplat &lt; 30 cmH2O é dentro do alvo</w:t>
            </w:r>
          </w:p>
        </w:tc>
      </w:tr>
      <w:tr>
        <w:tc>
          <w:tcPr>
            <w:tcW w:type="dxa" w:w="9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Resposta: C</w:t>
            </w:r>
          </w:p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Amato (NEJM 2015): DP é o melhor preditor de mortalidade — DP &gt; 15 = risco aumentado. DP atual = 20 cmH2O. Estratégia: reduzir VT (4 mL/kg PPI = 280 mL para este paciente) para tentar diminuir DP. Se PEEP adicional recrutar (nova complacência sobe, DP cai): aumentar PEEP também é válido. A 'manobra de diagnóstico': aumentar PEEP 2 cmH2O — se DP cai = recruta (aumentar PEEP é benéfico). Se DP sobe = overdistensão (reduzir PEEP). Hipercapnia permissiva: aceitar PaCO2 60-70 mmHg se pH ≥ 7,20.</w:t>
            </w:r>
          </w:p>
        </w:tc>
      </w:tr>
    </w:tbl>
    <w:p>
      <w:r>
        <w:rPr>
          <w:sz w:val="12"/>
          <w:szCs w:val="1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QUESTÃO 02 | SDRA — Indicação de Prona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SDRA grave por pneumonia por influenza. P:F = 95 mmHg com PEEP 12, FiO2 0,80. VM protetora há 18h (VT 6 mL/kg, Pplat 27, DP 15). Sedação RASS -4. A conduta imediata mais correta é: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A) Aumentar PEEP para 18 cmH2O — melhorar recrutamento antes de prona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B) Iniciar prona 16h imediatamente — SDRA grave P:F &lt; 150 após VM protetora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C) Manobra de recrutamento alveolar CPAP 40 cmH2O 40s — recrutar antes de prona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D) Iniciar ECMO-VV — P:F &lt; 100 é indicação imediata de suporte extracorpóreo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E) Aguardar mais 24h de VM otimizada antes de prona</w:t>
            </w:r>
          </w:p>
        </w:tc>
      </w:tr>
      <w:tr>
        <w:tc>
          <w:tcPr>
            <w:tcW w:type="dxa" w:w="9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Resposta: B</w:t>
            </w:r>
          </w:p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PROSEVA (NEJM 2013): indicação: SDRA grave (P:F &lt; 150) após 12-24h de VM protetora otimizada. Este paciente tem P:F 95 após 18h = indicação preenchida. Prona 16h — maior redução de mortalidade em SDRA de qualquer intervenção (NNT = 6). Manobra de recrutamento (CPAP 40s): PHARLAP (NEJM 2019) mostrou AUMENTO de mortalidade com recrutamento + PEEP alto. ECMO-VV: indicado em P:F &lt; 80 após prona + VM otimizados. Aguardar mais 24h: retarda intervenção com benefício comprovado.</w:t>
            </w:r>
          </w:p>
        </w:tc>
      </w:tr>
    </w:tbl>
    <w:p>
      <w:r>
        <w:rPr>
          <w:sz w:val="12"/>
          <w:szCs w:val="1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QUESTÃO 03 | ECMO-VV — Indicação e Particularidade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SDRA grave por sepse fúngica, em prona há 3 dias sem melhora. P:F atual = 68 mmHg, pH = 7,18, PaCO2 = 78 mmHg na FR máxima (35 irpm), VT 4 mL/kg. Pplat 34 cmH2O. Driving pressure 24 cmH2O. VM há 5 dias. A equipe discute ECMO-VV. Qual afirmação é VERDADEIRA?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A) ECMO-VV fornece suporte cardíaco e pulmonar simultâneo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B) ECMO-VV exige anticoagulação plena com heparina IV e monitorização por ACT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C) EOLIA trial demonstrou redução significativa de mortalidade (p &lt; 0,05) com ECMO-VV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D) VM deve ser maximizada durante ECMO-VV para melhor recuperação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E) ECMO-VV está contraindicado se VM &gt; 3 dias</w:t>
            </w:r>
          </w:p>
        </w:tc>
      </w:tr>
      <w:tr>
        <w:tc>
          <w:tcPr>
            <w:tcW w:type="dxa" w:w="9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Resposta: B</w:t>
            </w:r>
          </w:p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ECMO-VV: (1) NÃO fornece suporte cardíaco (apenas respiratório) — diferente da ECMO-VA. (2) Anticoagulação obrigatória: heparina IV com ACT alvo 160-180s ou TTPA 50-80s (trombose do circuito = catastrófico). EOLIA: p=0,07 (NÃO atingiu significância estatística primária). Com crossover de 35%, análise de tratamento-por-intenção não permitiu conclusão definitiva — mas análise de sensibilidade é favorável. VM durante ECMO-VV: deve ser ultra-protetora (VT 3-4 mL/kg, FR baixa, pulmão em 'repouso') — oposto de maximizar. VM &gt; 7 dias: sinal de mau prognóstico, não contraindicação absoluta (considerar reversibilidade).</w:t>
            </w:r>
          </w:p>
        </w:tc>
      </w:tr>
    </w:tbl>
    <w:p>
      <w:r>
        <w:rPr>
          <w:sz w:val="12"/>
          <w:szCs w:val="1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QUESTÃO 04 | SDRA Fenótipos — PEEP Ideal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Paciente com SDRA moderado (P:F = 160 mmHg) suspeito de fenótipo L (complacência estática = 55 mL/cmH2O, Rx com infiltrado sutil, COVID-19 tipo L). PEEP atual = 10 cmH2O. Você decide testar redução do PEEP para 6 cmH2O. Após 30 min: DP cai de 14 para 11 cmH2O, PaO2 estável. A interpretação e conduta mais correta são: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A) PEEP 10 era adequado — reduzir PEEP sempre piora oxigenação, reverter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B) A queda da DP com PEEP menor confirma overdistensão — manter PEEP 6 e monitorar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C) Aumentar PEEP para 16 cmH2O — recrutar melhor mesmo que DP aumente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D) PEEP 6 indica necessidade de posição prona imediata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E) Realizar manobra de recrutamento CPAP 40 cmH2O antes de decidir PEEP</w:t>
            </w:r>
          </w:p>
        </w:tc>
      </w:tr>
      <w:tr>
        <w:tc>
          <w:tcPr>
            <w:tcW w:type="dxa" w:w="9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Resposta: B</w:t>
            </w:r>
          </w:p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Fenótipo L: baixa recrutalidade + complacência alta. PEEP alto causa overdistensão (não recrutamento). Teste de PEEP decremental: reduzir PEEP e observar DP. DP caiu (14→11) com PEEP 6 = overdistensão era presente com PEEP 10 (pulmão já distendido, PEEP adicional = overdistensão sem recrutar). PaO2 estável confirma que a oxigenação não depende desse PEEP. Conduta: manter PEEP 6 (menor lesão mecânica). Em fenótipo H (recrutalidade alta): PEEP alto melhora DP (recrutamento real). Manobra CPAP 40: PHARLAP — CONTRAINDICADA rotineiramente.</w:t>
            </w:r>
          </w:p>
        </w:tc>
      </w:tr>
    </w:tbl>
    <w:p>
      <w:r>
        <w:rPr>
          <w:sz w:val="12"/>
          <w:szCs w:val="1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QUESTÃO 05 | SDRA — Corticoide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Paciente com SDRA moderado (P:F = 180 mmHg) em VM há 10 dias. Iniciou com pneumonia bacteriana, recebeu antibióticos corretos. Sem melhora — ainda com P:F &lt; 200. TC tórax: infiltrado bilateral extenso, padrão de fibrose incipiente. Sem sinais de infecção ativa. Qual intervenção farmacológica tem evidência para este cenário?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A) Surfactante exógeno instilado via TOT — restaura surfactante degradado no SDRA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B) Óxido nítrico inalatório 20 ppm — melhora P:F e reduz mortalidade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C) Metilprednisolona 1 mg/kg/dia — fase fibrótica precoce (dia 7-14) com evidência de benefício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D) Imunoglobulina IV 2g/kg — modula resposta inflamatória no SDRA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E) Barbitúrico (tiopental) para reduzir consumo de oxigênio</w:t>
            </w:r>
          </w:p>
        </w:tc>
      </w:tr>
      <w:tr>
        <w:tc>
          <w:tcPr>
            <w:tcW w:type="dxa" w:w="9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Resposta: C</w:t>
            </w:r>
          </w:p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SDRA dia 10 com fibrose incipiente = fase proliferativa/fibrótica precoce. Metilprednisolona 1 mg/kg/dia: LaSRS trial (NEJM 2006) foi negativo isolado, mas subgrupo iniciado entre dias 7-14 mostrou benefício. DEXA-ARDS (Lancet Resp Med 2020): dexametasona 20→10 mg/dia reduziu mortalidade 60d (21% vs 36%). Em COVID-19: RECOVERY (dexametasona 6 mg) — benefício claro. Fase fibrótica = janela para corticoide. Surfactante: sem benefício em adultos (SAIL trial). iNO: melhora P:F mas NÃO reduz mortalidade. Barbitúrico: para HIC — sem indicação em SDRA.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Bdr>
          <w:bottom w:val="single" w:color="2E75B6" w:sz="4" w:space="1"/>
        </w:pBdr>
        <w:spacing w:after="200" w:before="200"/>
      </w:pPr>
      <w:r>
        <w:rPr>
          <w:sz w:val="4"/>
          <w:szCs w:val="4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424242"/>
          <w:sz w:val="18"/>
          <w:szCs w:val="18"/>
        </w:rPr>
        <w:t xml:space="preserve">Dr. Aldenir Rocha — CRM 16587 CREMEC | RQE 11846 | Hospital Regional Norte | Santa Casa Sobral-CE</w:t>
      </w:r>
    </w:p>
    <w:p>
      <w:pPr>
        <w:jc w:val="center"/>
      </w:pPr>
      <w:r>
        <w:rPr>
          <w:rFonts w:ascii="Arial" w:cs="Arial" w:eastAsia="Arial" w:hAnsi="Arial"/>
          <w:i/>
          <w:iCs/>
          <w:color w:val="2E75B6"/>
          <w:sz w:val="16"/>
          <w:szCs w:val="16"/>
        </w:rPr>
        <w:t xml:space="preserve">ARDSNet 2000 • PROSEVA 2013 • Amato 2015 • ACURASYS • ROSE • EOLIA 2018 • PHARLAP 2019 • DEXA-ARDS 2020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2026-04-22T02:45:47.835Z</dcterms:created>
  <dcterms:modified xsi:type="dcterms:W3CDTF">2026-04-22T02:45:47.836Z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