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B0000"/>
          <w:sz w:val="36"/>
          <w:szCs w:val="36"/>
        </w:rPr>
        <w:t xml:space="preserve">🩸 PROTOCOLO DE TRANSFUSÃO DE CRIOPRECIPITADO 🩸</w:t>
      </w:r>
    </w:p>
    <w:p>
      <w:pPr>
        <w:spacing w:after="80"/>
        <w:jc w:val="center"/>
      </w:pPr>
      <w:r>
        <w:rPr>
          <w:i/>
          <w:iCs/>
          <w:color w:val="C8102E"/>
          <w:sz w:val="24"/>
          <w:szCs w:val="24"/>
        </w:rPr>
        <w:t xml:space="preserve">Manual Prático para Medicina Intensiva e Clínica Médica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Baseado em: AABB 2023 | ABHH | Surviving Sepsis Campaign | BCSH | TEMI/AMIB</w:t>
      </w:r>
    </w:p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1️⃣ DEFINIÇÃO E COMPOSIÇÃO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</w:t>
      </w:r>
      <w:r>
        <w:rPr>
          <w:b/>
          <w:bCs/>
          <w:i w:val="false"/>
          <w:iCs w:val="false"/>
          <w:color w:val="8B0000"/>
          <w:sz w:val="22"/>
          <w:szCs w:val="22"/>
        </w:rPr>
        <w:t xml:space="preserve">crioprecipitado (CRIO)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é um hemocomponente obtido a partir do descongelamento controlado do plasma fresco congelado (PFC) entre 1–6°C, seguido de centrifugação. Contém a fração </w:t>
      </w:r>
      <w:r>
        <w:rPr>
          <w:b/>
          <w:bCs/>
          <w:i w:val="false"/>
          <w:iCs w:val="false"/>
          <w:color w:val="000000"/>
          <w:sz w:val="22"/>
          <w:szCs w:val="22"/>
        </w:rPr>
        <w:t xml:space="preserve">crioinsolúvel rica em proteínas de alto peso molecular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. Cada unidade tem volume de aproximadamente </w:t>
      </w:r>
      <w:r>
        <w:rPr>
          <w:b/>
          <w:bCs/>
          <w:i w:val="false"/>
          <w:iCs w:val="false"/>
          <w:color w:val="C8102E"/>
          <w:sz w:val="22"/>
          <w:szCs w:val="22"/>
        </w:rPr>
        <w:t xml:space="preserve">10–15 mL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/>
        <w:jc w:val="both"/>
      </w:pPr>
      <w:r>
        <w:rPr>
          <w:b/>
          <w:bCs/>
          <w:color w:val="000000"/>
          <w:sz w:val="22"/>
          <w:szCs w:val="22"/>
        </w:rPr>
        <w:t xml:space="preserve">📦 Composição mínima por bolsa (padrão AABB):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Quantidade Mínima por Bolsa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Fibrinogênio (Fator I)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150–250 mg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Substrato final da coagulação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Fator VIII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80–100 UI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Via intrínseca (Hemofilia A)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Fator XIII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 50–75 UI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Estabilização do coágulo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Fator de von Willebrand (FvW)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 100–150 UI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Adesão plaquetária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Fibronectina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variável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Opsonização / cicatrização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b/>
          <w:bCs/>
          <w:i w:val="false"/>
          <w:iCs w:val="false"/>
          <w:color w:val="C8102E"/>
          <w:sz w:val="22"/>
          <w:szCs w:val="22"/>
        </w:rPr>
        <w:t xml:space="preserve">Curiosidade nerd: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O crioprecipitado foi descrito por </w:t>
      </w:r>
      <w:r>
        <w:rPr>
          <w:b/>
          <w:bCs/>
          <w:i/>
          <w:iCs/>
          <w:color w:val="000000"/>
          <w:sz w:val="22"/>
          <w:szCs w:val="22"/>
        </w:rPr>
        <w:t xml:space="preserve">Judith Pool em 1964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(técnica de Pool), revolucionando o tratamento da hemofilia A antes da era dos concentrados liofilizados de fator VIII recombinante. 🧬</w:t>
      </w:r>
    </w:p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2️⃣ INDICAÇÕES CLÍNICAS</w:t>
      </w:r>
    </w:p>
    <w:p>
      <w:pPr>
        <w:spacing w:after="120"/>
        <w:jc w:val="both"/>
      </w:pPr>
      <w:r>
        <w:rPr>
          <w:b/>
          <w:bCs/>
          <w:color w:val="006400"/>
          <w:sz w:val="22"/>
          <w:szCs w:val="22"/>
        </w:rPr>
        <w:t xml:space="preserve">🟢 INDICAÇÕES PRINCIPAIS (uso recomendado):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Hipofibrinogenemia adquirida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 fibrinogênio &lt; 150 mg/dL em sangramento ativo (cirúrgico, trauma, obstétrico)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Hipofibrinogenemia em hemorragia obstétrica grave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(meta: fibrinogênio &gt; 200 mg/dL — guideline europeu 2023)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Coagulopatia por trauma maciço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 fibrinogênio &lt; 150–200 mg/dL (protocolo de transfusão maciça)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CIVD (Coagulação Intravascular Disseminada)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 sangramento + fibrinogênio &lt; 100–150 mg/dL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Disfibrinogenemia / afibrinogenemia congênita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 sangramento ou pré-procedimento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Deficiência congênita de Fator XIII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(quando concentrado específico indisponível)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Uremia com sangramento refratário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diálise + DDAVP (uso eventual, baixa evidência)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Reversão de trombolítico (rtPA)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 hemorragia maior, especialmente intracraniana — diretriz AHA/ASA 2019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  <w:color w:val="8B0000"/>
          <w:sz w:val="22"/>
          <w:szCs w:val="22"/>
        </w:rPr>
        <w:t xml:space="preserve">🔴 INDICAÇÕES OBSOLETAS / NÃO RECOMENDADAS (preferir alternativas):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Hemofilia A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usar concentrado de Fator VIII recombinante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Doença de von Willebrand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usar DDAVP ou concentrado de FvW/FVIII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Reposição volêmica ou hipoalbuminemia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NUNCA indicado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8B0000"/>
          <w:sz w:val="22"/>
          <w:szCs w:val="22"/>
        </w:rPr>
        <w:t xml:space="preserve">Profilaxia rotineira em hepatopatas estáveis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 sangramento</w:t>
      </w:r>
    </w:p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3️⃣ METAS LABORATORIAIS DE FIBRINOGÊNIO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Cenário Clínico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Meta de Fibrinogênio</w:t>
            </w:r>
          </w:p>
        </w:tc>
      </w:tr>
      <w:t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Sangramento clínico geral / cirurgia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&gt; 150 mg/dL</w:t>
            </w:r>
          </w:p>
        </w:tc>
      </w:tr>
      <w:t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Trauma maciço / hemorragia ativa grave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&gt; 150–200 mg/dL</w:t>
            </w:r>
          </w:p>
        </w:tc>
      </w:tr>
      <w:t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Hemorragia obstétrica (PPH)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E4B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&gt; 200 mg/dL ⚠️</w:t>
            </w:r>
          </w:p>
        </w:tc>
      </w:tr>
      <w:t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Neurocirurgia / sangramento SNC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E4B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&gt; 150–200 mg/dL</w:t>
            </w:r>
          </w:p>
        </w:tc>
      </w:tr>
      <w:t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CIVD com sangramento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&gt; 100–150 mg/dL</w:t>
            </w:r>
          </w:p>
        </w:tc>
      </w:tr>
      <w:t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Procedimento invasivo eletivo (PL, biópsia)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&gt; 100 mg/dL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⚠️ </w:t>
      </w:r>
      <w:r>
        <w:rPr>
          <w:b/>
          <w:bCs/>
          <w:i w:val="false"/>
          <w:iCs w:val="false"/>
          <w:color w:val="C8102E"/>
          <w:sz w:val="22"/>
          <w:szCs w:val="22"/>
        </w:rPr>
        <w:t xml:space="preserve">Atenção: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na gestante, o fibrinogênio basal é fisiologicamente elevado (350–650 mg/dL no 3º trimestre). Valores &lt; 200 mg/dL na PPH já são preditores independentes de hemorragia grave (estudo de Charbit et al., 2007).</w:t>
      </w:r>
    </w:p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4️⃣ FÓRMULAS DE DOSAGEM 🧮</w:t>
      </w:r>
    </w:p>
    <w:p>
      <w:pPr>
        <w:spacing w:after="120"/>
        <w:jc w:val="both"/>
      </w:pPr>
      <w:r>
        <w:rPr>
          <w:b/>
          <w:bCs/>
          <w:color w:val="C8102E"/>
          <w:sz w:val="22"/>
          <w:szCs w:val="22"/>
        </w:rPr>
        <w:t xml:space="preserve">📐 FÓRMULA 1 — Cálculo prático (mais usada na beira do leito):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6"/>
                <w:szCs w:val="26"/>
              </w:rPr>
              <w:t xml:space="preserve">Nº de bolsas = 1 unidade para cada 7–10 kg de peso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(eleva fibrinogênio em ~70–100 mg/dL no adulto médio)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  <w:color w:val="C8102E"/>
          <w:sz w:val="22"/>
          <w:szCs w:val="22"/>
        </w:rPr>
        <w:t xml:space="preserve">🔬 FÓRMULA 2 — Cálculo preciso (baseado em meta laboratorial):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Nº de bolsas = (Fib desejado − Fib atual) × Volume Plasmático (mL) ÷ 250 mg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Volume Plasmático ≈ Peso (kg) × 70 × (1 − Hematócrito)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  <w:color w:val="C8102E"/>
          <w:sz w:val="22"/>
          <w:szCs w:val="22"/>
        </w:rPr>
        <w:t xml:space="preserve">📊 FÓRMULA 3 — Estimativa de elevação esperada: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1 bolsa de CRIO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eleva fibrinogênio em aproximadamente </w:t>
      </w:r>
      <w:r>
        <w:rPr>
          <w:b/>
          <w:bCs/>
          <w:i w:val="false"/>
          <w:iCs w:val="false"/>
          <w:color w:val="8B0000"/>
          <w:sz w:val="22"/>
          <w:szCs w:val="22"/>
        </w:rPr>
        <w:t xml:space="preserve">5–10 mg/dL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10 bolsas (pool de adulto)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eleva </w:t>
      </w:r>
      <w:r>
        <w:rPr>
          <w:b/>
          <w:bCs/>
          <w:i w:val="false"/>
          <w:iCs w:val="false"/>
          <w:color w:val="8B0000"/>
          <w:sz w:val="22"/>
          <w:szCs w:val="22"/>
        </w:rPr>
        <w:t xml:space="preserve">~ 70–100 mg/dL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em adulto de 70 kg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  <w:color w:val="C8102E"/>
          <w:sz w:val="22"/>
          <w:szCs w:val="22"/>
        </w:rPr>
        <w:t xml:space="preserve">💊 EXEMPLO PRÁTICO — Paciente 70 kg, fibrinogênio = 80 mg/dL, meta 200 mg/dL: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ΔFibrinogênio desejado = 200 − 80 = 120 mg/dL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VP ≈ 70 × 70 × (1 − 0,30) = 3.430 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Nº bolsas = (120 × 3.430) ÷ 250 ÷ 1000 ≈ 1,6 g de fibrinogênio necessário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bolsa contém ~ 200 mg → </w:t>
      </w:r>
      <w:r>
        <w:rPr>
          <w:b/>
          <w:bCs/>
          <w:i w:val="false"/>
          <w:iCs w:val="false"/>
          <w:color w:val="8B0000"/>
          <w:sz w:val="22"/>
          <w:szCs w:val="22"/>
        </w:rPr>
        <w:t xml:space="preserve">necessárias ≈ 8 bolsas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(arredondar para 10 bolsas / 1 pool de adulto) ✅</w:t>
      </w:r>
    </w:p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5️⃣ POSOLOGIA PRÁTICA E ADMINISTRAÇÃO 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Parâmetro</w:t>
            </w:r>
          </w:p>
        </w:tc>
        <w:tc>
          <w:tcPr>
            <w:tcW w:type="dxa" w:w="62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Recomendação Prática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E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Dose adulto</w:t>
            </w:r>
          </w:p>
        </w:tc>
        <w:tc>
          <w:tcPr>
            <w:tcW w:type="dxa" w:w="62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bolsa / 7–10 kg (geralmente 1 pool = 10 bolsas)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E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Dose pediátrica</w:t>
            </w:r>
          </w:p>
        </w:tc>
        <w:tc>
          <w:tcPr>
            <w:tcW w:type="dxa" w:w="62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bolsa / 5–10 kg (ou 5–10 mL/kg)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E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Volume por bolsa</w:t>
            </w:r>
          </w:p>
        </w:tc>
        <w:tc>
          <w:tcPr>
            <w:tcW w:type="dxa" w:w="62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10–15 mL (pool 10U ≈ 100–150 mL)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E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Velocidade infusão</w:t>
            </w:r>
          </w:p>
        </w:tc>
        <w:tc>
          <w:tcPr>
            <w:tcW w:type="dxa" w:w="62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mL/min (rápida — fatores instáveis); concluir em 30–60 min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E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Tempo máximo após descongelar</w:t>
            </w:r>
          </w:p>
        </w:tc>
        <w:tc>
          <w:tcPr>
            <w:tcW w:type="dxa" w:w="62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⏰ 6 horas (à temperatura ambiente, sistema fechado)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E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Compatibilidade ABO</w:t>
            </w:r>
          </w:p>
        </w:tc>
        <w:tc>
          <w:tcPr>
            <w:tcW w:type="dxa" w:w="62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Preferencial mas NÃO obrigatória; em emergência, qualquer tipo é aceitável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E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Compatibilidade Rh</w:t>
            </w:r>
          </w:p>
        </w:tc>
        <w:tc>
          <w:tcPr>
            <w:tcW w:type="dxa" w:w="62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é necessária (volume mínimo de hemácias)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E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Prova cruzada</w:t>
            </w:r>
          </w:p>
        </w:tc>
        <w:tc>
          <w:tcPr>
            <w:tcW w:type="dxa" w:w="62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NÃO necessária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E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Acesso venoso</w:t>
            </w:r>
          </w:p>
        </w:tc>
        <w:tc>
          <w:tcPr>
            <w:tcW w:type="dxa" w:w="62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Periférico (≥ 18G) ou central; usar equipo com filtro 170–260 µm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EA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Solução compatível</w:t>
            </w:r>
          </w:p>
        </w:tc>
        <w:tc>
          <w:tcPr>
            <w:tcW w:type="dxa" w:w="62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Apenas SF 0,9% (NÃO usar Ringer com cálcio na mesma via!)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⚠️ </w:t>
      </w:r>
      <w:r>
        <w:rPr>
          <w:b/>
          <w:bCs/>
          <w:i w:val="false"/>
          <w:iCs w:val="false"/>
          <w:color w:val="8B0000"/>
          <w:sz w:val="22"/>
          <w:szCs w:val="22"/>
        </w:rPr>
        <w:t xml:space="preserve">ALERTA TDAH (checklist mental rápido):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✅ Identificação dupla • ✅ Sinais vitais pré-infusão • ✅ Tipagem confirmada • ✅ Via exclusiva ou compatível • ✅ Reavaliar em 30–60 min com nova dosagem de fibrinogênio.</w:t>
      </w:r>
    </w:p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6️⃣ MONITORIZAÇÃO E REAVALIAÇÃO 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Sinais vitais: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PA, FC, FR, SpO2 e temperatura nos primeiros 15 min, depois a cada 30 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Fibrinogênio sérico: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dosagem 30–60 min após término da infusão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Coagulograma completo: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TP, TTPa, INR, plaquetas a cada 4–6h em sangramento 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Tromboelastometria (ROTEM/TEG):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FIBTEM A10 &lt; 7 mm sugere necessidade de reposição (gold standard moderno) 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Avaliação clínica do sangramento: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débito de drenos, oozing cirúrgico, sangramento de mucosas</w:t>
      </w:r>
    </w:p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7️⃣ CONTRAINDICAÇÕES E PRECAUÇÕES 🚫</w:t>
      </w:r>
    </w:p>
    <w:p>
      <w:pPr>
        <w:spacing w:after="120"/>
        <w:jc w:val="both"/>
      </w:pPr>
      <w:r>
        <w:rPr>
          <w:b/>
          <w:bCs/>
          <w:color w:val="8B0000"/>
          <w:sz w:val="22"/>
          <w:szCs w:val="22"/>
        </w:rPr>
        <w:t xml:space="preserve">⛔ CONTRAINDICAÇÕES ABSOLUTAS: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Reação alérgica grave prévia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(anafilaxia documentada) a hemocomponentes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Trombose ativa não controlada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 indicação hemorrágica concomitante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Deficiência de IgA com anti-IgA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(risco de anafilaxia — usar componentes IgA-deficientes)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  <w:color w:val="C8102E"/>
          <w:sz w:val="22"/>
          <w:szCs w:val="22"/>
        </w:rPr>
        <w:t xml:space="preserve">⚠️ CONTRAINDICAÇÕES RELATIVAS / CUIDADOS ESPECIAIS: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CIVD sem sangramento ativo: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evitar — pode ‘alimentar’ a coagulopatia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Trombose recente / TEP / IAM: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ponderar risco-benefício, especialmente em altas doses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Insuficiência cardíaca grave: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atenção à sobrecarga volêmica (TACO) — infundir lentamente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Pacientes em uso de antifibrinolíticos: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monitorar risco trombótico (combinação com ácido tranexâmico)</w:t>
      </w:r>
    </w:p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8️⃣ REAÇÕES ADVERSAS TRANSFUSIONAIS 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Reação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Frequência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Conduta</w:t>
            </w:r>
          </w:p>
        </w:tc>
      </w:tr>
      <w:tr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Reação alérgica leve (urticária)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1–3%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Pausar; anti-histamínico; pode reiniciar se sintomas resolverem</w:t>
            </w:r>
          </w:p>
        </w:tc>
      </w:tr>
      <w:tr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Anafilaxia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E4B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0,01–0,1%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Suspender imediatamente; adrenalina 0,3–0,5 mg IM; suporte avançado</w:t>
            </w:r>
          </w:p>
        </w:tc>
      </w:tr>
      <w:tr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Reação febril não hemolítica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0,5–1%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Antitérmico; afastar reação hemolítica/séptica</w:t>
            </w:r>
          </w:p>
        </w:tc>
      </w:tr>
      <w:tr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TRALI (lesão pulmonar aguda)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E4B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Rara (~ 1:5.000)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Suspender; suporte ventilatório; notificar hemovigilância 🫁</w:t>
            </w:r>
          </w:p>
        </w:tc>
      </w:tr>
      <w:tr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TACO (sobrecarga volêmica)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E4B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 1%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Diurético; oxigenoterapia; reduzir velocidade de infusão</w:t>
            </w:r>
          </w:p>
        </w:tc>
      </w:tr>
      <w:tr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Trombose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E4B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Rara, dose-dependente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Avaliar profilaxia/anticoagulação após controle do sangramento</w:t>
            </w:r>
          </w:p>
        </w:tc>
      </w:tr>
      <w:tr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Transmissão infecciosa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1:1.000.000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Sorologia, PCR; rastreio doador (Brasil — RDC ANVISA 34/2014)</w:t>
            </w:r>
          </w:p>
        </w:tc>
      </w:tr>
    </w:tbl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9️⃣ ALTERNATIVAS AO CRIOPRECIPITADO 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Produto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Indicação Preferencial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Vantagem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Concentrado de Fibrinogênio (RiaSTAP®, Fibryga®)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Hipofibrinogenemia (qualquer causa)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Dose padronizada, sem risco infeccioso, rápida reconstituição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Concentrado de Fator VIII recombinante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Hemofilia A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Específico, seguro, sem outros fatores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Concentrado de FvW/FVIII (Haemate® P)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Doença de von Willebrand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Específico para FvW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CCP 4 fatores (Octaplex®, Beriplex®)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Reversão de varfarina; sangramento por dabigatrana/rivaroxabana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Rápido, baixo volume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Ácido Tranexâmico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Hemorragia traumática (CRASH-2) e PPH (WOMAN trial)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Antifibrinolítico, baixo custo, alta evidência ⭐</w:t>
            </w:r>
          </w:p>
        </w:tc>
      </w:tr>
      <w:tr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DDAVP (desmopressina)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DvW tipo 1, uremia, disfunção plaquetária</w:t>
            </w:r>
          </w:p>
        </w:tc>
        <w:tc>
          <w:tcPr>
            <w:tcW w:type="dxa" w:w="312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Não-transfusional, sem risco infeccioso</w:t>
            </w:r>
          </w:p>
        </w:tc>
      </w:tr>
    </w:tbl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🔟 PECULIARIDADES E CENÁRIOS ESPECIAIS 🎯</w:t>
      </w:r>
    </w:p>
    <w:p>
      <w:pPr>
        <w:spacing w:after="120"/>
        <w:jc w:val="both"/>
      </w:pPr>
      <w:r>
        <w:rPr>
          <w:b/>
          <w:bCs/>
          <w:color w:val="C8102E"/>
          <w:sz w:val="22"/>
          <w:szCs w:val="22"/>
        </w:rPr>
        <w:t xml:space="preserve">🤰 HEMORRAGIA OBSTÉTRICA (PPH):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Fibrinogênio &lt; 200 mg/dL é preditor independente de PPH grave (Charbit, 2007)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Manter fibrinogênio &gt; 200 mg/dL durante a hemorragia 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Considerar concentrado de fibrinogênio se disponível (FIB-PPH trial — promissor)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  <w:color w:val="C8102E"/>
          <w:sz w:val="22"/>
          <w:szCs w:val="22"/>
        </w:rPr>
        <w:t xml:space="preserve">🚑 TRAUMA MACIÇO: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Fibrinogênio cai precocemente — primeiro fator a se esgotar!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Reposição precoce melhora desfechos (PROPPR, RETIC trial)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Razão sugerida: 1 pool CRIO para cada 6 U CHAD + 6 U PFC + 1 U plaquetas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Considerar guiar por ROTEM/TEG (FIBTEM A10 &lt; 7 mm)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  <w:color w:val="C8102E"/>
          <w:sz w:val="22"/>
          <w:szCs w:val="22"/>
        </w:rPr>
        <w:t xml:space="preserve">🧠 SANGRAMENTO INTRACRANIANO PÓS-rtPA: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AHA/ASA 2019: 10 unidades de crioprecipitado IV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Associar ácido tranexâmico 1g IV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Avaliar neurocirurgia de urgência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  <w:color w:val="C8102E"/>
          <w:sz w:val="22"/>
          <w:szCs w:val="22"/>
        </w:rPr>
        <w:t xml:space="preserve">🩸 CIVD: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Tratar a CAUSA primária (sepse, neoplasia, obstétrica) — sempre!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CRIO apenas em CIVD com SANGRAMENTO ATIVO + fibrinogênio &lt; 100–150 mg/dL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Associar plaquetas (se &lt; 50.000) e PFC (se INR &gt; 1,5–2,0 com sangramento)</w:t>
      </w:r>
    </w:p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  <w:color w:val="C8102E"/>
          <w:sz w:val="22"/>
          <w:szCs w:val="22"/>
        </w:rPr>
        <w:t xml:space="preserve">🏥 CIRURGIA CARDÍACA COM CEC: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Hipofibrinogenemia comum pós-CEC (hemodiluição + consumo)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CRIO ou concentrado de fibrinogênio se &lt; 150 mg/dL e sangramento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Evitar uso profilático em CEC (estudos REPLACE e FIBRES — sem benefício)</w:t>
      </w:r>
    </w:p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1️⃣1️⃣ ARMAZENAMENTO E LOGÍSTICA HEMOTERÁPICA 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Especificação</w:t>
            </w:r>
          </w:p>
        </w:tc>
      </w:tr>
      <w:t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Temperatura de armazenamento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−18°C (idealmente −30°C ou inferior)</w:t>
            </w:r>
          </w:p>
        </w:tc>
      </w:tr>
      <w:t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Validade congelado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meses (a partir da coleta do PFC)</w:t>
            </w:r>
          </w:p>
        </w:tc>
      </w:tr>
      <w:t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Tempo para descongelamento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15–20 min em banho-maria a 30–37°C ⏰</w:t>
            </w:r>
          </w:p>
        </w:tc>
      </w:tr>
      <w:t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Validade após descongelar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E4B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⏰ 6 horas (NÃO RECONGELAR!)</w:t>
            </w:r>
          </w:p>
        </w:tc>
      </w:tr>
      <w:tr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Pool de plaquetas? — não confundir!</w:t>
            </w:r>
          </w:p>
        </w:tc>
        <w:tc>
          <w:tcPr>
            <w:tcW w:type="dxa" w:w="46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CRIO é processado individualmente; pool ≈ 10 unidades</w:t>
            </w:r>
          </w:p>
        </w:tc>
      </w:tr>
    </w:tbl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1️⃣2️⃣ PONTOS-CHAVE PARA A PROVA TEMI 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b/>
          <w:bCs/>
          <w:i w:val="false"/>
          <w:iCs w:val="false"/>
          <w:color w:val="000000"/>
          <w:sz w:val="22"/>
          <w:szCs w:val="22"/>
        </w:rPr>
        <w:t xml:space="preserve">Crioprecipitado = fonte concentrada de fibrinogênio + FVIII + FvW + FXIII + fibronectina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b/>
          <w:bCs/>
          <w:i w:val="false"/>
          <w:iCs w:val="false"/>
          <w:color w:val="000000"/>
          <w:sz w:val="22"/>
          <w:szCs w:val="22"/>
        </w:rPr>
        <w:t xml:space="preserve">Indicação principal moderna = HIPOFIBRINOGENEMIA com sangramento (NÃO mais hemofilia 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b/>
          <w:bCs/>
          <w:i w:val="false"/>
          <w:iCs w:val="false"/>
          <w:color w:val="000000"/>
          <w:sz w:val="22"/>
          <w:szCs w:val="22"/>
        </w:rPr>
        <w:t xml:space="preserve">Dose: 1 unidade / 7–10 kg eleva fibrinogênio em ~70–100 mg/dL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b/>
          <w:bCs/>
          <w:i w:val="false"/>
          <w:iCs w:val="false"/>
          <w:color w:val="000000"/>
          <w:sz w:val="22"/>
          <w:szCs w:val="22"/>
        </w:rPr>
        <w:t xml:space="preserve">Meta de fibrinogênio em PPH: &gt; 200 mg/dL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b/>
          <w:bCs/>
          <w:i w:val="false"/>
          <w:iCs w:val="false"/>
          <w:color w:val="000000"/>
          <w:sz w:val="22"/>
          <w:szCs w:val="22"/>
        </w:rPr>
        <w:t xml:space="preserve">Validade após descongelamento: 6 horas — NÃO recongelar!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b/>
          <w:bCs/>
          <w:i w:val="false"/>
          <w:iCs w:val="false"/>
          <w:color w:val="000000"/>
          <w:sz w:val="22"/>
          <w:szCs w:val="22"/>
        </w:rPr>
        <w:t xml:space="preserve">Compatibilidade ABO preferencial, mas NÃO obrigatória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💡 </w:t>
      </w:r>
      <w:r>
        <w:rPr>
          <w:b/>
          <w:bCs/>
          <w:i w:val="false"/>
          <w:iCs w:val="false"/>
          <w:color w:val="000000"/>
          <w:sz w:val="22"/>
          <w:szCs w:val="22"/>
        </w:rPr>
        <w:t xml:space="preserve">Concentrado de fibrinogênio é alternativa MELHOR (mais segura, dose padronizada)</w:t>
      </w:r>
    </w:p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8B0000"/>
        </w:rPr>
        <w:t xml:space="preserve">📚 REFERÊNCIAS BIBLIOGRÁFICAS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AABB Technical Manual, 21ª ed., 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ABHH — Guia de Condutas Hemoterápicas,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Surviving Sepsis Campaign Guidelines, 2021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Brasil. ANVISA. RDC nº 34/2014 — Boas Práticas em Hemoterapia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Kozek-Langenecker SA et al. ESA Guidelines on Severe Perioperative Bleeding. Eur J Anaesthesiol, 2017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Spahn DR et al. The European Guideline on Management of Major Bleeding and Coagulopathy Following Trauma, 5ª ed., Crit Care, 2019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Charbit B et al. The decrease of fibrinogen is an early predictor of the severity of postpartum hemorrhage. J Thromb Haemost, 2007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Hunt BJ et al. A practical guideline for the haematological management of major haemorrhage. Br J Haematol, 2015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Powers WJ et al. AHA/ASA Guidelines for Early Management of Acute Ischemic Stroke, 2019</w:t>
      </w:r>
    </w:p>
    <w:p>
      <w:pPr>
        <w:spacing w:after="120"/>
      </w:pPr>
      <w:r>
        <w:t xml:space="preserve"/>
      </w:r>
    </w:p>
    <w:p>
      <w:pPr>
        <w:pBdr>
          <w:bottom w:val="single" w:color="8B0000" w:sz="12" w:space="1"/>
        </w:pBdr>
        <w:spacing w:after="200"/>
      </w:pPr>
      <w:r>
        <w:t xml:space="preserve"/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Documento elaborado para Dr. Aldenir Rocha — CRM 16587/CE | RQE Clínica Médica 11846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Hospital Regional Norte / Santa Casa de Sobral — Ceará 🏥</w:t>
      </w:r>
    </w:p>
    <w:p>
      <w:pPr>
        <w:jc w:val="center"/>
      </w:pPr>
      <w:r>
        <w:rPr>
          <w:b/>
          <w:bCs/>
          <w:i/>
          <w:iCs/>
          <w:color w:val="8B0000"/>
          <w:sz w:val="18"/>
          <w:szCs w:val="18"/>
        </w:rPr>
        <w:t xml:space="preserve">⚠️ Este protocolo é guia de referência — sempre individualizar à beira do leito.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B0000"/>
        <w:sz w:val="18"/>
        <w:szCs w:val="18"/>
      </w:rPr>
      <w:t xml:space="preserve">🩸 PROTOCOLO CRIOPRECIPITADO — UTI/Clínica Médica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8B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Calibri" w:cs="Calibri" w:eastAsia="Calibri" w:hAnsi="Calibri"/>
      <w:b/>
      <w:bCs/>
      <w:color w:val="C810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Crioprecipitado</dc:title>
  <dc:creator>Dr. Aldenir Rocha</dc:creator>
  <cp:lastModifiedBy>Un-named</cp:lastModifiedBy>
  <cp:revision>1</cp:revision>
  <dcterms:created xsi:type="dcterms:W3CDTF">2026-04-26T23:06:16.255Z</dcterms:created>
  <dcterms:modified xsi:type="dcterms:W3CDTF">2026-04-26T23:06:16.256Z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