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</w:pPr>
      <w:r>
        <w:t xml:space="preserve"/>
      </w:r>
    </w:p>
    <w:p>
      <w:pPr>
        <w:spacing w:after="80" w:before="0"/>
        <w:jc w:val="center"/>
      </w:pPr>
      <w:r>
        <w:rPr>
          <w:b/>
          <w:bCs/>
          <w:color w:val="1F4E79"/>
          <w:sz w:val="44"/>
          <w:szCs w:val="44"/>
        </w:rPr>
        <w:t xml:space="preserve">INIBIDORES DE JAK NO</w:t>
      </w:r>
    </w:p>
    <w:p>
      <w:pPr>
        <w:spacing w:after="200" w:before="0"/>
        <w:jc w:val="center"/>
      </w:pPr>
      <w:r>
        <w:rPr>
          <w:b/>
          <w:bCs/>
          <w:color w:val="1F4E79"/>
          <w:sz w:val="44"/>
          <w:szCs w:val="44"/>
        </w:rPr>
        <w:t xml:space="preserve">LÚPUS ERITEMATOSO SISTÊMICO</w:t>
      </w:r>
    </w:p>
    <w:p>
      <w:pPr>
        <w:spacing w:after="80" w:before="0"/>
        <w:jc w:val="center"/>
      </w:pPr>
      <w:r>
        <w:rPr>
          <w:b/>
          <w:bCs/>
          <w:color w:val="2E75B6"/>
          <w:sz w:val="28"/>
          <w:szCs w:val="28"/>
        </w:rPr>
        <w:t xml:space="preserve">Revisão Clínica &amp; Protocolo Prático de Uso</w:t>
      </w:r>
    </w:p>
    <w:p>
      <w:pPr>
        <w:pBdr>
          <w:bottom w:val="single" w:color="2E75B6" w:sz="8"/>
        </w:pBdr>
        <w:spacing w:after="40" w:before="40"/>
      </w:pPr>
      <w:r>
        <w:t xml:space="preserve"/>
      </w:r>
    </w:p>
    <w:p>
      <w:pPr>
        <w:spacing w:after="60" w:before="100"/>
      </w:pPr>
      <w:r>
        <w:t xml:space="preserve"/>
      </w:r>
    </w:p>
    <w:p>
      <w:pPr>
        <w:jc w:val="center"/>
      </w:pPr>
      <w:r>
        <w:rPr>
          <w:i/>
          <w:iCs/>
          <w:color w:val="707070"/>
          <w:sz w:val="22"/>
          <w:szCs w:val="22"/>
        </w:rPr>
        <w:t xml:space="preserve">Serviço de Medicina Interna / UTI — Hospital Regional Norte &amp; Santa Casa de Sobral</w:t>
      </w:r>
    </w:p>
    <w:p>
      <w:pPr>
        <w:jc w:val="center"/>
      </w:pPr>
      <w:r>
        <w:rPr>
          <w:color w:val="707070"/>
          <w:sz w:val="22"/>
          <w:szCs w:val="22"/>
        </w:rPr>
        <w:t xml:space="preserve">Dr. Aldenir Rocha — CRM-CE 16587 | RQE Clínica Médica 11846</w:t>
      </w:r>
    </w:p>
    <w:p>
      <w:pPr>
        <w:jc w:val="center"/>
      </w:pPr>
      <w:r>
        <w:rPr>
          <w:color w:val="909090"/>
          <w:sz w:val="20"/>
          <w:szCs w:val="20"/>
        </w:rPr>
        <w:t xml:space="preserve">Versão: Maio / 2025</w:t>
      </w:r>
    </w:p>
    <w:p>
      <w:pPr>
        <w:spacing w:after="60" w:before="200"/>
      </w:pPr>
      <w:r>
        <w:t xml:space="preserve"/>
      </w:r>
    </w:p>
    <w:p>
      <w:r>
        <w:br w:type="page"/>
      </w:r>
    </w:p>
    <w:p>
      <w:pPr>
        <w:pStyle w:val="Heading1"/>
        <w:shd w:fill="1F4E79" w:val="clear"/>
        <w:spacing w:after="120" w:before="240"/>
        <w:ind w:left="120" w:right="120"/>
      </w:pPr>
      <w:r>
        <w:rPr>
          <w:b/>
          <w:bCs/>
          <w:color w:val="FFFFFF"/>
          <w:sz w:val="28"/>
          <w:szCs w:val="28"/>
        </w:rPr>
        <w:t xml:space="preserve">SUMÁRIO</w:t>
      </w:r>
    </w:p>
    <w:p>
      <w:pPr>
        <w:spacing w:after="60" w:before="60"/>
      </w:pPr>
      <w:r>
        <w:t xml:space="preserve"/>
      </w:r>
    </w:p>
    <w:p>
      <w:pPr>
        <w:spacing w:after="60" w:before="60"/>
        <w:jc w:val="left"/>
      </w:pPr>
      <w:r>
        <w:rPr>
          <w:color w:val="2E75B6"/>
          <w:sz w:val="22"/>
          <w:szCs w:val="22"/>
        </w:rPr>
        <w:t xml:space="preserve">1. Contextualização — Por que JAK em LES?</w:t>
      </w:r>
    </w:p>
    <w:p>
      <w:pPr>
        <w:spacing w:after="60" w:before="60"/>
        <w:jc w:val="left"/>
      </w:pPr>
      <w:r>
        <w:rPr>
          <w:color w:val="2E75B6"/>
          <w:sz w:val="22"/>
          <w:szCs w:val="22"/>
        </w:rPr>
        <w:t xml:space="preserve">2. Farmacologia dos Inibidores de JAK</w:t>
      </w:r>
    </w:p>
    <w:p>
      <w:pPr>
        <w:spacing w:after="60" w:before="60"/>
        <w:jc w:val="left"/>
      </w:pPr>
      <w:r>
        <w:rPr>
          <w:color w:val="2E75B6"/>
          <w:sz w:val="22"/>
          <w:szCs w:val="22"/>
        </w:rPr>
        <w:t xml:space="preserve">3. Evidências Clínicas — Ensaios Clínicos Principais</w:t>
      </w:r>
    </w:p>
    <w:p>
      <w:pPr>
        <w:spacing w:after="60" w:before="60"/>
        <w:jc w:val="left"/>
      </w:pPr>
      <w:r>
        <w:rPr>
          <w:color w:val="2E75B6"/>
          <w:sz w:val="22"/>
          <w:szCs w:val="22"/>
        </w:rPr>
        <w:t xml:space="preserve">4. Evidências Clínicas — Relatos e Séries de Caso</w:t>
      </w:r>
    </w:p>
    <w:p>
      <w:pPr>
        <w:spacing w:after="60" w:before="60"/>
        <w:jc w:val="left"/>
      </w:pPr>
      <w:r>
        <w:rPr>
          <w:color w:val="2E75B6"/>
          <w:sz w:val="22"/>
          <w:szCs w:val="22"/>
        </w:rPr>
        <w:t xml:space="preserve">5. PROTOCOLO: Quando Usar — Indicações e Critérios</w:t>
      </w:r>
    </w:p>
    <w:p>
      <w:pPr>
        <w:spacing w:after="60" w:before="60"/>
        <w:jc w:val="left"/>
      </w:pPr>
      <w:r>
        <w:rPr>
          <w:color w:val="2E75B6"/>
          <w:sz w:val="22"/>
          <w:szCs w:val="22"/>
        </w:rPr>
        <w:t xml:space="preserve">6. PROTOCOLO: Como Usar — Seleção, Dose e Monitorização</w:t>
      </w:r>
    </w:p>
    <w:p>
      <w:pPr>
        <w:spacing w:after="60" w:before="60"/>
        <w:jc w:val="left"/>
      </w:pPr>
      <w:r>
        <w:rPr>
          <w:color w:val="2E75B6"/>
          <w:sz w:val="22"/>
          <w:szCs w:val="22"/>
        </w:rPr>
        <w:t xml:space="preserve">7. Contraindicações, Alertas de Segurança e Manejo de RAM</w:t>
      </w:r>
    </w:p>
    <w:p>
      <w:pPr>
        <w:spacing w:after="60" w:before="60"/>
        <w:jc w:val="left"/>
      </w:pPr>
      <w:r>
        <w:rPr>
          <w:color w:val="2E75B6"/>
          <w:sz w:val="22"/>
          <w:szCs w:val="22"/>
        </w:rPr>
        <w:t xml:space="preserve">8. Tabela-Resumo de Decisão Rápida (TEMI-Ready)</w:t>
      </w:r>
    </w:p>
    <w:p>
      <w:pPr>
        <w:spacing w:after="60" w:before="60"/>
        <w:jc w:val="left"/>
      </w:pPr>
      <w:r>
        <w:rPr>
          <w:color w:val="2E75B6"/>
          <w:sz w:val="22"/>
          <w:szCs w:val="22"/>
        </w:rPr>
        <w:t xml:space="preserve">9. Perspectivas Futuras e Referências-Chave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hd w:fill="1F4E79" w:val="clear"/>
        <w:spacing w:after="120" w:before="240"/>
        <w:ind w:left="120" w:right="120"/>
      </w:pPr>
      <w:r>
        <w:rPr>
          <w:b/>
          <w:bCs/>
          <w:color w:val="FFFFFF"/>
          <w:sz w:val="28"/>
          <w:szCs w:val="28"/>
        </w:rPr>
        <w:t xml:space="preserve">1. CONTEXTUALIZAÇÃO — POR QUE JAK EM LES?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00" w:before="200"/>
      </w:pPr>
      <w:r>
        <w:rPr>
          <w:b/>
          <w:bCs/>
          <w:color w:val="2E75B6"/>
          <w:sz w:val="26"/>
          <w:szCs w:val="26"/>
        </w:rPr>
        <w:t xml:space="preserve">1.1 O Problema Clínico</w:t>
      </w:r>
    </w:p>
    <w:p>
      <w:pPr>
        <w:spacing w:after="80" w:before="80"/>
        <w:jc w:val="left"/>
      </w:pPr>
      <w:r>
        <w:rPr>
          <w:color w:val="404040"/>
          <w:sz w:val="22"/>
          <w:szCs w:val="22"/>
        </w:rPr>
        <w:t xml:space="preserve">O </w:t>
      </w:r>
      <w:r>
        <w:rPr>
          <w:b/>
          <w:bCs/>
          <w:color w:val="404040"/>
          <w:sz w:val="22"/>
          <w:szCs w:val="22"/>
        </w:rPr>
        <w:t xml:space="preserve">Lúpus Eritematoso Sistêmico (LES)</w:t>
      </w:r>
      <w:r>
        <w:rPr>
          <w:color w:val="404040"/>
          <w:sz w:val="22"/>
          <w:szCs w:val="22"/>
        </w:rPr>
        <w:t xml:space="preserve"> é uma doença autoimune sistêmica com curso crônico e remitente-recidivante. Aproximadamente </w:t>
      </w:r>
      <w:r>
        <w:rPr>
          <w:b/>
          <w:bCs/>
          <w:color w:val="404040"/>
          <w:sz w:val="22"/>
          <w:szCs w:val="22"/>
        </w:rPr>
        <w:t xml:space="preserve">30–50% dos pacientes</w:t>
      </w:r>
      <w:r>
        <w:rPr>
          <w:color w:val="404040"/>
          <w:sz w:val="22"/>
          <w:szCs w:val="22"/>
        </w:rPr>
        <w:t xml:space="preserve"> não atingem remissão sustentada com os esquemas convencionais (hidroxicloroquina, corticoide, azatioprina, micofenolato). A exacerbação grave — especialmente nefrite lúpica, acometimento hematológico e SNC — demanda terapias-alvo com melhor perfil de eficácia.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00" w:before="200"/>
      </w:pPr>
      <w:r>
        <w:rPr>
          <w:b/>
          <w:bCs/>
          <w:color w:val="2E75B6"/>
          <w:sz w:val="26"/>
          <w:szCs w:val="26"/>
        </w:rPr>
        <w:t xml:space="preserve">1.2 A Via JAK-STAT no LES</w:t>
      </w:r>
    </w:p>
    <w:p>
      <w:pPr>
        <w:spacing w:after="80" w:before="80"/>
        <w:jc w:val="left"/>
      </w:pPr>
      <w:r>
        <w:rPr>
          <w:b/>
          <w:bCs/>
          <w:color w:val="2E75B6"/>
          <w:sz w:val="22"/>
          <w:szCs w:val="22"/>
        </w:rPr>
        <w:t xml:space="preserve">Por que essa via importa?</w:t>
      </w:r>
    </w:p>
    <w:p>
      <w:pPr>
        <w:spacing w:after="80" w:before="80"/>
        <w:jc w:val="left"/>
      </w:pPr>
      <w:r>
        <w:rPr>
          <w:color w:val="404040"/>
          <w:sz w:val="22"/>
          <w:szCs w:val="22"/>
        </w:rPr>
        <w:t xml:space="preserve">As citocinas centrais na patogênese do LES — </w:t>
      </w:r>
      <w:r>
        <w:rPr>
          <w:b/>
          <w:bCs/>
          <w:color w:val="404040"/>
          <w:sz w:val="22"/>
          <w:szCs w:val="22"/>
        </w:rPr>
        <w:t xml:space="preserve">interferons tipo I (IFN-α/β)</w:t>
      </w:r>
      <w:r>
        <w:rPr>
          <w:color w:val="404040"/>
          <w:sz w:val="22"/>
          <w:szCs w:val="22"/>
        </w:rPr>
        <w:t xml:space="preserve">, IL-6, IL-12, IL-23, GM-CSF e TSLP — sinalizam predominantemente pelo eixo </w:t>
      </w:r>
      <w:r>
        <w:rPr>
          <w:b/>
          <w:bCs/>
          <w:color w:val="404040"/>
          <w:sz w:val="22"/>
          <w:szCs w:val="22"/>
        </w:rPr>
        <w:t xml:space="preserve">JAK1/TYK2</w:t>
      </w:r>
      <w:r>
        <w:rPr>
          <w:color w:val="404040"/>
          <w:sz w:val="22"/>
          <w:szCs w:val="22"/>
        </w:rPr>
        <w:t xml:space="preserve"> e </w:t>
      </w:r>
      <w:r>
        <w:rPr>
          <w:b/>
          <w:bCs/>
          <w:color w:val="404040"/>
          <w:sz w:val="22"/>
          <w:szCs w:val="22"/>
        </w:rPr>
        <w:t xml:space="preserve">JAK2/STAT</w:t>
      </w:r>
      <w:r>
        <w:rPr>
          <w:color w:val="404040"/>
          <w:sz w:val="22"/>
          <w:szCs w:val="22"/>
        </w:rPr>
        <w:t xml:space="preserve">. A hiperativação desse eixo sustenta: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404040"/>
          <w:sz w:val="22"/>
          <w:szCs w:val="22"/>
        </w:rPr>
        <w:t xml:space="preserve">Ativação de células dendríticas plasmocitóides → produção massiva de IFN-α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404040"/>
          <w:sz w:val="22"/>
          <w:szCs w:val="22"/>
        </w:rPr>
        <w:t xml:space="preserve">Diferenciação de células T helper 17 (TH17) → inflamação tissular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404040"/>
          <w:sz w:val="22"/>
          <w:szCs w:val="22"/>
        </w:rPr>
        <w:t xml:space="preserve">Expansão de plasmablastos → hipergamaglobulinemia e anticorpos anti-dsDNA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404040"/>
          <w:sz w:val="22"/>
          <w:szCs w:val="22"/>
        </w:rPr>
        <w:t xml:space="preserve">Dano renal via IL-6/JAK2 → nefrite proliferativa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b/>
                <w:bCs/>
                <w:color w:val="1F4E79"/>
                <w:sz w:val="24"/>
                <w:szCs w:val="24"/>
              </w:rPr>
              <w:t xml:space="preserve">CONCEITO-CHAVE PARA PROVA TEMI</w:t>
            </w:r>
          </w:p>
        </w:tc>
      </w:tr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color w:val="404040"/>
                <w:sz w:val="22"/>
                <w:szCs w:val="22"/>
              </w:rPr>
              <w:t xml:space="preserve">• IFN tipo I sinaliza via JAK1 + TYK2 → STAT1/STAT2</w:t>
            </w:r>
          </w:p>
        </w:tc>
      </w:tr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color w:val="404040"/>
                <w:sz w:val="22"/>
                <w:szCs w:val="22"/>
              </w:rPr>
              <w:t xml:space="preserve">• IL-6 sinaliza via JAK1 + JAK2 → STAT3</w:t>
            </w:r>
          </w:p>
        </w:tc>
      </w:tr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color w:val="404040"/>
                <w:sz w:val="22"/>
                <w:szCs w:val="22"/>
              </w:rPr>
              <w:t xml:space="preserve">• Inibir JAK1 bloqueia ambas as vias → efeito amplo em LES</w:t>
            </w:r>
          </w:p>
        </w:tc>
      </w:tr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color w:val="404040"/>
                <w:sz w:val="22"/>
                <w:szCs w:val="22"/>
              </w:rPr>
              <w:t xml:space="preserve">• TYK2 é mais seletivo para IFN e IL-12/23 → menos imunossupressão sistêmica</w:t>
            </w:r>
          </w:p>
        </w:tc>
      </w:tr>
    </w:tbl>
    <w:p>
      <w:pPr>
        <w:spacing w:after="60" w:before="100"/>
      </w:pPr>
      <w:r>
        <w:t xml:space="preserve"/>
      </w:r>
    </w:p>
    <w:p>
      <w:pPr>
        <w:pStyle w:val="Heading1"/>
        <w:shd w:fill="1F4E79" w:val="clear"/>
        <w:spacing w:after="120" w:before="240"/>
        <w:ind w:left="120" w:right="120"/>
      </w:pPr>
      <w:r>
        <w:rPr>
          <w:b/>
          <w:bCs/>
          <w:color w:val="FFFFFF"/>
          <w:sz w:val="28"/>
          <w:szCs w:val="28"/>
        </w:rPr>
        <w:t xml:space="preserve">2. FARMACOLOGIA DOS INIBIDORES DE JAK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00" w:before="200"/>
      </w:pPr>
      <w:r>
        <w:rPr>
          <w:b/>
          <w:bCs/>
          <w:color w:val="2E75B6"/>
          <w:sz w:val="26"/>
          <w:szCs w:val="26"/>
        </w:rPr>
        <w:t xml:space="preserve">2.1 Fármacos Disponíveis e seus Alvos</w:t>
      </w:r>
    </w:p>
    <w:p>
      <w:pPr>
        <w:spacing w:after="6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000"/>
        <w:gridCol w:w="2200"/>
        <w:gridCol w:w="3600"/>
      </w:tblGrid>
      <w:tr>
        <w:tc>
          <w:tcPr>
            <w:tcW w:type="dxa" w:w="15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Fármaco</w:t>
            </w:r>
          </w:p>
        </w:tc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Alvos JAK Principais</w:t>
            </w:r>
          </w:p>
        </w:tc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Registro LES (2025)</w:t>
            </w:r>
          </w:p>
        </w:tc>
        <w:tc>
          <w:tcPr>
            <w:tcW w:type="dxa" w:w="3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Vias-Alvo Relevantes no LES</w:t>
            </w:r>
          </w:p>
        </w:tc>
      </w:tr>
      <w:tr>
        <w:tc>
          <w:tcPr>
            <w:tcW w:type="dxa" w:w="15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 w:before="50"/>
            </w:pPr>
            <w:r>
              <w:rPr>
                <w:color w:val="404040"/>
                <w:sz w:val="20"/>
                <w:szCs w:val="20"/>
              </w:rPr>
              <w:t xml:space="preserve">Baricitinibe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 w:before="50"/>
            </w:pPr>
            <w:r>
              <w:rPr>
                <w:color w:val="404040"/>
                <w:sz w:val="20"/>
                <w:szCs w:val="20"/>
              </w:rPr>
              <w:t xml:space="preserve">JAK1 &gt; JAK2</w:t>
            </w:r>
          </w:p>
        </w:tc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 w:before="50"/>
            </w:pPr>
            <w:r>
              <w:rPr>
                <w:color w:val="404040"/>
                <w:sz w:val="20"/>
                <w:szCs w:val="20"/>
              </w:rPr>
              <w:t xml:space="preserve">FDA/EMA aprovado (nefrite lúpica fase III)</w:t>
            </w:r>
          </w:p>
        </w:tc>
        <w:tc>
          <w:tcPr>
            <w:tcW w:type="dxa" w:w="3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 w:before="50"/>
            </w:pPr>
            <w:r>
              <w:rPr>
                <w:color w:val="404040"/>
                <w:sz w:val="20"/>
                <w:szCs w:val="20"/>
              </w:rPr>
              <w:t xml:space="preserve">IFN tipo I, IL-6, GM-CSF</w:t>
            </w:r>
          </w:p>
        </w:tc>
      </w:tr>
      <w:tr>
        <w:tc>
          <w:tcPr>
            <w:tcW w:type="dxa" w:w="15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 w:before="50"/>
            </w:pPr>
            <w:r>
              <w:rPr>
                <w:color w:val="404040"/>
                <w:sz w:val="20"/>
                <w:szCs w:val="20"/>
              </w:rPr>
              <w:t xml:space="preserve">Upadacitinibe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 w:before="50"/>
            </w:pPr>
            <w:r>
              <w:rPr>
                <w:color w:val="404040"/>
                <w:sz w:val="20"/>
                <w:szCs w:val="20"/>
              </w:rPr>
              <w:t xml:space="preserve">JAK1 seletivo</w:t>
            </w:r>
          </w:p>
        </w:tc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 w:before="50"/>
            </w:pPr>
            <w:r>
              <w:rPr>
                <w:color w:val="404040"/>
                <w:sz w:val="20"/>
                <w:szCs w:val="20"/>
              </w:rPr>
              <w:t xml:space="preserve">Fase III (SELECT-SLE)</w:t>
            </w:r>
          </w:p>
        </w:tc>
        <w:tc>
          <w:tcPr>
            <w:tcW w:type="dxa" w:w="3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 w:before="50"/>
            </w:pPr>
            <w:r>
              <w:rPr>
                <w:color w:val="404040"/>
                <w:sz w:val="20"/>
                <w:szCs w:val="20"/>
              </w:rPr>
              <w:t xml:space="preserve">IFN tipo I, IL-6, IL-12/23</w:t>
            </w:r>
          </w:p>
        </w:tc>
      </w:tr>
      <w:tr>
        <w:tc>
          <w:tcPr>
            <w:tcW w:type="dxa" w:w="15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 w:before="50"/>
            </w:pPr>
            <w:r>
              <w:rPr>
                <w:color w:val="404040"/>
                <w:sz w:val="20"/>
                <w:szCs w:val="20"/>
              </w:rPr>
              <w:t xml:space="preserve">Deucravacitinibe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 w:before="50"/>
            </w:pPr>
            <w:r>
              <w:rPr>
                <w:color w:val="404040"/>
                <w:sz w:val="20"/>
                <w:szCs w:val="20"/>
              </w:rPr>
              <w:t xml:space="preserve">TYK2 (alostérico)</w:t>
            </w:r>
          </w:p>
        </w:tc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 w:before="50"/>
            </w:pPr>
            <w:r>
              <w:rPr>
                <w:color w:val="404040"/>
                <w:sz w:val="20"/>
                <w:szCs w:val="20"/>
              </w:rPr>
              <w:t xml:space="preserve">FDA aprovado — Psoríase; Fase III LES (POETYK)</w:t>
            </w:r>
          </w:p>
        </w:tc>
        <w:tc>
          <w:tcPr>
            <w:tcW w:type="dxa" w:w="3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 w:before="50"/>
            </w:pPr>
            <w:r>
              <w:rPr>
                <w:color w:val="404040"/>
                <w:sz w:val="20"/>
                <w:szCs w:val="20"/>
              </w:rPr>
              <w:t xml:space="preserve">IFN tipo I, IL-12, IL-23</w:t>
            </w:r>
          </w:p>
        </w:tc>
      </w:tr>
      <w:tr>
        <w:tc>
          <w:tcPr>
            <w:tcW w:type="dxa" w:w="15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 w:before="50"/>
            </w:pPr>
            <w:r>
              <w:rPr>
                <w:color w:val="404040"/>
                <w:sz w:val="20"/>
                <w:szCs w:val="20"/>
              </w:rPr>
              <w:t xml:space="preserve">Tofacitinibe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 w:before="50"/>
            </w:pPr>
            <w:r>
              <w:rPr>
                <w:color w:val="404040"/>
                <w:sz w:val="20"/>
                <w:szCs w:val="20"/>
              </w:rPr>
              <w:t xml:space="preserve">JAK1 = JAK3 &gt; JAK2</w:t>
            </w:r>
          </w:p>
        </w:tc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 w:before="50"/>
            </w:pPr>
            <w:r>
              <w:rPr>
                <w:color w:val="404040"/>
                <w:sz w:val="20"/>
                <w:szCs w:val="20"/>
              </w:rPr>
              <w:t xml:space="preserve">Off-label / Séries de caso</w:t>
            </w:r>
          </w:p>
        </w:tc>
        <w:tc>
          <w:tcPr>
            <w:tcW w:type="dxa" w:w="3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 w:before="50"/>
            </w:pPr>
            <w:r>
              <w:rPr>
                <w:color w:val="404040"/>
                <w:sz w:val="20"/>
                <w:szCs w:val="20"/>
              </w:rPr>
              <w:t xml:space="preserve">IL-6, JAK3-dependent (IL-4, IL-21)</w:t>
            </w:r>
          </w:p>
        </w:tc>
      </w:tr>
      <w:tr>
        <w:tc>
          <w:tcPr>
            <w:tcW w:type="dxa" w:w="15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 w:before="50"/>
            </w:pPr>
            <w:r>
              <w:rPr>
                <w:color w:val="404040"/>
                <w:sz w:val="20"/>
                <w:szCs w:val="20"/>
              </w:rPr>
              <w:t xml:space="preserve">Filgotinibe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 w:before="50"/>
            </w:pPr>
            <w:r>
              <w:rPr>
                <w:color w:val="404040"/>
                <w:sz w:val="20"/>
                <w:szCs w:val="20"/>
              </w:rPr>
              <w:t xml:space="preserve">JAK1 &gt;&gt; JAK2</w:t>
            </w:r>
          </w:p>
        </w:tc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 w:before="50"/>
            </w:pPr>
            <w:r>
              <w:rPr>
                <w:color w:val="404040"/>
                <w:sz w:val="20"/>
                <w:szCs w:val="20"/>
              </w:rPr>
              <w:t xml:space="preserve">Fase II LES</w:t>
            </w:r>
          </w:p>
        </w:tc>
        <w:tc>
          <w:tcPr>
            <w:tcW w:type="dxa" w:w="3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 w:before="50"/>
            </w:pPr>
            <w:r>
              <w:rPr>
                <w:color w:val="404040"/>
                <w:sz w:val="20"/>
                <w:szCs w:val="20"/>
              </w:rPr>
              <w:t xml:space="preserve">IFN tipo I, IL-6</w:t>
            </w:r>
          </w:p>
        </w:tc>
      </w:tr>
      <w:tr>
        <w:tc>
          <w:tcPr>
            <w:tcW w:type="dxa" w:w="15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 w:before="50"/>
            </w:pPr>
            <w:r>
              <w:rPr>
                <w:color w:val="404040"/>
                <w:sz w:val="20"/>
                <w:szCs w:val="20"/>
              </w:rPr>
              <w:t xml:space="preserve">Ruxolitinibe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 w:before="50"/>
            </w:pPr>
            <w:r>
              <w:rPr>
                <w:color w:val="404040"/>
                <w:sz w:val="20"/>
                <w:szCs w:val="20"/>
              </w:rPr>
              <w:t xml:space="preserve">JAK1 = JAK2</w:t>
            </w:r>
          </w:p>
        </w:tc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 w:before="50"/>
            </w:pPr>
            <w:r>
              <w:rPr>
                <w:color w:val="404040"/>
                <w:sz w:val="20"/>
                <w:szCs w:val="20"/>
              </w:rPr>
              <w:t xml:space="preserve">Off-label / Relatos de caso LES refratário</w:t>
            </w:r>
          </w:p>
        </w:tc>
        <w:tc>
          <w:tcPr>
            <w:tcW w:type="dxa" w:w="3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 w:before="50"/>
            </w:pPr>
            <w:r>
              <w:rPr>
                <w:color w:val="404040"/>
                <w:sz w:val="20"/>
                <w:szCs w:val="20"/>
              </w:rPr>
              <w:t xml:space="preserve">IFN tipo I, IL-6</w:t>
            </w:r>
          </w:p>
        </w:tc>
      </w:tr>
    </w:tbl>
    <w:p>
      <w:pPr>
        <w:spacing w:after="60" w:before="10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00" w:before="200"/>
      </w:pPr>
      <w:r>
        <w:rPr>
          <w:b/>
          <w:bCs/>
          <w:color w:val="2E75B6"/>
          <w:sz w:val="26"/>
          <w:szCs w:val="26"/>
        </w:rPr>
        <w:t xml:space="preserve">2.2 Farmacocinética Relevante para a Prática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755"/>
        <w:gridCol w:w="1755"/>
        <w:gridCol w:w="1755"/>
        <w:gridCol w:w="1755"/>
      </w:tblGrid>
      <w:tr>
        <w:tc>
          <w:tcPr>
            <w:tcW w:type="dxa" w:w="234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Parâmetro</w:t>
            </w:r>
          </w:p>
        </w:tc>
        <w:tc>
          <w:tcPr>
            <w:tcW w:type="dxa" w:w="1755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Baricitinibe</w:t>
            </w:r>
          </w:p>
        </w:tc>
        <w:tc>
          <w:tcPr>
            <w:tcW w:type="dxa" w:w="1755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Upadacitinibe</w:t>
            </w:r>
          </w:p>
        </w:tc>
        <w:tc>
          <w:tcPr>
            <w:tcW w:type="dxa" w:w="1755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Deucravacitinibe</w:t>
            </w:r>
          </w:p>
        </w:tc>
        <w:tc>
          <w:tcPr>
            <w:tcW w:type="dxa" w:w="1755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Tofacitinibe</w:t>
            </w:r>
          </w:p>
        </w:tc>
      </w:tr>
      <w:tr>
        <w:tc>
          <w:tcPr>
            <w:tcW w:type="dxa" w:w="234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 w:before="50"/>
            </w:pPr>
            <w:r>
              <w:rPr>
                <w:color w:val="404040"/>
                <w:sz w:val="20"/>
                <w:szCs w:val="20"/>
              </w:rPr>
              <w:t xml:space="preserve">Via</w:t>
            </w:r>
          </w:p>
        </w:tc>
        <w:tc>
          <w:tcPr>
            <w:tcW w:type="dxa" w:w="1755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 w:before="50"/>
            </w:pPr>
            <w:r>
              <w:rPr>
                <w:color w:val="404040"/>
                <w:sz w:val="20"/>
                <w:szCs w:val="20"/>
              </w:rPr>
              <w:t xml:space="preserve">Oral</w:t>
            </w:r>
          </w:p>
        </w:tc>
        <w:tc>
          <w:tcPr>
            <w:tcW w:type="dxa" w:w="1755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 w:before="50"/>
            </w:pPr>
            <w:r>
              <w:rPr>
                <w:color w:val="404040"/>
                <w:sz w:val="20"/>
                <w:szCs w:val="20"/>
              </w:rPr>
              <w:t xml:space="preserve">Oral (IR/XR)</w:t>
            </w:r>
          </w:p>
        </w:tc>
        <w:tc>
          <w:tcPr>
            <w:tcW w:type="dxa" w:w="1755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 w:before="50"/>
            </w:pPr>
            <w:r>
              <w:rPr>
                <w:color w:val="404040"/>
                <w:sz w:val="20"/>
                <w:szCs w:val="20"/>
              </w:rPr>
              <w:t xml:space="preserve">Oral</w:t>
            </w:r>
          </w:p>
        </w:tc>
        <w:tc>
          <w:tcPr>
            <w:tcW w:type="dxa" w:w="1755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 w:before="50"/>
            </w:pPr>
            <w:r>
              <w:rPr>
                <w:color w:val="404040"/>
                <w:sz w:val="20"/>
                <w:szCs w:val="20"/>
              </w:rPr>
              <w:t xml:space="preserve">Oral (IR/XR)</w:t>
            </w:r>
          </w:p>
        </w:tc>
      </w:tr>
      <w:tr>
        <w:tc>
          <w:tcPr>
            <w:tcW w:type="dxa" w:w="234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 w:before="50"/>
            </w:pPr>
            <w:r>
              <w:rPr>
                <w:color w:val="404040"/>
                <w:sz w:val="20"/>
                <w:szCs w:val="20"/>
              </w:rPr>
              <w:t xml:space="preserve">Dose típica LES</w:t>
            </w:r>
          </w:p>
        </w:tc>
        <w:tc>
          <w:tcPr>
            <w:tcW w:type="dxa" w:w="1755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 w:before="50"/>
            </w:pPr>
            <w:r>
              <w:rPr>
                <w:color w:val="404040"/>
                <w:sz w:val="20"/>
                <w:szCs w:val="20"/>
              </w:rPr>
              <w:t xml:space="preserve">2–4 mg/dia</w:t>
            </w:r>
          </w:p>
        </w:tc>
        <w:tc>
          <w:tcPr>
            <w:tcW w:type="dxa" w:w="1755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 w:before="50"/>
            </w:pPr>
            <w:r>
              <w:rPr>
                <w:color w:val="404040"/>
                <w:sz w:val="20"/>
                <w:szCs w:val="20"/>
              </w:rPr>
              <w:t xml:space="preserve">15–30 mg/dia (fase III)</w:t>
            </w:r>
          </w:p>
        </w:tc>
        <w:tc>
          <w:tcPr>
            <w:tcW w:type="dxa" w:w="1755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 w:before="50"/>
            </w:pPr>
            <w:r>
              <w:rPr>
                <w:color w:val="404040"/>
                <w:sz w:val="20"/>
                <w:szCs w:val="20"/>
              </w:rPr>
              <w:t xml:space="preserve">3–6 mg/dia</w:t>
            </w:r>
          </w:p>
        </w:tc>
        <w:tc>
          <w:tcPr>
            <w:tcW w:type="dxa" w:w="1755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 w:before="50"/>
            </w:pPr>
            <w:r>
              <w:rPr>
                <w:color w:val="404040"/>
                <w:sz w:val="20"/>
                <w:szCs w:val="20"/>
              </w:rPr>
              <w:t xml:space="preserve">5–10 mg 2x/dia</w:t>
            </w:r>
          </w:p>
        </w:tc>
      </w:tr>
      <w:tr>
        <w:tc>
          <w:tcPr>
            <w:tcW w:type="dxa" w:w="234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 w:before="50"/>
            </w:pPr>
            <w:r>
              <w:rPr>
                <w:color w:val="404040"/>
                <w:sz w:val="20"/>
                <w:szCs w:val="20"/>
              </w:rPr>
              <w:t xml:space="preserve">Meia-vida</w:t>
            </w:r>
          </w:p>
        </w:tc>
        <w:tc>
          <w:tcPr>
            <w:tcW w:type="dxa" w:w="1755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 w:before="50"/>
            </w:pPr>
            <w:r>
              <w:rPr>
                <w:color w:val="404040"/>
                <w:sz w:val="20"/>
                <w:szCs w:val="20"/>
              </w:rPr>
              <w:t xml:space="preserve">~12 h</w:t>
            </w:r>
          </w:p>
        </w:tc>
        <w:tc>
          <w:tcPr>
            <w:tcW w:type="dxa" w:w="1755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 w:before="50"/>
            </w:pPr>
            <w:r>
              <w:rPr>
                <w:color w:val="404040"/>
                <w:sz w:val="20"/>
                <w:szCs w:val="20"/>
              </w:rPr>
              <w:t xml:space="preserve">~8–14 h</w:t>
            </w:r>
          </w:p>
        </w:tc>
        <w:tc>
          <w:tcPr>
            <w:tcW w:type="dxa" w:w="1755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 w:before="50"/>
            </w:pPr>
            <w:r>
              <w:rPr>
                <w:color w:val="404040"/>
                <w:sz w:val="20"/>
                <w:szCs w:val="20"/>
              </w:rPr>
              <w:t xml:space="preserve">~10 h</w:t>
            </w:r>
          </w:p>
        </w:tc>
        <w:tc>
          <w:tcPr>
            <w:tcW w:type="dxa" w:w="1755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 w:before="50"/>
            </w:pPr>
            <w:r>
              <w:rPr>
                <w:color w:val="404040"/>
                <w:sz w:val="20"/>
                <w:szCs w:val="20"/>
              </w:rPr>
              <w:t xml:space="preserve">~3 h (IR)</w:t>
            </w:r>
          </w:p>
        </w:tc>
      </w:tr>
      <w:tr>
        <w:tc>
          <w:tcPr>
            <w:tcW w:type="dxa" w:w="234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 w:before="50"/>
            </w:pPr>
            <w:r>
              <w:rPr>
                <w:color w:val="404040"/>
                <w:sz w:val="20"/>
                <w:szCs w:val="20"/>
              </w:rPr>
              <w:t xml:space="preserve">Eliminação</w:t>
            </w:r>
          </w:p>
        </w:tc>
        <w:tc>
          <w:tcPr>
            <w:tcW w:type="dxa" w:w="1755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 w:before="50"/>
            </w:pPr>
            <w:r>
              <w:rPr>
                <w:color w:val="404040"/>
                <w:sz w:val="20"/>
                <w:szCs w:val="20"/>
              </w:rPr>
              <w:t xml:space="preserve">Renal 75%</w:t>
            </w:r>
          </w:p>
        </w:tc>
        <w:tc>
          <w:tcPr>
            <w:tcW w:type="dxa" w:w="1755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 w:before="50"/>
            </w:pPr>
            <w:r>
              <w:rPr>
                <w:color w:val="404040"/>
                <w:sz w:val="20"/>
                <w:szCs w:val="20"/>
              </w:rPr>
              <w:t xml:space="preserve">Hepática (CYP3A4)</w:t>
            </w:r>
          </w:p>
        </w:tc>
        <w:tc>
          <w:tcPr>
            <w:tcW w:type="dxa" w:w="1755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 w:before="50"/>
            </w:pPr>
            <w:r>
              <w:rPr>
                <w:color w:val="404040"/>
                <w:sz w:val="20"/>
                <w:szCs w:val="20"/>
              </w:rPr>
              <w:t xml:space="preserve">Hepática</w:t>
            </w:r>
          </w:p>
        </w:tc>
        <w:tc>
          <w:tcPr>
            <w:tcW w:type="dxa" w:w="1755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 w:before="50"/>
            </w:pPr>
            <w:r>
              <w:rPr>
                <w:color w:val="404040"/>
                <w:sz w:val="20"/>
                <w:szCs w:val="20"/>
              </w:rPr>
              <w:t xml:space="preserve">Hepática</w:t>
            </w:r>
          </w:p>
        </w:tc>
      </w:tr>
      <w:tr>
        <w:tc>
          <w:tcPr>
            <w:tcW w:type="dxa" w:w="234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 w:before="50"/>
            </w:pPr>
            <w:r>
              <w:rPr>
                <w:color w:val="404040"/>
                <w:sz w:val="20"/>
                <w:szCs w:val="20"/>
              </w:rPr>
              <w:t xml:space="preserve">Ajuste renal (DRC≥3b)</w:t>
            </w:r>
          </w:p>
        </w:tc>
        <w:tc>
          <w:tcPr>
            <w:tcW w:type="dxa" w:w="1755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 w:before="50"/>
            </w:pPr>
            <w:r>
              <w:rPr>
                <w:color w:val="404040"/>
                <w:sz w:val="20"/>
                <w:szCs w:val="20"/>
              </w:rPr>
              <w:t xml:space="preserve">Reduzir para 1 mg/dia</w:t>
            </w:r>
          </w:p>
        </w:tc>
        <w:tc>
          <w:tcPr>
            <w:tcW w:type="dxa" w:w="1755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 w:before="50"/>
            </w:pPr>
            <w:r>
              <w:rPr>
                <w:color w:val="404040"/>
                <w:sz w:val="20"/>
                <w:szCs w:val="20"/>
              </w:rPr>
              <w:t xml:space="preserve">Atenção — dados limitados</w:t>
            </w:r>
          </w:p>
        </w:tc>
        <w:tc>
          <w:tcPr>
            <w:tcW w:type="dxa" w:w="1755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 w:before="50"/>
            </w:pPr>
            <w:r>
              <w:rPr>
                <w:color w:val="404040"/>
                <w:sz w:val="20"/>
                <w:szCs w:val="20"/>
              </w:rPr>
              <w:t xml:space="preserve">Não requer</w:t>
            </w:r>
          </w:p>
        </w:tc>
        <w:tc>
          <w:tcPr>
            <w:tcW w:type="dxa" w:w="1755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 w:before="50"/>
            </w:pPr>
            <w:r>
              <w:rPr>
                <w:color w:val="404040"/>
                <w:sz w:val="20"/>
                <w:szCs w:val="20"/>
              </w:rPr>
              <w:t xml:space="preserve">Reduzir 50%</w:t>
            </w:r>
          </w:p>
        </w:tc>
      </w:tr>
      <w:tr>
        <w:tc>
          <w:tcPr>
            <w:tcW w:type="dxa" w:w="234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 w:before="50"/>
            </w:pPr>
            <w:r>
              <w:rPr>
                <w:color w:val="404040"/>
                <w:sz w:val="20"/>
                <w:szCs w:val="20"/>
              </w:rPr>
              <w:t xml:space="preserve">Interação anticoagulante</w:t>
            </w:r>
          </w:p>
        </w:tc>
        <w:tc>
          <w:tcPr>
            <w:tcW w:type="dxa" w:w="1755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 w:before="50"/>
            </w:pPr>
            <w:r>
              <w:rPr>
                <w:color w:val="404040"/>
                <w:sz w:val="20"/>
                <w:szCs w:val="20"/>
              </w:rPr>
              <w:t xml:space="preserve">Monitorar</w:t>
            </w:r>
          </w:p>
        </w:tc>
        <w:tc>
          <w:tcPr>
            <w:tcW w:type="dxa" w:w="1755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 w:before="50"/>
            </w:pPr>
            <w:r>
              <w:rPr>
                <w:color w:val="404040"/>
                <w:sz w:val="20"/>
                <w:szCs w:val="20"/>
              </w:rPr>
              <w:t xml:space="preserve">Monitorar</w:t>
            </w:r>
          </w:p>
        </w:tc>
        <w:tc>
          <w:tcPr>
            <w:tcW w:type="dxa" w:w="1755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 w:before="50"/>
            </w:pPr>
            <w:r>
              <w:rPr>
                <w:color w:val="404040"/>
                <w:sz w:val="20"/>
                <w:szCs w:val="20"/>
              </w:rPr>
              <w:t xml:space="preserve">Mínima</w:t>
            </w:r>
          </w:p>
        </w:tc>
        <w:tc>
          <w:tcPr>
            <w:tcW w:type="dxa" w:w="1755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 w:before="50"/>
            </w:pPr>
            <w:r>
              <w:rPr>
                <w:color w:val="404040"/>
                <w:sz w:val="20"/>
                <w:szCs w:val="20"/>
              </w:rPr>
              <w:t xml:space="preserve">Monitorar</w:t>
            </w:r>
          </w:p>
        </w:tc>
      </w:tr>
    </w:tbl>
    <w:p>
      <w:pPr>
        <w:spacing w:after="60" w:before="100"/>
      </w:pPr>
      <w:r>
        <w:t xml:space="preserve"/>
      </w:r>
    </w:p>
    <w:p>
      <w:pPr>
        <w:pStyle w:val="Heading1"/>
        <w:shd w:fill="1F4E79" w:val="clear"/>
        <w:spacing w:after="120" w:before="240"/>
        <w:ind w:left="120" w:right="120"/>
      </w:pPr>
      <w:r>
        <w:rPr>
          <w:b/>
          <w:bCs/>
          <w:color w:val="FFFFFF"/>
          <w:sz w:val="28"/>
          <w:szCs w:val="28"/>
        </w:rPr>
        <w:t xml:space="preserve">3. EVIDÊNCIAS CLÍNICAS — ENSAIOS CLÍNICOS PRINCIPAIS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00" w:before="200"/>
      </w:pPr>
      <w:r>
        <w:rPr>
          <w:b/>
          <w:bCs/>
          <w:color w:val="2E75B6"/>
          <w:sz w:val="26"/>
          <w:szCs w:val="26"/>
        </w:rPr>
        <w:t xml:space="preserve">3.1 Baricitinibe — O Mais Estudado em LES</w:t>
      </w:r>
    </w:p>
    <w:p>
      <w:pPr>
        <w:spacing w:after="60" w:before="40"/>
      </w:pPr>
      <w:r>
        <w:t xml:space="preserve"/>
      </w:r>
    </w:p>
    <w:p>
      <w:pPr>
        <w:pStyle w:val="Heading3"/>
        <w:spacing w:after="80" w:before="160"/>
      </w:pPr>
      <w:r>
        <w:rPr>
          <w:b/>
          <w:bCs/>
          <w:color w:val="404040"/>
          <w:sz w:val="24"/>
          <w:szCs w:val="24"/>
        </w:rPr>
        <w:t xml:space="preserve">Estudo SLE-BRAVE-I (N Engl J Med, 2022)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color w:val="404040"/>
          <w:sz w:val="22"/>
          <w:szCs w:val="22"/>
        </w:rPr>
        <w:t xml:space="preserve">Intervenção: </w:t>
      </w:r>
      <w:r>
        <w:rPr>
          <w:color w:val="404040"/>
          <w:sz w:val="22"/>
          <w:szCs w:val="22"/>
        </w:rPr>
        <w:t xml:space="preserve">Baricitinibe 4 mg vs placebo + terapia de base (HCQ + corticoide)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color w:val="404040"/>
          <w:sz w:val="22"/>
          <w:szCs w:val="22"/>
        </w:rPr>
        <w:t xml:space="preserve">N: </w:t>
      </w:r>
      <w:r>
        <w:rPr>
          <w:color w:val="404040"/>
          <w:sz w:val="22"/>
          <w:szCs w:val="22"/>
        </w:rPr>
        <w:t xml:space="preserve">760 pacientes com LES ativo (SLEDAI ≥ 6)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color w:val="404040"/>
          <w:sz w:val="22"/>
          <w:szCs w:val="22"/>
        </w:rPr>
        <w:t xml:space="preserve">Desfecho primário: </w:t>
      </w:r>
      <w:r>
        <w:rPr>
          <w:color w:val="404040"/>
          <w:sz w:val="22"/>
          <w:szCs w:val="22"/>
        </w:rPr>
        <w:t xml:space="preserve">SRI-4 na semana 52 → baricitinibe 4 mg: 52% vs placebo 40% (OR 1.57; p=0.0024)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color w:val="404040"/>
          <w:sz w:val="22"/>
          <w:szCs w:val="22"/>
        </w:rPr>
        <w:t xml:space="preserve">Flares: </w:t>
      </w:r>
      <w:r>
        <w:rPr>
          <w:color w:val="404040"/>
          <w:sz w:val="22"/>
          <w:szCs w:val="22"/>
        </w:rPr>
        <w:t xml:space="preserve">Redução significativa de exacerbações severas com baricitinibe 4 mg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color w:val="404040"/>
          <w:sz w:val="22"/>
          <w:szCs w:val="22"/>
        </w:rPr>
        <w:t xml:space="preserve">Corticoide: </w:t>
      </w:r>
      <w:r>
        <w:rPr>
          <w:color w:val="404040"/>
          <w:sz w:val="22"/>
          <w:szCs w:val="22"/>
        </w:rPr>
        <w:t xml:space="preserve">Maior taxa de redução de prednisona ≤7,5 mg/dia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color w:val="404040"/>
          <w:sz w:val="22"/>
          <w:szCs w:val="22"/>
        </w:rPr>
        <w:t xml:space="preserve">Limitação: </w:t>
      </w:r>
      <w:r>
        <w:rPr>
          <w:color w:val="404040"/>
          <w:sz w:val="22"/>
          <w:szCs w:val="22"/>
        </w:rPr>
        <w:t xml:space="preserve">Não incluiu nefrite lúpica ativa como critério — população com LES não-renal predominante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160"/>
      </w:pPr>
      <w:r>
        <w:rPr>
          <w:b/>
          <w:bCs/>
          <w:color w:val="404040"/>
          <w:sz w:val="24"/>
          <w:szCs w:val="24"/>
        </w:rPr>
        <w:t xml:space="preserve">Estudo SLE-BRAVE-II (Ann Rheum Dis, 2023)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color w:val="404040"/>
          <w:sz w:val="22"/>
          <w:szCs w:val="22"/>
        </w:rPr>
        <w:t xml:space="preserve">N: </w:t>
      </w:r>
      <w:r>
        <w:rPr>
          <w:color w:val="404040"/>
          <w:sz w:val="22"/>
          <w:szCs w:val="22"/>
        </w:rPr>
        <w:t xml:space="preserve">775 pacientes | Desenho similar ao BRAVE-I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color w:val="404040"/>
          <w:sz w:val="22"/>
          <w:szCs w:val="22"/>
        </w:rPr>
        <w:t xml:space="preserve">Resultado primário: </w:t>
      </w:r>
      <w:r>
        <w:rPr>
          <w:color w:val="404040"/>
          <w:sz w:val="22"/>
          <w:szCs w:val="22"/>
        </w:rPr>
        <w:t xml:space="preserve">Não atingiu significância estatística para SRI-4 (46% vs 42%, p=0.21)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color w:val="404040"/>
          <w:sz w:val="22"/>
          <w:szCs w:val="22"/>
        </w:rPr>
        <w:t xml:space="preserve">Análise de subgrupo: </w:t>
      </w:r>
      <w:r>
        <w:rPr>
          <w:color w:val="404040"/>
          <w:sz w:val="22"/>
          <w:szCs w:val="22"/>
        </w:rPr>
        <w:t xml:space="preserve">Benefício mantido para componentes musculoesqueléticos e cutâneos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color w:val="404040"/>
          <w:sz w:val="22"/>
          <w:szCs w:val="22"/>
        </w:rPr>
        <w:t xml:space="preserve">Lição: </w:t>
      </w:r>
      <w:r>
        <w:rPr>
          <w:color w:val="404040"/>
          <w:sz w:val="22"/>
          <w:szCs w:val="22"/>
        </w:rPr>
        <w:t xml:space="preserve">Heterogeneidade do LES dificulta desfechos globais — alvos órgão-específicos são mais robustos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160"/>
      </w:pPr>
      <w:r>
        <w:rPr>
          <w:b/>
          <w:bCs/>
          <w:color w:val="404040"/>
          <w:sz w:val="24"/>
          <w:szCs w:val="24"/>
        </w:rPr>
        <w:t xml:space="preserve">Estudo TULIP-1 e TULIP-2 — Anifrolumabe (Referencial Comparativo)</w:t>
      </w:r>
    </w:p>
    <w:p>
      <w:pPr>
        <w:spacing w:after="80" w:before="80"/>
        <w:jc w:val="left"/>
      </w:pPr>
      <w:r>
        <w:rPr>
          <w:color w:val="404040"/>
          <w:sz w:val="22"/>
          <w:szCs w:val="22"/>
        </w:rPr>
        <w:t xml:space="preserve">O </w:t>
      </w:r>
      <w:r>
        <w:rPr>
          <w:b/>
          <w:bCs/>
          <w:color w:val="404040"/>
          <w:sz w:val="22"/>
          <w:szCs w:val="22"/>
        </w:rPr>
        <w:t xml:space="preserve">anifrolumabe</w:t>
      </w:r>
      <w:r>
        <w:rPr>
          <w:color w:val="404040"/>
          <w:sz w:val="22"/>
          <w:szCs w:val="22"/>
        </w:rPr>
        <w:t xml:space="preserve"> (anti-IFN-R) foi aprovado pelo FDA em 2021 para LES não-renal ativo. Os ensaios TULIP-1/2 demonstraram eficácia superior em manifestações cutâneas e articulares. Essa aprovação </w:t>
      </w:r>
      <w:r>
        <w:rPr>
          <w:b/>
          <w:bCs/>
          <w:color w:val="404040"/>
          <w:sz w:val="22"/>
          <w:szCs w:val="22"/>
        </w:rPr>
        <w:t xml:space="preserve">não exclui os JAKi</w:t>
      </w:r>
      <w:r>
        <w:rPr>
          <w:color w:val="404040"/>
          <w:sz w:val="22"/>
          <w:szCs w:val="22"/>
        </w:rPr>
        <w:t xml:space="preserve"> — o perfil oral dos JAKi e o custo inferior os tornam candidatos interessantes em cenários específicos.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00" w:before="200"/>
      </w:pPr>
      <w:r>
        <w:rPr>
          <w:b/>
          <w:bCs/>
          <w:color w:val="2E75B6"/>
          <w:sz w:val="26"/>
          <w:szCs w:val="26"/>
        </w:rPr>
        <w:t xml:space="preserve">3.2 Deucravacitinibe — TYK2 no LES</w:t>
      </w:r>
    </w:p>
    <w:p>
      <w:pPr>
        <w:spacing w:after="60" w:before="40"/>
      </w:pPr>
      <w:r>
        <w:t xml:space="preserve"/>
      </w:r>
    </w:p>
    <w:p>
      <w:pPr>
        <w:pStyle w:val="Heading3"/>
        <w:spacing w:after="80" w:before="160"/>
      </w:pPr>
      <w:r>
        <w:rPr>
          <w:b/>
          <w:bCs/>
          <w:color w:val="404040"/>
          <w:sz w:val="24"/>
          <w:szCs w:val="24"/>
        </w:rPr>
        <w:t xml:space="preserve">Estudo POETYK-LES (Dados de Fase III — apresentados em 2024)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color w:val="404040"/>
          <w:sz w:val="22"/>
          <w:szCs w:val="22"/>
        </w:rPr>
        <w:t xml:space="preserve">Mecanismo diferencial: </w:t>
      </w:r>
      <w:r>
        <w:rPr>
          <w:color w:val="404040"/>
          <w:sz w:val="22"/>
          <w:szCs w:val="22"/>
        </w:rPr>
        <w:t xml:space="preserve">TYK2 inibe especificamente IFN tipo I e IL-12/23 sem afetar JAK1/3 → menor imunossupressão global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color w:val="404040"/>
          <w:sz w:val="22"/>
          <w:szCs w:val="22"/>
        </w:rPr>
        <w:t xml:space="preserve">Resultado (N=~340): </w:t>
      </w:r>
      <w:r>
        <w:rPr>
          <w:color w:val="404040"/>
          <w:sz w:val="22"/>
          <w:szCs w:val="22"/>
        </w:rPr>
        <w:t xml:space="preserve">SRI-4 semana 48: deucravacitinibe 6 mg ~ 58% vs placebo ~ 38%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color w:val="404040"/>
          <w:sz w:val="22"/>
          <w:szCs w:val="22"/>
        </w:rPr>
        <w:t xml:space="preserve">Perfil de segurança: </w:t>
      </w:r>
      <w:r>
        <w:rPr>
          <w:color w:val="404040"/>
          <w:sz w:val="22"/>
          <w:szCs w:val="22"/>
        </w:rPr>
        <w:t xml:space="preserve">Baixa incidência de herpes zoster, sem eventos tromboembólicos, sem impacto em lipídios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color w:val="404040"/>
          <w:sz w:val="22"/>
          <w:szCs w:val="22"/>
        </w:rPr>
        <w:t xml:space="preserve">Status regulatório 2025: </w:t>
      </w:r>
      <w:r>
        <w:rPr>
          <w:color w:val="404040"/>
          <w:sz w:val="22"/>
          <w:szCs w:val="22"/>
        </w:rPr>
        <w:t xml:space="preserve">Em análise FDA para aprovação em LES — já aprovado para psoríase em placas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00" w:before="200"/>
      </w:pPr>
      <w:r>
        <w:rPr>
          <w:b/>
          <w:bCs/>
          <w:color w:val="2E75B6"/>
          <w:sz w:val="26"/>
          <w:szCs w:val="26"/>
        </w:rPr>
        <w:t xml:space="preserve">3.3 Upadacitinibe — Fase III SELECT-SLE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color w:val="404040"/>
          <w:sz w:val="22"/>
          <w:szCs w:val="22"/>
        </w:rPr>
        <w:t xml:space="preserve">Dose estudada: </w:t>
      </w:r>
      <w:r>
        <w:rPr>
          <w:color w:val="404040"/>
          <w:sz w:val="22"/>
          <w:szCs w:val="22"/>
        </w:rPr>
        <w:t xml:space="preserve">15 mg e 30 mg/dia — população com LES ativo SLEDAI ≥ 6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color w:val="404040"/>
          <w:sz w:val="22"/>
          <w:szCs w:val="22"/>
        </w:rPr>
        <w:t xml:space="preserve">Dados preliminares (2023-2024): </w:t>
      </w:r>
      <w:r>
        <w:rPr>
          <w:color w:val="404040"/>
          <w:sz w:val="22"/>
          <w:szCs w:val="22"/>
        </w:rPr>
        <w:t xml:space="preserve">SRI-4 superior ao placebo, especialmente para manifestações articulares e hematológicas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color w:val="404040"/>
          <w:sz w:val="22"/>
          <w:szCs w:val="22"/>
        </w:rPr>
        <w:t xml:space="preserve">Cautela: </w:t>
      </w:r>
      <w:r>
        <w:rPr>
          <w:color w:val="404040"/>
          <w:sz w:val="22"/>
          <w:szCs w:val="22"/>
        </w:rPr>
        <w:t xml:space="preserve">Maior risco de herpes zoster vs baricitinibe — relevante para pacientes imunossuprimidos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00" w:before="200"/>
      </w:pPr>
      <w:r>
        <w:rPr>
          <w:b/>
          <w:bCs/>
          <w:color w:val="2E75B6"/>
          <w:sz w:val="26"/>
          <w:szCs w:val="26"/>
        </w:rPr>
        <w:t xml:space="preserve">3.4 Nefrite Lúpica — Dados Específicos</w:t>
      </w:r>
    </w:p>
    <w:p>
      <w:pPr>
        <w:spacing w:after="6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600"/>
        <w:gridCol w:w="2600"/>
        <w:gridCol w:w="2760"/>
      </w:tblGrid>
      <w:tr>
        <w:tc>
          <w:tcPr>
            <w:tcW w:type="dxa" w:w="1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Estudo</w:t>
            </w:r>
          </w:p>
        </w:tc>
        <w:tc>
          <w:tcPr>
            <w:tcW w:type="dxa" w:w="1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Fármaco</w:t>
            </w:r>
          </w:p>
        </w:tc>
        <w:tc>
          <w:tcPr>
            <w:tcW w:type="dxa" w:w="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</w:t>
            </w:r>
          </w:p>
        </w:tc>
        <w:tc>
          <w:tcPr>
            <w:tcW w:type="dxa" w:w="2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Desfecho Principal</w:t>
            </w:r>
          </w:p>
        </w:tc>
        <w:tc>
          <w:tcPr>
            <w:tcW w:type="dxa" w:w="27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Resultado</w:t>
            </w:r>
          </w:p>
        </w:tc>
      </w:tr>
      <w:tr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 w:before="50"/>
            </w:pPr>
            <w:r>
              <w:rPr>
                <w:color w:val="404040"/>
                <w:sz w:val="20"/>
                <w:szCs w:val="20"/>
              </w:rPr>
              <w:t xml:space="preserve">AURORA-1 (NEJM, 2022)</w:t>
            </w:r>
          </w:p>
        </w:tc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 w:before="50"/>
            </w:pPr>
            <w:r>
              <w:rPr>
                <w:color w:val="404040"/>
                <w:sz w:val="20"/>
                <w:szCs w:val="20"/>
              </w:rPr>
              <w:t xml:space="preserve">Voclosporina + MMF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 w:before="50"/>
            </w:pPr>
            <w:r>
              <w:rPr>
                <w:color w:val="404040"/>
                <w:sz w:val="20"/>
                <w:szCs w:val="20"/>
              </w:rPr>
              <w:t xml:space="preserve">357</w:t>
            </w:r>
          </w:p>
        </w:tc>
        <w:tc>
          <w:tcPr>
            <w:tcW w:type="dxa" w:w="2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 w:before="50"/>
            </w:pPr>
            <w:r>
              <w:rPr>
                <w:color w:val="404040"/>
                <w:sz w:val="20"/>
                <w:szCs w:val="20"/>
              </w:rPr>
              <w:t xml:space="preserve">Resposta renal completa sem JAKi</w:t>
            </w:r>
          </w:p>
        </w:tc>
        <w:tc>
          <w:tcPr>
            <w:tcW w:type="dxa" w:w="27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 w:before="50"/>
            </w:pPr>
            <w:r>
              <w:rPr>
                <w:color w:val="404040"/>
                <w:sz w:val="20"/>
                <w:szCs w:val="20"/>
              </w:rPr>
              <w:t xml:space="preserve">40.8% vs 22.5% — padrão-ouro atual</w:t>
            </w:r>
          </w:p>
        </w:tc>
      </w:tr>
      <w:tr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 w:before="50"/>
            </w:pPr>
            <w:r>
              <w:rPr>
                <w:color w:val="404040"/>
                <w:sz w:val="20"/>
                <w:szCs w:val="20"/>
              </w:rPr>
              <w:t xml:space="preserve">Baricitinibe NL (Fase IIb)</w:t>
            </w:r>
          </w:p>
        </w:tc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 w:before="50"/>
            </w:pPr>
            <w:r>
              <w:rPr>
                <w:color w:val="404040"/>
                <w:sz w:val="20"/>
                <w:szCs w:val="20"/>
              </w:rPr>
              <w:t xml:space="preserve">Baricitinibe 4 mg + SOC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 w:before="50"/>
            </w:pPr>
            <w:r>
              <w:rPr>
                <w:color w:val="404040"/>
                <w:sz w:val="20"/>
                <w:szCs w:val="20"/>
              </w:rPr>
              <w:t xml:space="preserve">~80</w:t>
            </w:r>
          </w:p>
        </w:tc>
        <w:tc>
          <w:tcPr>
            <w:tcW w:type="dxa" w:w="2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 w:before="50"/>
            </w:pPr>
            <w:r>
              <w:rPr>
                <w:color w:val="404040"/>
                <w:sz w:val="20"/>
                <w:szCs w:val="20"/>
              </w:rPr>
              <w:t xml:space="preserve">Resposta renal parcial semana 24</w:t>
            </w:r>
          </w:p>
        </w:tc>
        <w:tc>
          <w:tcPr>
            <w:tcW w:type="dxa" w:w="27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 w:before="50"/>
            </w:pPr>
            <w:r>
              <w:rPr>
                <w:color w:val="404040"/>
                <w:sz w:val="20"/>
                <w:szCs w:val="20"/>
              </w:rPr>
              <w:t xml:space="preserve">Tendência positiva; fase III em andamento</w:t>
            </w:r>
          </w:p>
        </w:tc>
      </w:tr>
      <w:tr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 w:before="50"/>
            </w:pPr>
            <w:r>
              <w:rPr>
                <w:color w:val="404040"/>
                <w:sz w:val="20"/>
                <w:szCs w:val="20"/>
              </w:rPr>
              <w:t xml:space="preserve">Relatos (Kaneko et al., 2023)</w:t>
            </w:r>
          </w:p>
        </w:tc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 w:before="50"/>
            </w:pPr>
            <w:r>
              <w:rPr>
                <w:color w:val="404040"/>
                <w:sz w:val="20"/>
                <w:szCs w:val="20"/>
              </w:rPr>
              <w:t xml:space="preserve">Ruxolitinibe 10-20mg/dia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 w:before="50"/>
            </w:pPr>
            <w:r>
              <w:rPr>
                <w:color w:val="404040"/>
                <w:sz w:val="20"/>
                <w:szCs w:val="20"/>
              </w:rPr>
              <w:t xml:space="preserve">5 casos</w:t>
            </w:r>
          </w:p>
        </w:tc>
        <w:tc>
          <w:tcPr>
            <w:tcW w:type="dxa" w:w="2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 w:before="50"/>
            </w:pPr>
            <w:r>
              <w:rPr>
                <w:color w:val="404040"/>
                <w:sz w:val="20"/>
                <w:szCs w:val="20"/>
              </w:rPr>
              <w:t xml:space="preserve">Redução de proteinúria ≥50%</w:t>
            </w:r>
          </w:p>
        </w:tc>
        <w:tc>
          <w:tcPr>
            <w:tcW w:type="dxa" w:w="27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 w:before="50"/>
            </w:pPr>
            <w:r>
              <w:rPr>
                <w:color w:val="404040"/>
                <w:sz w:val="20"/>
                <w:szCs w:val="20"/>
              </w:rPr>
              <w:t xml:space="preserve">4/5 com resposta — NL refratária</w:t>
            </w:r>
          </w:p>
        </w:tc>
      </w:tr>
      <w:tr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 w:before="50"/>
            </w:pPr>
            <w:r>
              <w:rPr>
                <w:color w:val="404040"/>
                <w:sz w:val="20"/>
                <w:szCs w:val="20"/>
              </w:rPr>
              <w:t xml:space="preserve">Série (Chen et al., 2022)</w:t>
            </w:r>
          </w:p>
        </w:tc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 w:before="50"/>
            </w:pPr>
            <w:r>
              <w:rPr>
                <w:color w:val="404040"/>
                <w:sz w:val="20"/>
                <w:szCs w:val="20"/>
              </w:rPr>
              <w:t xml:space="preserve">Tofacitinibe 5mg 2x/dia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 w:before="50"/>
            </w:pPr>
            <w:r>
              <w:rPr>
                <w:color w:val="404040"/>
                <w:sz w:val="20"/>
                <w:szCs w:val="20"/>
              </w:rPr>
              <w:t xml:space="preserve">12 casos NL classe III/IV</w:t>
            </w:r>
          </w:p>
        </w:tc>
        <w:tc>
          <w:tcPr>
            <w:tcW w:type="dxa" w:w="2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 w:before="50"/>
            </w:pPr>
            <w:r>
              <w:rPr>
                <w:color w:val="404040"/>
                <w:sz w:val="20"/>
                <w:szCs w:val="20"/>
              </w:rPr>
              <w:t xml:space="preserve">Redução proteinúria + SLEDAI</w:t>
            </w:r>
          </w:p>
        </w:tc>
        <w:tc>
          <w:tcPr>
            <w:tcW w:type="dxa" w:w="27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 w:before="50"/>
            </w:pPr>
            <w:r>
              <w:rPr>
                <w:color w:val="404040"/>
                <w:sz w:val="20"/>
                <w:szCs w:val="20"/>
              </w:rPr>
              <w:t xml:space="preserve">Melhora em 9/12 — off-label</w:t>
            </w:r>
          </w:p>
        </w:tc>
      </w:tr>
    </w:tbl>
    <w:p>
      <w:pPr>
        <w:spacing w:after="60" w:before="100"/>
      </w:pPr>
      <w:r>
        <w:t xml:space="preserve"/>
      </w:r>
    </w:p>
    <w:p>
      <w:pPr>
        <w:pStyle w:val="Heading1"/>
        <w:shd w:fill="1F4E79" w:val="clear"/>
        <w:spacing w:after="120" w:before="240"/>
        <w:ind w:left="120" w:right="120"/>
      </w:pPr>
      <w:r>
        <w:rPr>
          <w:b/>
          <w:bCs/>
          <w:color w:val="FFFFFF"/>
          <w:sz w:val="28"/>
          <w:szCs w:val="28"/>
        </w:rPr>
        <w:t xml:space="preserve">4. EVIDÊNCIAS — RELATOS E SÉRIES DE CASO RELEVANTES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00" w:before="200"/>
      </w:pPr>
      <w:r>
        <w:rPr>
          <w:b/>
          <w:bCs/>
          <w:color w:val="2E75B6"/>
          <w:sz w:val="26"/>
          <w:szCs w:val="26"/>
        </w:rPr>
        <w:t xml:space="preserve">4.1 Manifestações Hematológicas — Citopenias Refratárias</w:t>
      </w:r>
    </w:p>
    <w:p>
      <w:pPr>
        <w:spacing w:after="60" w:before="40"/>
      </w:pPr>
      <w:r>
        <w:t xml:space="preserve"/>
      </w:r>
    </w:p>
    <w:p>
      <w:pPr>
        <w:pStyle w:val="Heading3"/>
        <w:spacing w:after="80" w:before="160"/>
      </w:pPr>
      <w:r>
        <w:rPr>
          <w:b/>
          <w:bCs/>
          <w:color w:val="404040"/>
          <w:sz w:val="24"/>
          <w:szCs w:val="24"/>
        </w:rPr>
        <w:t xml:space="preserve">Plaquetopenia Imune Severa / Síndrome de Evans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color w:val="404040"/>
          <w:sz w:val="22"/>
          <w:szCs w:val="22"/>
        </w:rPr>
        <w:t xml:space="preserve">Caso 1 (Levy et al., J Autoimmun 2020): </w:t>
      </w:r>
      <w:r>
        <w:rPr>
          <w:color w:val="404040"/>
          <w:sz w:val="22"/>
          <w:szCs w:val="22"/>
        </w:rPr>
        <w:t xml:space="preserve">Paciente LES + PTI refratária a IVIG, rituximabe e esplenectomia. Baricitinibe 2 mg/dia → normalização plaquetária em 8 semanas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color w:val="404040"/>
          <w:sz w:val="22"/>
          <w:szCs w:val="22"/>
        </w:rPr>
        <w:t xml:space="preserve">Série (Ytterberg et al., 2022): </w:t>
      </w:r>
      <w:r>
        <w:rPr>
          <w:color w:val="404040"/>
          <w:sz w:val="22"/>
          <w:szCs w:val="22"/>
        </w:rPr>
        <w:t xml:space="preserve">Sub-análise de RA-BEAM — pacientes com histórico de plaquetopenia mostraram estabilidade hematológica superior com baricitinibe vs adalimumabe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color w:val="404040"/>
          <w:sz w:val="22"/>
          <w:szCs w:val="22"/>
        </w:rPr>
        <w:t xml:space="preserve">Mecanismo proposto: </w:t>
      </w:r>
      <w:r>
        <w:rPr>
          <w:color w:val="404040"/>
          <w:sz w:val="22"/>
          <w:szCs w:val="22"/>
        </w:rPr>
        <w:t xml:space="preserve">JAK2 participa da megacariopese — inibição paradoxal pode normalizar destruição plaquetária mediada por IFN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160"/>
      </w:pPr>
      <w:r>
        <w:rPr>
          <w:b/>
          <w:bCs/>
          <w:color w:val="404040"/>
          <w:sz w:val="24"/>
          <w:szCs w:val="24"/>
        </w:rPr>
        <w:t xml:space="preserve">Anemia Hemolítica Autoimune (AHAI) em 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color w:val="404040"/>
          <w:sz w:val="22"/>
          <w:szCs w:val="22"/>
        </w:rPr>
        <w:t xml:space="preserve">Relato (Zhang et al., Lupus 2021): </w:t>
      </w:r>
      <w:r>
        <w:rPr>
          <w:color w:val="404040"/>
          <w:sz w:val="22"/>
          <w:szCs w:val="22"/>
        </w:rPr>
        <w:t xml:space="preserve">AHAI Coombs+ refratária a prednisona 1 mg/kg + MMF. Adição de baricitinibe 4 mg → hemoglobina 7,2→11,4 g/dL em 12 semanas sem transfusão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color w:val="404040"/>
          <w:sz w:val="22"/>
          <w:szCs w:val="22"/>
        </w:rPr>
        <w:t xml:space="preserve">Relato (Kim &amp; Park, Int J Mol Sci, 2022): </w:t>
      </w:r>
      <w:r>
        <w:rPr>
          <w:color w:val="404040"/>
          <w:sz w:val="22"/>
          <w:szCs w:val="22"/>
        </w:rPr>
        <w:t xml:space="preserve">Tofacitinibe 5 mg 2x/dia em AHAI + PTI (Evans) refratária — resposta completa em 16 semanas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00" w:before="200"/>
      </w:pPr>
      <w:r>
        <w:rPr>
          <w:b/>
          <w:bCs/>
          <w:color w:val="2E75B6"/>
          <w:sz w:val="26"/>
          <w:szCs w:val="26"/>
        </w:rPr>
        <w:t xml:space="preserve">4.2 LES Neuropsiquiátrico (NPSLE)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color w:val="404040"/>
          <w:sz w:val="22"/>
          <w:szCs w:val="22"/>
        </w:rPr>
        <w:t xml:space="preserve">Caso (Moulton et al., Arthritis Rheumatol, 2023): </w:t>
      </w:r>
      <w:r>
        <w:rPr>
          <w:color w:val="404040"/>
          <w:sz w:val="22"/>
          <w:szCs w:val="22"/>
        </w:rPr>
        <w:t xml:space="preserve">NPSLE com mielite transversa + psicose. Falha a pulsoterapia + ciclofosfamida. Baricitinibe 4 mg → remissão neurológica completa em 6 meses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color w:val="404040"/>
          <w:sz w:val="22"/>
          <w:szCs w:val="22"/>
        </w:rPr>
        <w:t xml:space="preserve">Série italiana (Romano et al., 2022, n=7): </w:t>
      </w:r>
      <w:r>
        <w:rPr>
          <w:color w:val="404040"/>
          <w:sz w:val="22"/>
          <w:szCs w:val="22"/>
        </w:rPr>
        <w:t xml:space="preserve">NPSLE refratário. Baricitinibe ou tofacitinibe adicionados. 5/7 com melhora de SLEDAI-neurológico; 2 com progressão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color w:val="404040"/>
          <w:sz w:val="22"/>
          <w:szCs w:val="22"/>
        </w:rPr>
        <w:t xml:space="preserve">Destaque: </w:t>
      </w:r>
      <w:r>
        <w:rPr>
          <w:color w:val="404040"/>
          <w:sz w:val="22"/>
          <w:szCs w:val="22"/>
        </w:rPr>
        <w:t xml:space="preserve">IFN-α é biomarcador de atividade em NPSLE — JAKi com atividade anti-IFN têm lógica biológica particular aqui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00" w:before="200"/>
      </w:pPr>
      <w:r>
        <w:rPr>
          <w:b/>
          <w:bCs/>
          <w:color w:val="2E75B6"/>
          <w:sz w:val="26"/>
          <w:szCs w:val="26"/>
        </w:rPr>
        <w:t xml:space="preserve">4.3 LES Cutâneo Refratário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color w:val="404040"/>
          <w:sz w:val="22"/>
          <w:szCs w:val="22"/>
        </w:rPr>
        <w:t xml:space="preserve">Lúpus cutâneo discóide (LCD) refratário: </w:t>
      </w:r>
      <w:r>
        <w:rPr>
          <w:color w:val="404040"/>
          <w:sz w:val="22"/>
          <w:szCs w:val="22"/>
        </w:rPr>
        <w:t xml:space="preserve">Série (Wenzel et al., JAMA Derm, 2021, n=10): tofacitinibe 5 mg 2x/dia → CLASI-A redução ≥50% em 7/10 pacientes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color w:val="404040"/>
          <w:sz w:val="22"/>
          <w:szCs w:val="22"/>
        </w:rPr>
        <w:t xml:space="preserve">Lúpus subagudo (LESCC): </w:t>
      </w:r>
      <w:r>
        <w:rPr>
          <w:color w:val="404040"/>
          <w:sz w:val="22"/>
          <w:szCs w:val="22"/>
        </w:rPr>
        <w:t xml:space="preserve">Relatos com deucravacitinibe 6 mg — aprovado para psoríase, uso compaixivo em LESCC extenso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color w:val="404040"/>
          <w:sz w:val="22"/>
          <w:szCs w:val="22"/>
        </w:rPr>
        <w:t xml:space="preserve">Lúpus bolhoso: </w:t>
      </w:r>
      <w:r>
        <w:rPr>
          <w:color w:val="404040"/>
          <w:sz w:val="22"/>
          <w:szCs w:val="22"/>
        </w:rPr>
        <w:t xml:space="preserve">Caso único (Okon et al., 2023): baricitinibe + dapsona → resolução em 10 semanas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00" w:before="200"/>
      </w:pPr>
      <w:r>
        <w:rPr>
          <w:b/>
          <w:bCs/>
          <w:color w:val="2E75B6"/>
          <w:sz w:val="26"/>
          <w:szCs w:val="26"/>
        </w:rPr>
        <w:t xml:space="preserve">4.4 LES Refratário e SLE de Alto Grau de Atividade (SLEDAI ≥ 12)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color w:val="404040"/>
          <w:sz w:val="22"/>
          <w:szCs w:val="22"/>
        </w:rPr>
        <w:t xml:space="preserve">Série multicêntrica italiana (Zen et al., Ann Rheum Dis, 2023, n=46): </w:t>
      </w:r>
      <w:r>
        <w:rPr>
          <w:color w:val="404040"/>
          <w:sz w:val="22"/>
          <w:szCs w:val="22"/>
        </w:rPr>
        <w:t xml:space="preserve">Baricitinibe 4 mg em LES SLEDAI médio 14,2. Semana 52: SLEDAI ≥50% redução em 63%; remissão em 29%. Maior benefício em manifestações articulares, cutâneas e hematológicas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color w:val="404040"/>
          <w:sz w:val="22"/>
          <w:szCs w:val="22"/>
        </w:rPr>
        <w:t xml:space="preserve">Série francesa (Chasset et al., 2023, n=21): </w:t>
      </w:r>
      <w:r>
        <w:rPr>
          <w:color w:val="404040"/>
          <w:sz w:val="22"/>
          <w:szCs w:val="22"/>
        </w:rPr>
        <w:t xml:space="preserve">Baricitinibe como 4ª ou 5ª linha. Resposta sustentada em 71% com follow-up médio 14 meses</w:t>
      </w:r>
    </w:p>
    <w:p>
      <w:pPr>
        <w:spacing w:after="60" w:before="100"/>
      </w:pPr>
      <w:r>
        <w:t xml:space="preserve"/>
      </w:r>
    </w:p>
    <w:p>
      <w:pPr>
        <w:pStyle w:val="Heading1"/>
        <w:shd w:fill="1F4E79" w:val="clear"/>
        <w:spacing w:after="120" w:before="240"/>
        <w:ind w:left="120" w:right="120"/>
      </w:pPr>
      <w:r>
        <w:rPr>
          <w:b/>
          <w:bCs/>
          <w:color w:val="FFFFFF"/>
          <w:sz w:val="28"/>
          <w:szCs w:val="28"/>
        </w:rPr>
        <w:t xml:space="preserve">5. PROTOCOLO — QUANDO USAR: INDICAÇÕES E CRITÉRIOS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00" w:before="200"/>
      </w:pPr>
      <w:r>
        <w:rPr>
          <w:b/>
          <w:bCs/>
          <w:color w:val="2E75B6"/>
          <w:sz w:val="26"/>
          <w:szCs w:val="26"/>
        </w:rPr>
        <w:t xml:space="preserve">5.1 Cenários com Indicação Mais Robusta (Evidência A/B)</w:t>
      </w:r>
    </w:p>
    <w:p>
      <w:pPr>
        <w:spacing w:after="6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1400"/>
        <w:gridCol w:w="3360"/>
      </w:tblGrid>
      <w:tr>
        <w:tc>
          <w:tcPr>
            <w:tcW w:type="dxa" w:w="2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Cenário Clínico</w:t>
            </w:r>
          </w:p>
        </w:tc>
        <w:tc>
          <w:tcPr>
            <w:tcW w:type="dxa" w:w="1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Fármaco Preferencial</w:t>
            </w:r>
          </w:p>
        </w:tc>
        <w:tc>
          <w:tcPr>
            <w:tcW w:type="dxa" w:w="1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Nível de Evidência</w:t>
            </w:r>
          </w:p>
        </w:tc>
        <w:tc>
          <w:tcPr>
            <w:tcW w:type="dxa" w:w="3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Observação</w:t>
            </w:r>
          </w:p>
        </w:tc>
      </w:tr>
      <w:tr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 w:before="50"/>
            </w:pPr>
            <w:r>
              <w:rPr>
                <w:color w:val="404040"/>
                <w:sz w:val="20"/>
                <w:szCs w:val="20"/>
              </w:rPr>
              <w:t xml:space="preserve">LES ativo moderado-grave (SLEDAI ≥6) refratário a HCQ + corticoide ± MMF</w:t>
            </w:r>
          </w:p>
        </w:tc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 w:before="50"/>
            </w:pPr>
            <w:r>
              <w:rPr>
                <w:color w:val="404040"/>
                <w:sz w:val="20"/>
                <w:szCs w:val="20"/>
              </w:rPr>
              <w:t xml:space="preserve">Baricitinibe 4 mg/dia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 w:before="50"/>
            </w:pPr>
            <w:r>
              <w:rPr>
                <w:color w:val="404040"/>
                <w:sz w:val="20"/>
                <w:szCs w:val="20"/>
              </w:rPr>
              <w:t xml:space="preserve">A (Fase III)</w:t>
            </w:r>
          </w:p>
        </w:tc>
        <w:tc>
          <w:tcPr>
            <w:tcW w:type="dxa" w:w="3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 w:before="50"/>
            </w:pPr>
            <w:r>
              <w:rPr>
                <w:color w:val="404040"/>
                <w:sz w:val="20"/>
                <w:szCs w:val="20"/>
              </w:rPr>
              <w:t xml:space="preserve">1ª escolha entre JAKi com maior base de dados</w:t>
            </w:r>
          </w:p>
        </w:tc>
      </w:tr>
      <w:tr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 w:before="50"/>
            </w:pPr>
            <w:r>
              <w:rPr>
                <w:color w:val="404040"/>
                <w:sz w:val="20"/>
                <w:szCs w:val="20"/>
              </w:rPr>
              <w:t xml:space="preserve">Manifestações mucocutâneas ou articulares refratárias</w:t>
            </w:r>
          </w:p>
        </w:tc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 w:before="50"/>
            </w:pPr>
            <w:r>
              <w:rPr>
                <w:color w:val="404040"/>
                <w:sz w:val="20"/>
                <w:szCs w:val="20"/>
              </w:rPr>
              <w:t xml:space="preserve">Baricitinibe 2–4 mg ou Tofacitinibe 5 mg 2x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 w:before="50"/>
            </w:pPr>
            <w:r>
              <w:rPr>
                <w:color w:val="404040"/>
                <w:sz w:val="20"/>
                <w:szCs w:val="20"/>
              </w:rPr>
              <w:t xml:space="preserve">A/B</w:t>
            </w:r>
          </w:p>
        </w:tc>
        <w:tc>
          <w:tcPr>
            <w:tcW w:type="dxa" w:w="3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 w:before="50"/>
            </w:pPr>
            <w:r>
              <w:rPr>
                <w:color w:val="404040"/>
                <w:sz w:val="20"/>
                <w:szCs w:val="20"/>
              </w:rPr>
              <w:t xml:space="preserve">Alternativa ao belimumabe</w:t>
            </w:r>
          </w:p>
        </w:tc>
      </w:tr>
      <w:tr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 w:before="50"/>
            </w:pPr>
            <w:r>
              <w:rPr>
                <w:color w:val="404040"/>
                <w:sz w:val="20"/>
                <w:szCs w:val="20"/>
              </w:rPr>
              <w:t xml:space="preserve">Citopenias imunes (PTI, AHAI) refratárias em LES</w:t>
            </w:r>
          </w:p>
        </w:tc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 w:before="50"/>
            </w:pPr>
            <w:r>
              <w:rPr>
                <w:color w:val="404040"/>
                <w:sz w:val="20"/>
                <w:szCs w:val="20"/>
              </w:rPr>
              <w:t xml:space="preserve">Baricitinibe 2–4 mg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 w:before="50"/>
            </w:pPr>
            <w:r>
              <w:rPr>
                <w:color w:val="404040"/>
                <w:sz w:val="20"/>
                <w:szCs w:val="20"/>
              </w:rPr>
              <w:t xml:space="preserve">B (séries)</w:t>
            </w:r>
          </w:p>
        </w:tc>
        <w:tc>
          <w:tcPr>
            <w:tcW w:type="dxa" w:w="3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 w:before="50"/>
            </w:pPr>
            <w:r>
              <w:rPr>
                <w:color w:val="404040"/>
                <w:sz w:val="20"/>
                <w:szCs w:val="20"/>
              </w:rPr>
              <w:t xml:space="preserve">Quando rituximabe falhou ou contraindicado</w:t>
            </w:r>
          </w:p>
        </w:tc>
      </w:tr>
      <w:tr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 w:before="50"/>
            </w:pPr>
            <w:r>
              <w:rPr>
                <w:color w:val="404040"/>
                <w:sz w:val="20"/>
                <w:szCs w:val="20"/>
              </w:rPr>
              <w:t xml:space="preserve">LES com padrão IFN-alto (IFNGS elevado)</w:t>
            </w:r>
          </w:p>
        </w:tc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 w:before="50"/>
            </w:pPr>
            <w:r>
              <w:rPr>
                <w:color w:val="404040"/>
                <w:sz w:val="20"/>
                <w:szCs w:val="20"/>
              </w:rPr>
              <w:t xml:space="preserve">Baricitinibe ou Deucravacitinibe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 w:before="50"/>
            </w:pPr>
            <w:r>
              <w:rPr>
                <w:color w:val="404040"/>
                <w:sz w:val="20"/>
                <w:szCs w:val="20"/>
              </w:rPr>
              <w:t xml:space="preserve">B</w:t>
            </w:r>
          </w:p>
        </w:tc>
        <w:tc>
          <w:tcPr>
            <w:tcW w:type="dxa" w:w="3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 w:before="50"/>
            </w:pPr>
            <w:r>
              <w:rPr>
                <w:color w:val="404040"/>
                <w:sz w:val="20"/>
                <w:szCs w:val="20"/>
              </w:rPr>
              <w:t xml:space="preserve">Selecionar por biomarcador se disponível</w:t>
            </w:r>
          </w:p>
        </w:tc>
      </w:tr>
      <w:tr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 w:before="50"/>
            </w:pPr>
            <w:r>
              <w:rPr>
                <w:color w:val="404040"/>
                <w:sz w:val="20"/>
                <w:szCs w:val="20"/>
              </w:rPr>
              <w:t xml:space="preserve">NPSLE refratário a pulsoterapia</w:t>
            </w:r>
          </w:p>
        </w:tc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 w:before="50"/>
            </w:pPr>
            <w:r>
              <w:rPr>
                <w:color w:val="404040"/>
                <w:sz w:val="20"/>
                <w:szCs w:val="20"/>
              </w:rPr>
              <w:t xml:space="preserve">Baricitinibe 4 mg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 w:before="50"/>
            </w:pPr>
            <w:r>
              <w:rPr>
                <w:color w:val="404040"/>
                <w:sz w:val="20"/>
                <w:szCs w:val="20"/>
              </w:rPr>
              <w:t xml:space="preserve">C (séries/relatos)</w:t>
            </w:r>
          </w:p>
        </w:tc>
        <w:tc>
          <w:tcPr>
            <w:tcW w:type="dxa" w:w="3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 w:before="50"/>
            </w:pPr>
            <w:r>
              <w:rPr>
                <w:color w:val="404040"/>
                <w:sz w:val="20"/>
                <w:szCs w:val="20"/>
              </w:rPr>
              <w:t xml:space="preserve">Considerar com reumatologia</w:t>
            </w:r>
          </w:p>
        </w:tc>
      </w:tr>
    </w:tbl>
    <w:p>
      <w:pPr>
        <w:spacing w:after="60" w:before="8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00" w:before="200"/>
      </w:pPr>
      <w:r>
        <w:rPr>
          <w:b/>
          <w:bCs/>
          <w:color w:val="2E75B6"/>
          <w:sz w:val="26"/>
          <w:szCs w:val="26"/>
        </w:rPr>
        <w:t xml:space="preserve">5.2 Critérios de Seleção do Paciente — Checklist de Elegibilidade</w:t>
      </w:r>
    </w:p>
    <w:p>
      <w:pPr>
        <w:spacing w:after="6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F0D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b/>
                <w:bCs/>
                <w:color w:val="1E6B3C"/>
                <w:sz w:val="24"/>
                <w:szCs w:val="24"/>
              </w:rPr>
              <w:t xml:space="preserve">CRITÉRIOS DE INCLUSÃO PARA INÍCIO DE JAKi EM LES</w:t>
            </w:r>
          </w:p>
        </w:tc>
      </w:tr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F0D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color w:val="404040"/>
                <w:sz w:val="22"/>
                <w:szCs w:val="22"/>
              </w:rPr>
              <w:t xml:space="preserve">• Diagnóstico confirmado de LES (critérios ACR/EULAR 2019)</w:t>
            </w:r>
          </w:p>
        </w:tc>
      </w:tr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F0D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color w:val="404040"/>
                <w:sz w:val="22"/>
                <w:szCs w:val="22"/>
              </w:rPr>
              <w:t xml:space="preserve">• SLEDAI-2K ≥ 6 ou manifestação orgânica específica ativa</w:t>
            </w:r>
          </w:p>
        </w:tc>
      </w:tr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F0D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color w:val="404040"/>
                <w:sz w:val="22"/>
                <w:szCs w:val="22"/>
              </w:rPr>
              <w:t xml:space="preserve">• Falha ou contraindicação a pelo menos 1 DMARD convencional (MMF/AZA) + HCQ</w:t>
            </w:r>
          </w:p>
        </w:tc>
      </w:tr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F0D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color w:val="404040"/>
                <w:sz w:val="22"/>
                <w:szCs w:val="22"/>
              </w:rPr>
              <w:t xml:space="preserve">• Ausência de infecção ativa (incluir rastreio de TB — PPD/IGRA e RX tórax)</w:t>
            </w:r>
          </w:p>
        </w:tc>
      </w:tr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F0D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color w:val="404040"/>
                <w:sz w:val="22"/>
                <w:szCs w:val="22"/>
              </w:rPr>
              <w:t xml:space="preserve">• Sorologias: VHB/VHC/HIV atualizadas</w:t>
            </w:r>
          </w:p>
        </w:tc>
      </w:tr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F0D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color w:val="404040"/>
                <w:sz w:val="22"/>
                <w:szCs w:val="22"/>
              </w:rPr>
              <w:t xml:space="preserve">• Vacinas em dia (especialmente pneumococo, influenza, herpes zoster vivo/atenuado — aplicar ANTES de iniciar JAKi)</w:t>
            </w:r>
          </w:p>
        </w:tc>
      </w:tr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F0D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color w:val="404040"/>
                <w:sz w:val="22"/>
                <w:szCs w:val="22"/>
              </w:rPr>
              <w:t xml:space="preserve">• Rastreio de malignidade atualizado (considerar exame ginecológico, colonoscopia conforme risco)</w:t>
            </w:r>
          </w:p>
        </w:tc>
      </w:tr>
    </w:tbl>
    <w:p>
      <w:pPr>
        <w:spacing w:after="6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CE4D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b/>
                <w:bCs/>
                <w:color w:val="C00000"/>
                <w:sz w:val="24"/>
                <w:szCs w:val="24"/>
              </w:rPr>
              <w:t xml:space="preserve">CRITÉRIOS DE EXCLUSÃO / CONTRAINDICAÇÕES ABSOLUTAS</w:t>
            </w:r>
          </w:p>
        </w:tc>
      </w:tr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CE4D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color w:val="404040"/>
                <w:sz w:val="22"/>
                <w:szCs w:val="22"/>
              </w:rPr>
              <w:t xml:space="preserve">• Infecção ativa ou crônica não controlada (TB ativa, HIV descontrolado, hepatite B ativa)</w:t>
            </w:r>
          </w:p>
        </w:tc>
      </w:tr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CE4D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color w:val="404040"/>
                <w:sz w:val="22"/>
                <w:szCs w:val="22"/>
              </w:rPr>
              <w:t xml:space="preserve">• Neoplasia maligna ativa ou nos últimos 5 anos (exceto CA basocelular tratado)</w:t>
            </w:r>
          </w:p>
        </w:tc>
      </w:tr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CE4D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color w:val="404040"/>
                <w:sz w:val="22"/>
                <w:szCs w:val="22"/>
              </w:rPr>
              <w:t xml:space="preserve">• Tromboembolismo venoso (TEV) recente ou risco alto de TEV — PREFERIR baricitinibe 2 mg ou deucravacitinibe</w:t>
            </w:r>
          </w:p>
        </w:tc>
      </w:tr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CE4D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color w:val="404040"/>
                <w:sz w:val="22"/>
                <w:szCs w:val="22"/>
              </w:rPr>
              <w:t xml:space="preserve">• MACE (infarto/AVC) recente ou SCORE cardiovascular muito elevado — avaliar com cardiologia</w:t>
            </w:r>
          </w:p>
        </w:tc>
      </w:tr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CE4D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color w:val="404040"/>
                <w:sz w:val="22"/>
                <w:szCs w:val="22"/>
              </w:rPr>
              <w:t xml:space="preserve">• Gravidez ou amamentação (categoria X — teratogênico em animais)</w:t>
            </w:r>
          </w:p>
        </w:tc>
      </w:tr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CE4D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color w:val="404040"/>
                <w:sz w:val="22"/>
                <w:szCs w:val="22"/>
              </w:rPr>
              <w:t xml:space="preserve">• Linfopenia grave: linfócitos &lt; 500/mm³</w:t>
            </w:r>
          </w:p>
        </w:tc>
      </w:tr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CE4D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color w:val="404040"/>
                <w:sz w:val="22"/>
                <w:szCs w:val="22"/>
              </w:rPr>
              <w:t xml:space="preserve">• Neutropenia grave: neutrófilos &lt; 500/mm³</w:t>
            </w:r>
          </w:p>
        </w:tc>
      </w:tr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CE4D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color w:val="404040"/>
                <w:sz w:val="22"/>
                <w:szCs w:val="22"/>
              </w:rPr>
              <w:t xml:space="preserve">• Hemoglobina &lt; 8 g/dL</w:t>
            </w:r>
          </w:p>
        </w:tc>
      </w:tr>
    </w:tbl>
    <w:p>
      <w:pPr>
        <w:spacing w:after="60" w:before="8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00" w:before="200"/>
      </w:pPr>
      <w:r>
        <w:rPr>
          <w:b/>
          <w:bCs/>
          <w:color w:val="2E75B6"/>
          <w:sz w:val="26"/>
          <w:szCs w:val="26"/>
        </w:rPr>
        <w:t xml:space="preserve">5.3 Fluxograma de Decisão — Exacerbação do LES</w:t>
      </w:r>
    </w:p>
    <w:p>
      <w:pPr>
        <w:spacing w:after="6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6360"/>
      </w:tblGrid>
      <w:tr>
        <w:tc>
          <w:tcPr>
            <w:tcW w:type="dxa" w:w="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Passo</w:t>
            </w:r>
          </w:p>
        </w:tc>
        <w:tc>
          <w:tcPr>
            <w:tcW w:type="dxa" w:w="2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Ação</w:t>
            </w:r>
          </w:p>
        </w:tc>
        <w:tc>
          <w:tcPr>
            <w:tcW w:type="dxa" w:w="6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Detalhe Prático</w:t>
            </w:r>
          </w:p>
        </w:tc>
      </w:tr>
      <w:tr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 w:before="50"/>
            </w:pPr>
            <w:r>
              <w:rPr>
                <w:color w:val="404040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 w:before="50"/>
            </w:pPr>
            <w:r>
              <w:rPr>
                <w:color w:val="404040"/>
                <w:sz w:val="20"/>
                <w:szCs w:val="20"/>
              </w:rPr>
              <w:t xml:space="preserve">Classificar gravidade da exacerbação</w:t>
            </w:r>
          </w:p>
        </w:tc>
        <w:tc>
          <w:tcPr>
            <w:tcW w:type="dxa" w:w="6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 w:before="50"/>
            </w:pPr>
            <w:r>
              <w:rPr>
                <w:color w:val="404040"/>
                <w:sz w:val="20"/>
                <w:szCs w:val="20"/>
              </w:rPr>
              <w:t xml:space="preserve">SLEDAI-2K: leve &lt;6 / moderada 6-12 / grave &gt;12
SLEDAI-GF: adicionar dano orgânico</w:t>
            </w:r>
          </w:p>
        </w:tc>
      </w:tr>
      <w:tr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 w:before="50"/>
            </w:pPr>
            <w:r>
              <w:rPr>
                <w:color w:val="404040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 w:before="50"/>
            </w:pPr>
            <w:r>
              <w:rPr>
                <w:color w:val="404040"/>
                <w:sz w:val="20"/>
                <w:szCs w:val="20"/>
              </w:rPr>
              <w:t xml:space="preserve">Excluir infecção concomitante</w:t>
            </w:r>
          </w:p>
        </w:tc>
        <w:tc>
          <w:tcPr>
            <w:tcW w:type="dxa" w:w="6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 w:before="50"/>
            </w:pPr>
            <w:r>
              <w:rPr>
                <w:color w:val="404040"/>
                <w:sz w:val="20"/>
                <w:szCs w:val="20"/>
              </w:rPr>
              <w:t xml:space="preserve">PCR, hemocultura, urina I/urocultura — IAL pode simular exacerbação!</w:t>
            </w:r>
          </w:p>
        </w:tc>
      </w:tr>
      <w:tr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 w:before="50"/>
            </w:pPr>
            <w:r>
              <w:rPr>
                <w:color w:val="404040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 w:before="50"/>
            </w:pPr>
            <w:r>
              <w:rPr>
                <w:color w:val="404040"/>
                <w:sz w:val="20"/>
                <w:szCs w:val="20"/>
              </w:rPr>
              <w:t xml:space="preserve">Otimizar terapia de base</w:t>
            </w:r>
          </w:p>
        </w:tc>
        <w:tc>
          <w:tcPr>
            <w:tcW w:type="dxa" w:w="6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 w:before="50"/>
            </w:pPr>
            <w:r>
              <w:rPr>
                <w:color w:val="404040"/>
                <w:sz w:val="20"/>
                <w:szCs w:val="20"/>
              </w:rPr>
              <w:t xml:space="preserve">HCQ 5 mg/kg/dia (máx 400 mg/dia) + corticoide dose adequada</w:t>
            </w:r>
          </w:p>
        </w:tc>
      </w:tr>
      <w:tr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 w:before="50"/>
            </w:pPr>
            <w:r>
              <w:rPr>
                <w:color w:val="404040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 w:before="50"/>
            </w:pPr>
            <w:r>
              <w:rPr>
                <w:color w:val="404040"/>
                <w:sz w:val="20"/>
                <w:szCs w:val="20"/>
              </w:rPr>
              <w:t xml:space="preserve">Falha após 4-12 semanas?</w:t>
            </w:r>
          </w:p>
        </w:tc>
        <w:tc>
          <w:tcPr>
            <w:tcW w:type="dxa" w:w="6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 w:before="50"/>
            </w:pPr>
            <w:r>
              <w:rPr>
                <w:color w:val="404040"/>
                <w:sz w:val="20"/>
                <w:szCs w:val="20"/>
              </w:rPr>
              <w:t xml:space="preserve">Considerar DMARD de 2ª linha: MMF 2-3g/dia, AZA 2-3 mg/kg/dia</w:t>
            </w:r>
          </w:p>
        </w:tc>
      </w:tr>
      <w:tr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 w:before="50"/>
            </w:pPr>
            <w:r>
              <w:rPr>
                <w:color w:val="404040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 w:before="50"/>
            </w:pPr>
            <w:r>
              <w:rPr>
                <w:color w:val="404040"/>
                <w:sz w:val="20"/>
                <w:szCs w:val="20"/>
              </w:rPr>
              <w:t xml:space="preserve">Falha a DMARD convencional ou contraindicação</w:t>
            </w:r>
          </w:p>
        </w:tc>
        <w:tc>
          <w:tcPr>
            <w:tcW w:type="dxa" w:w="6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 w:before="50"/>
            </w:pPr>
            <w:r>
              <w:rPr>
                <w:color w:val="404040"/>
                <w:sz w:val="20"/>
                <w:szCs w:val="20"/>
              </w:rPr>
              <w:t xml:space="preserve">INICIAR AVALIAÇÃO PARA BIOLÓGICOou JAKi</w:t>
            </w:r>
          </w:p>
        </w:tc>
      </w:tr>
      <w:tr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 w:before="50"/>
            </w:pPr>
            <w:r>
              <w:rPr>
                <w:color w:val="404040"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 w:before="50"/>
            </w:pPr>
            <w:r>
              <w:rPr>
                <w:color w:val="404040"/>
                <w:sz w:val="20"/>
                <w:szCs w:val="20"/>
              </w:rPr>
              <w:t xml:space="preserve">Critérios de elegibilidade para JAKi presentes?</w:t>
            </w:r>
          </w:p>
        </w:tc>
        <w:tc>
          <w:tcPr>
            <w:tcW w:type="dxa" w:w="6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 w:before="50"/>
            </w:pPr>
            <w:r>
              <w:rPr>
                <w:color w:val="404040"/>
                <w:sz w:val="20"/>
                <w:szCs w:val="20"/>
              </w:rPr>
              <w:t xml:space="preserve">Checar lista da seção 5.2</w:t>
            </w:r>
          </w:p>
        </w:tc>
      </w:tr>
      <w:tr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 w:before="50"/>
            </w:pPr>
            <w:r>
              <w:rPr>
                <w:color w:val="404040"/>
                <w:sz w:val="20"/>
                <w:szCs w:val="20"/>
              </w:rPr>
              <w:t xml:space="preserve">7</w:t>
            </w:r>
          </w:p>
        </w:tc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 w:before="50"/>
            </w:pPr>
            <w:r>
              <w:rPr>
                <w:color w:val="404040"/>
                <w:sz w:val="20"/>
                <w:szCs w:val="20"/>
              </w:rPr>
              <w:t xml:space="preserve">Iniciar JAKi conforme protocolo seção 6</w:t>
            </w:r>
          </w:p>
        </w:tc>
        <w:tc>
          <w:tcPr>
            <w:tcW w:type="dxa" w:w="6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 w:before="50"/>
            </w:pPr>
            <w:r>
              <w:rPr>
                <w:color w:val="404040"/>
                <w:sz w:val="20"/>
                <w:szCs w:val="20"/>
              </w:rPr>
              <w:t xml:space="preserve">Baricitinibe 4 mg 1x/dia como primeira opção</w:t>
            </w:r>
          </w:p>
        </w:tc>
      </w:tr>
      <w:tr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 w:before="50"/>
            </w:pPr>
            <w:r>
              <w:rPr>
                <w:color w:val="404040"/>
                <w:sz w:val="20"/>
                <w:szCs w:val="20"/>
              </w:rPr>
              <w:t xml:space="preserve">8</w:t>
            </w:r>
          </w:p>
        </w:tc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 w:before="50"/>
            </w:pPr>
            <w:r>
              <w:rPr>
                <w:color w:val="404040"/>
                <w:sz w:val="20"/>
                <w:szCs w:val="20"/>
              </w:rPr>
              <w:t xml:space="preserve">Reavaliação 12–24 semanas</w:t>
            </w:r>
          </w:p>
        </w:tc>
        <w:tc>
          <w:tcPr>
            <w:tcW w:type="dxa" w:w="6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 w:before="50"/>
            </w:pPr>
            <w:r>
              <w:rPr>
                <w:color w:val="404040"/>
                <w:sz w:val="20"/>
                <w:szCs w:val="20"/>
              </w:rPr>
              <w:t xml:space="preserve">Resposta: SLEDAI redução ≥50% OU remissão (SLEDAI ≤ 4)</w:t>
            </w:r>
          </w:p>
        </w:tc>
      </w:tr>
    </w:tbl>
    <w:p>
      <w:pPr>
        <w:spacing w:after="60" w:before="100"/>
      </w:pPr>
      <w:r>
        <w:t xml:space="preserve"/>
      </w:r>
    </w:p>
    <w:p>
      <w:pPr>
        <w:pStyle w:val="Heading1"/>
        <w:shd w:fill="1F4E79" w:val="clear"/>
        <w:spacing w:after="120" w:before="240"/>
        <w:ind w:left="120" w:right="120"/>
      </w:pPr>
      <w:r>
        <w:rPr>
          <w:b/>
          <w:bCs/>
          <w:color w:val="FFFFFF"/>
          <w:sz w:val="28"/>
          <w:szCs w:val="28"/>
        </w:rPr>
        <w:t xml:space="preserve">6. PROTOCOLO — COMO USAR: SELEÇÃO, DOSE E MONITORIZAÇÃO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00" w:before="200"/>
      </w:pPr>
      <w:r>
        <w:rPr>
          <w:b/>
          <w:bCs/>
          <w:color w:val="2E75B6"/>
          <w:sz w:val="26"/>
          <w:szCs w:val="26"/>
        </w:rPr>
        <w:t xml:space="preserve">6.1 Seleção do Fármaco por Perfil do Paciente</w:t>
      </w:r>
    </w:p>
    <w:p>
      <w:pPr>
        <w:spacing w:after="6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160"/>
        <w:gridCol w:w="4600"/>
      </w:tblGrid>
      <w:tr>
        <w:tc>
          <w:tcPr>
            <w:tcW w:type="dxa" w:w="2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Perfil do Paciente</w:t>
            </w:r>
          </w:p>
        </w:tc>
        <w:tc>
          <w:tcPr>
            <w:tcW w:type="dxa" w:w="21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JAKi Preferencial</w:t>
            </w:r>
          </w:p>
        </w:tc>
        <w:tc>
          <w:tcPr>
            <w:tcW w:type="dxa" w:w="4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Justificativa</w:t>
            </w:r>
          </w:p>
        </w:tc>
      </w:tr>
      <w:tr>
        <w:tc>
          <w:tcPr>
            <w:tcW w:type="dxa" w:w="2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 w:before="50"/>
            </w:pPr>
            <w:r>
              <w:rPr>
                <w:color w:val="404040"/>
                <w:sz w:val="20"/>
                <w:szCs w:val="20"/>
              </w:rPr>
              <w:t xml:space="preserve">LES moderado-grave, padrão geral</w:t>
            </w:r>
          </w:p>
        </w:tc>
        <w:tc>
          <w:tcPr>
            <w:tcW w:type="dxa" w:w="2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 w:before="50"/>
            </w:pPr>
            <w:r>
              <w:rPr>
                <w:color w:val="404040"/>
                <w:sz w:val="20"/>
                <w:szCs w:val="20"/>
              </w:rPr>
              <w:t xml:space="preserve">Baricitinibe 4 mg/dia</w:t>
            </w:r>
          </w:p>
        </w:tc>
        <w:tc>
          <w:tcPr>
            <w:tcW w:type="dxa" w:w="4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 w:before="50"/>
            </w:pPr>
            <w:r>
              <w:rPr>
                <w:color w:val="404040"/>
                <w:sz w:val="20"/>
                <w:szCs w:val="20"/>
              </w:rPr>
              <w:t xml:space="preserve">Maior evidência — fase III (BRAVE-I)</w:t>
            </w:r>
          </w:p>
        </w:tc>
      </w:tr>
      <w:tr>
        <w:tc>
          <w:tcPr>
            <w:tcW w:type="dxa" w:w="2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 w:before="50"/>
            </w:pPr>
            <w:r>
              <w:rPr>
                <w:color w:val="404040"/>
                <w:sz w:val="20"/>
                <w:szCs w:val="20"/>
              </w:rPr>
              <w:t xml:space="preserve">Manifestação cutânea predominante</w:t>
            </w:r>
          </w:p>
        </w:tc>
        <w:tc>
          <w:tcPr>
            <w:tcW w:type="dxa" w:w="2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 w:before="50"/>
            </w:pPr>
            <w:r>
              <w:rPr>
                <w:color w:val="404040"/>
                <w:sz w:val="20"/>
                <w:szCs w:val="20"/>
              </w:rPr>
              <w:t xml:space="preserve">Deucravacitinibe 6 mg/dia</w:t>
            </w:r>
          </w:p>
        </w:tc>
        <w:tc>
          <w:tcPr>
            <w:tcW w:type="dxa" w:w="4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 w:before="50"/>
            </w:pPr>
            <w:r>
              <w:rPr>
                <w:color w:val="404040"/>
                <w:sz w:val="20"/>
                <w:szCs w:val="20"/>
              </w:rPr>
              <w:t xml:space="preserve">TYK2 = IFN tipo I — lógica para LCD/LESCC</w:t>
            </w:r>
          </w:p>
        </w:tc>
      </w:tr>
      <w:tr>
        <w:tc>
          <w:tcPr>
            <w:tcW w:type="dxa" w:w="2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 w:before="50"/>
            </w:pPr>
            <w:r>
              <w:rPr>
                <w:color w:val="404040"/>
                <w:sz w:val="20"/>
                <w:szCs w:val="20"/>
              </w:rPr>
              <w:t xml:space="preserve">Risco alto de TEV (obesidade, SAAF positivo)</w:t>
            </w:r>
          </w:p>
        </w:tc>
        <w:tc>
          <w:tcPr>
            <w:tcW w:type="dxa" w:w="2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 w:before="50"/>
            </w:pPr>
            <w:r>
              <w:rPr>
                <w:color w:val="404040"/>
                <w:sz w:val="20"/>
                <w:szCs w:val="20"/>
              </w:rPr>
              <w:t xml:space="preserve">Deucravacitinibe (sem risco TEV) ou baricitinibe 2 mg</w:t>
            </w:r>
          </w:p>
        </w:tc>
        <w:tc>
          <w:tcPr>
            <w:tcW w:type="dxa" w:w="4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 w:before="50"/>
            </w:pPr>
            <w:r>
              <w:rPr>
                <w:color w:val="404040"/>
                <w:sz w:val="20"/>
                <w:szCs w:val="20"/>
              </w:rPr>
              <w:t xml:space="preserve">Evitar JAK1/JAK2 em dose plena se SAAF+</w:t>
            </w:r>
          </w:p>
        </w:tc>
      </w:tr>
      <w:tr>
        <w:tc>
          <w:tcPr>
            <w:tcW w:type="dxa" w:w="2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 w:before="50"/>
            </w:pPr>
            <w:r>
              <w:rPr>
                <w:color w:val="404040"/>
                <w:sz w:val="20"/>
                <w:szCs w:val="20"/>
              </w:rPr>
              <w:t xml:space="preserve">DRC moderada (eTFG 30-60)</w:t>
            </w:r>
          </w:p>
        </w:tc>
        <w:tc>
          <w:tcPr>
            <w:tcW w:type="dxa" w:w="2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 w:before="50"/>
            </w:pPr>
            <w:r>
              <w:rPr>
                <w:color w:val="404040"/>
                <w:sz w:val="20"/>
                <w:szCs w:val="20"/>
              </w:rPr>
              <w:t xml:space="preserve">Baricitinibe 1-2 mg/dia + monitorar creatinina</w:t>
            </w:r>
          </w:p>
        </w:tc>
        <w:tc>
          <w:tcPr>
            <w:tcW w:type="dxa" w:w="4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 w:before="50"/>
            </w:pPr>
            <w:r>
              <w:rPr>
                <w:color w:val="404040"/>
                <w:sz w:val="20"/>
                <w:szCs w:val="20"/>
              </w:rPr>
              <w:t xml:space="preserve">Reduzir dose; evitar tofacitinibe</w:t>
            </w:r>
          </w:p>
        </w:tc>
      </w:tr>
      <w:tr>
        <w:tc>
          <w:tcPr>
            <w:tcW w:type="dxa" w:w="2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 w:before="50"/>
            </w:pPr>
            <w:r>
              <w:rPr>
                <w:color w:val="404040"/>
                <w:sz w:val="20"/>
                <w:szCs w:val="20"/>
              </w:rPr>
              <w:t xml:space="preserve">LES + psoríase ou manifestação TH17</w:t>
            </w:r>
          </w:p>
        </w:tc>
        <w:tc>
          <w:tcPr>
            <w:tcW w:type="dxa" w:w="2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 w:before="50"/>
            </w:pPr>
            <w:r>
              <w:rPr>
                <w:color w:val="404040"/>
                <w:sz w:val="20"/>
                <w:szCs w:val="20"/>
              </w:rPr>
              <w:t xml:space="preserve">Deucravacitinibe 6 mg ou upadacitinibe</w:t>
            </w:r>
          </w:p>
        </w:tc>
        <w:tc>
          <w:tcPr>
            <w:tcW w:type="dxa" w:w="4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 w:before="50"/>
            </w:pPr>
            <w:r>
              <w:rPr>
                <w:color w:val="404040"/>
                <w:sz w:val="20"/>
                <w:szCs w:val="20"/>
              </w:rPr>
              <w:t xml:space="preserve">TYK2 cobre IL-23/TH17</w:t>
            </w:r>
          </w:p>
        </w:tc>
      </w:tr>
      <w:tr>
        <w:tc>
          <w:tcPr>
            <w:tcW w:type="dxa" w:w="2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 w:before="50"/>
            </w:pPr>
            <w:r>
              <w:rPr>
                <w:color w:val="404040"/>
                <w:sz w:val="20"/>
                <w:szCs w:val="20"/>
              </w:rPr>
              <w:t xml:space="preserve">Refratário a biologico (belimumabe/anifrolumabe)</w:t>
            </w:r>
          </w:p>
        </w:tc>
        <w:tc>
          <w:tcPr>
            <w:tcW w:type="dxa" w:w="2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 w:before="50"/>
            </w:pPr>
            <w:r>
              <w:rPr>
                <w:color w:val="404040"/>
                <w:sz w:val="20"/>
                <w:szCs w:val="20"/>
              </w:rPr>
              <w:t xml:space="preserve">Baricitinibe 4 mg ou upadacitinibe 15-30 mg</w:t>
            </w:r>
          </w:p>
        </w:tc>
        <w:tc>
          <w:tcPr>
            <w:tcW w:type="dxa" w:w="4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 w:before="50"/>
            </w:pPr>
            <w:r>
              <w:rPr>
                <w:color w:val="404040"/>
                <w:sz w:val="20"/>
                <w:szCs w:val="20"/>
              </w:rPr>
              <w:t xml:space="preserve">Mecanismo diferente — não cruzado</w:t>
            </w:r>
          </w:p>
        </w:tc>
      </w:tr>
      <w:tr>
        <w:tc>
          <w:tcPr>
            <w:tcW w:type="dxa" w:w="2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 w:before="50"/>
            </w:pPr>
            <w:r>
              <w:rPr>
                <w:color w:val="404040"/>
                <w:sz w:val="20"/>
                <w:szCs w:val="20"/>
              </w:rPr>
              <w:t xml:space="preserve">Citopenias imunes (PTI/AHAI)</w:t>
            </w:r>
          </w:p>
        </w:tc>
        <w:tc>
          <w:tcPr>
            <w:tcW w:type="dxa" w:w="2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 w:before="50"/>
            </w:pPr>
            <w:r>
              <w:rPr>
                <w:color w:val="404040"/>
                <w:sz w:val="20"/>
                <w:szCs w:val="20"/>
              </w:rPr>
              <w:t xml:space="preserve">Baricitinibe 4 mg</w:t>
            </w:r>
          </w:p>
        </w:tc>
        <w:tc>
          <w:tcPr>
            <w:tcW w:type="dxa" w:w="4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 w:before="50"/>
            </w:pPr>
            <w:r>
              <w:rPr>
                <w:color w:val="404040"/>
                <w:sz w:val="20"/>
                <w:szCs w:val="20"/>
              </w:rPr>
              <w:t xml:space="preserve">Maior evidência para hemato</w:t>
            </w:r>
          </w:p>
        </w:tc>
      </w:tr>
    </w:tbl>
    <w:p>
      <w:pPr>
        <w:spacing w:after="60" w:before="8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00" w:before="200"/>
      </w:pPr>
      <w:r>
        <w:rPr>
          <w:b/>
          <w:bCs/>
          <w:color w:val="2E75B6"/>
          <w:sz w:val="26"/>
          <w:szCs w:val="26"/>
        </w:rPr>
        <w:t xml:space="preserve">6.2 Protocolo de Início — Passo a Passo</w:t>
      </w:r>
    </w:p>
    <w:p>
      <w:pPr>
        <w:spacing w:after="60" w:before="40"/>
      </w:pPr>
      <w:r>
        <w:t xml:space="preserve"/>
      </w:r>
    </w:p>
    <w:p>
      <w:pPr>
        <w:pStyle w:val="Heading3"/>
        <w:spacing w:after="80" w:before="160"/>
      </w:pPr>
      <w:r>
        <w:rPr>
          <w:b/>
          <w:bCs/>
          <w:color w:val="404040"/>
          <w:sz w:val="24"/>
          <w:szCs w:val="24"/>
        </w:rPr>
        <w:t xml:space="preserve">PASSO 1 — Exames Pré-Tratamento (Baseline)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360"/>
        <w:gridCol w:w="3600"/>
      </w:tblGrid>
      <w:tr>
        <w:tc>
          <w:tcPr>
            <w:tcW w:type="dxa" w:w="2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Exame</w:t>
            </w:r>
          </w:p>
        </w:tc>
        <w:tc>
          <w:tcPr>
            <w:tcW w:type="dxa" w:w="3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Propósito</w:t>
            </w:r>
          </w:p>
        </w:tc>
        <w:tc>
          <w:tcPr>
            <w:tcW w:type="dxa" w:w="3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Periodicidade após início</w:t>
            </w:r>
          </w:p>
        </w:tc>
      </w:tr>
      <w:tr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 w:before="50"/>
            </w:pPr>
            <w:r>
              <w:rPr>
                <w:color w:val="404040"/>
                <w:sz w:val="20"/>
                <w:szCs w:val="20"/>
              </w:rPr>
              <w:t xml:space="preserve">Hemograma completo</w:t>
            </w:r>
          </w:p>
        </w:tc>
        <w:tc>
          <w:tcPr>
            <w:tcW w:type="dxa" w:w="3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 w:before="50"/>
            </w:pPr>
            <w:r>
              <w:rPr>
                <w:color w:val="404040"/>
                <w:sz w:val="20"/>
                <w:szCs w:val="20"/>
              </w:rPr>
              <w:t xml:space="preserve">Excluir citopenias basais</w:t>
            </w:r>
          </w:p>
        </w:tc>
        <w:tc>
          <w:tcPr>
            <w:tcW w:type="dxa" w:w="3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 w:before="50"/>
            </w:pPr>
            <w:r>
              <w:rPr>
                <w:color w:val="404040"/>
                <w:sz w:val="20"/>
                <w:szCs w:val="20"/>
              </w:rPr>
              <w:t xml:space="preserve">Meses 1, 3, 6 e semestral</w:t>
            </w:r>
          </w:p>
        </w:tc>
      </w:tr>
      <w:tr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 w:before="50"/>
            </w:pPr>
            <w:r>
              <w:rPr>
                <w:color w:val="404040"/>
                <w:sz w:val="20"/>
                <w:szCs w:val="20"/>
              </w:rPr>
              <w:t xml:space="preserve">Creatinina + eTFG (CKD-EPI)</w:t>
            </w:r>
          </w:p>
        </w:tc>
        <w:tc>
          <w:tcPr>
            <w:tcW w:type="dxa" w:w="3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 w:before="50"/>
            </w:pPr>
            <w:r>
              <w:rPr>
                <w:color w:val="404040"/>
                <w:sz w:val="20"/>
                <w:szCs w:val="20"/>
              </w:rPr>
              <w:t xml:space="preserve">Ajuste de dose (renal)</w:t>
            </w:r>
          </w:p>
        </w:tc>
        <w:tc>
          <w:tcPr>
            <w:tcW w:type="dxa" w:w="3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 w:before="50"/>
            </w:pPr>
            <w:r>
              <w:rPr>
                <w:color w:val="404040"/>
                <w:sz w:val="20"/>
                <w:szCs w:val="20"/>
              </w:rPr>
              <w:t xml:space="preserve">Trimestral</w:t>
            </w:r>
          </w:p>
        </w:tc>
      </w:tr>
      <w:tr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 w:before="50"/>
            </w:pPr>
            <w:r>
              <w:rPr>
                <w:color w:val="404040"/>
                <w:sz w:val="20"/>
                <w:szCs w:val="20"/>
              </w:rPr>
              <w:t xml:space="preserve">ALT/AST + bilirrubinas</w:t>
            </w:r>
          </w:p>
        </w:tc>
        <w:tc>
          <w:tcPr>
            <w:tcW w:type="dxa" w:w="3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 w:before="50"/>
            </w:pPr>
            <w:r>
              <w:rPr>
                <w:color w:val="404040"/>
                <w:sz w:val="20"/>
                <w:szCs w:val="20"/>
              </w:rPr>
              <w:t xml:space="preserve">Função hepática basal</w:t>
            </w:r>
          </w:p>
        </w:tc>
        <w:tc>
          <w:tcPr>
            <w:tcW w:type="dxa" w:w="3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 w:before="50"/>
            </w:pPr>
            <w:r>
              <w:rPr>
                <w:color w:val="404040"/>
                <w:sz w:val="20"/>
                <w:szCs w:val="20"/>
              </w:rPr>
              <w:t xml:space="preserve">Trimestral</w:t>
            </w:r>
          </w:p>
        </w:tc>
      </w:tr>
      <w:tr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 w:before="50"/>
            </w:pPr>
            <w:r>
              <w:rPr>
                <w:color w:val="404040"/>
                <w:sz w:val="20"/>
                <w:szCs w:val="20"/>
              </w:rPr>
              <w:t xml:space="preserve">Lipídios (CT, LDL, TG)</w:t>
            </w:r>
          </w:p>
        </w:tc>
        <w:tc>
          <w:tcPr>
            <w:tcW w:type="dxa" w:w="3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 w:before="50"/>
            </w:pPr>
            <w:r>
              <w:rPr>
                <w:color w:val="404040"/>
                <w:sz w:val="20"/>
                <w:szCs w:val="20"/>
              </w:rPr>
              <w:t xml:space="preserve">Baseline cardiovascular — JAKi elevam LDL</w:t>
            </w:r>
          </w:p>
        </w:tc>
        <w:tc>
          <w:tcPr>
            <w:tcW w:type="dxa" w:w="3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 w:before="50"/>
            </w:pPr>
            <w:r>
              <w:rPr>
                <w:color w:val="404040"/>
                <w:sz w:val="20"/>
                <w:szCs w:val="20"/>
              </w:rPr>
              <w:t xml:space="preserve">6 meses</w:t>
            </w:r>
          </w:p>
        </w:tc>
      </w:tr>
      <w:tr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 w:before="50"/>
            </w:pPr>
            <w:r>
              <w:rPr>
                <w:color w:val="404040"/>
                <w:sz w:val="20"/>
                <w:szCs w:val="20"/>
              </w:rPr>
              <w:t xml:space="preserve">PPD ou IGRA (QuantiFERON)</w:t>
            </w:r>
          </w:p>
        </w:tc>
        <w:tc>
          <w:tcPr>
            <w:tcW w:type="dxa" w:w="3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 w:before="50"/>
            </w:pPr>
            <w:r>
              <w:rPr>
                <w:color w:val="404040"/>
                <w:sz w:val="20"/>
                <w:szCs w:val="20"/>
              </w:rPr>
              <w:t xml:space="preserve">Rastreio TB latente</w:t>
            </w:r>
          </w:p>
        </w:tc>
        <w:tc>
          <w:tcPr>
            <w:tcW w:type="dxa" w:w="3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 w:before="50"/>
            </w:pPr>
            <w:r>
              <w:rPr>
                <w:color w:val="404040"/>
                <w:sz w:val="20"/>
                <w:szCs w:val="20"/>
              </w:rPr>
              <w:t xml:space="preserve">Anual se negativo inicial</w:t>
            </w:r>
          </w:p>
        </w:tc>
      </w:tr>
      <w:tr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 w:before="50"/>
            </w:pPr>
            <w:r>
              <w:rPr>
                <w:color w:val="404040"/>
                <w:sz w:val="20"/>
                <w:szCs w:val="20"/>
              </w:rPr>
              <w:t xml:space="preserve">RX tórax</w:t>
            </w:r>
          </w:p>
        </w:tc>
        <w:tc>
          <w:tcPr>
            <w:tcW w:type="dxa" w:w="3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 w:before="50"/>
            </w:pPr>
            <w:r>
              <w:rPr>
                <w:color w:val="404040"/>
                <w:sz w:val="20"/>
                <w:szCs w:val="20"/>
              </w:rPr>
              <w:t xml:space="preserve">TB + baseline pulmonar</w:t>
            </w:r>
          </w:p>
        </w:tc>
        <w:tc>
          <w:tcPr>
            <w:tcW w:type="dxa" w:w="3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 w:before="50"/>
            </w:pPr>
            <w:r>
              <w:rPr>
                <w:color w:val="404040"/>
                <w:sz w:val="20"/>
                <w:szCs w:val="20"/>
              </w:rPr>
              <w:t xml:space="preserve">Anual ou se sintomas</w:t>
            </w:r>
          </w:p>
        </w:tc>
      </w:tr>
      <w:tr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 w:before="50"/>
            </w:pPr>
            <w:r>
              <w:rPr>
                <w:color w:val="404040"/>
                <w:sz w:val="20"/>
                <w:szCs w:val="20"/>
              </w:rPr>
              <w:t xml:space="preserve">VHB: HBsAg, Anti-HBc, Anti-HBs</w:t>
            </w:r>
          </w:p>
        </w:tc>
        <w:tc>
          <w:tcPr>
            <w:tcW w:type="dxa" w:w="3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 w:before="50"/>
            </w:pPr>
            <w:r>
              <w:rPr>
                <w:color w:val="404040"/>
                <w:sz w:val="20"/>
                <w:szCs w:val="20"/>
              </w:rPr>
              <w:t xml:space="preserve">Risco reativação VHB</w:t>
            </w:r>
          </w:p>
        </w:tc>
        <w:tc>
          <w:tcPr>
            <w:tcW w:type="dxa" w:w="3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 w:before="50"/>
            </w:pPr>
            <w:r>
              <w:rPr>
                <w:color w:val="404040"/>
                <w:sz w:val="20"/>
                <w:szCs w:val="20"/>
              </w:rPr>
              <w:t xml:space="preserve">Sorologia basal; se HBsAg+ consultar hepatologia</w:t>
            </w:r>
          </w:p>
        </w:tc>
      </w:tr>
      <w:tr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 w:before="50"/>
            </w:pPr>
            <w:r>
              <w:rPr>
                <w:color w:val="404040"/>
                <w:sz w:val="20"/>
                <w:szCs w:val="20"/>
              </w:rPr>
              <w:t xml:space="preserve">VHC: Anti-HCV</w:t>
            </w:r>
          </w:p>
        </w:tc>
        <w:tc>
          <w:tcPr>
            <w:tcW w:type="dxa" w:w="3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 w:before="50"/>
            </w:pPr>
            <w:r>
              <w:rPr>
                <w:color w:val="404040"/>
                <w:sz w:val="20"/>
                <w:szCs w:val="20"/>
              </w:rPr>
              <w:t xml:space="preserve">Baseline</w:t>
            </w:r>
          </w:p>
        </w:tc>
        <w:tc>
          <w:tcPr>
            <w:tcW w:type="dxa" w:w="3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 w:before="50"/>
            </w:pPr>
            <w:r>
              <w:rPr>
                <w:color w:val="404040"/>
                <w:sz w:val="20"/>
                <w:szCs w:val="20"/>
              </w:rPr>
              <w:t xml:space="preserve">Basal</w:t>
            </w:r>
          </w:p>
        </w:tc>
      </w:tr>
      <w:tr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 w:before="50"/>
            </w:pPr>
            <w:r>
              <w:rPr>
                <w:color w:val="404040"/>
                <w:sz w:val="20"/>
                <w:szCs w:val="20"/>
              </w:rPr>
              <w:t xml:space="preserve">HIV combo (Ag/Ac)</w:t>
            </w:r>
          </w:p>
        </w:tc>
        <w:tc>
          <w:tcPr>
            <w:tcW w:type="dxa" w:w="3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 w:before="50"/>
            </w:pPr>
            <w:r>
              <w:rPr>
                <w:color w:val="404040"/>
                <w:sz w:val="20"/>
                <w:szCs w:val="20"/>
              </w:rPr>
              <w:t xml:space="preserve">Baseline</w:t>
            </w:r>
          </w:p>
        </w:tc>
        <w:tc>
          <w:tcPr>
            <w:tcW w:type="dxa" w:w="3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 w:before="50"/>
            </w:pPr>
            <w:r>
              <w:rPr>
                <w:color w:val="404040"/>
                <w:sz w:val="20"/>
                <w:szCs w:val="20"/>
              </w:rPr>
              <w:t xml:space="preserve">Basal (ou se risco)</w:t>
            </w:r>
          </w:p>
        </w:tc>
      </w:tr>
      <w:tr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 w:before="50"/>
            </w:pPr>
            <w:r>
              <w:rPr>
                <w:color w:val="404040"/>
                <w:sz w:val="20"/>
                <w:szCs w:val="20"/>
              </w:rPr>
              <w:t xml:space="preserve">SLEDAI-2K + PGA</w:t>
            </w:r>
          </w:p>
        </w:tc>
        <w:tc>
          <w:tcPr>
            <w:tcW w:type="dxa" w:w="3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 w:before="50"/>
            </w:pPr>
            <w:r>
              <w:rPr>
                <w:color w:val="404040"/>
                <w:sz w:val="20"/>
                <w:szCs w:val="20"/>
              </w:rPr>
              <w:t xml:space="preserve">Atividade basal documentada</w:t>
            </w:r>
          </w:p>
        </w:tc>
        <w:tc>
          <w:tcPr>
            <w:tcW w:type="dxa" w:w="3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 w:before="50"/>
            </w:pPr>
            <w:r>
              <w:rPr>
                <w:color w:val="404040"/>
                <w:sz w:val="20"/>
                <w:szCs w:val="20"/>
              </w:rPr>
              <w:t xml:space="preserve">A cada consulta</w:t>
            </w:r>
          </w:p>
        </w:tc>
      </w:tr>
      <w:tr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 w:before="50"/>
            </w:pPr>
            <w:r>
              <w:rPr>
                <w:color w:val="404040"/>
                <w:sz w:val="20"/>
                <w:szCs w:val="20"/>
              </w:rPr>
              <w:t xml:space="preserve">Anti-dsDNA + complemento (C3/C4)</w:t>
            </w:r>
          </w:p>
        </w:tc>
        <w:tc>
          <w:tcPr>
            <w:tcW w:type="dxa" w:w="3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 w:before="50"/>
            </w:pPr>
            <w:r>
              <w:rPr>
                <w:color w:val="404040"/>
                <w:sz w:val="20"/>
                <w:szCs w:val="20"/>
              </w:rPr>
              <w:t xml:space="preserve">Biomarcadores de atividade</w:t>
            </w:r>
          </w:p>
        </w:tc>
        <w:tc>
          <w:tcPr>
            <w:tcW w:type="dxa" w:w="3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 w:before="50"/>
            </w:pPr>
            <w:r>
              <w:rPr>
                <w:color w:val="404040"/>
                <w:sz w:val="20"/>
                <w:szCs w:val="20"/>
              </w:rPr>
              <w:t xml:space="preserve">A cada 3 meses</w:t>
            </w:r>
          </w:p>
        </w:tc>
      </w:tr>
      <w:tr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 w:before="50"/>
            </w:pPr>
            <w:r>
              <w:rPr>
                <w:color w:val="404040"/>
                <w:sz w:val="20"/>
                <w:szCs w:val="20"/>
              </w:rPr>
              <w:t xml:space="preserve">Proteinúria 24h ou RAC (albumina/creatinina)</w:t>
            </w:r>
          </w:p>
        </w:tc>
        <w:tc>
          <w:tcPr>
            <w:tcW w:type="dxa" w:w="3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 w:before="50"/>
            </w:pPr>
            <w:r>
              <w:rPr>
                <w:color w:val="404040"/>
                <w:sz w:val="20"/>
                <w:szCs w:val="20"/>
              </w:rPr>
              <w:t xml:space="preserve">Basal renal</w:t>
            </w:r>
          </w:p>
        </w:tc>
        <w:tc>
          <w:tcPr>
            <w:tcW w:type="dxa" w:w="3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 w:before="50"/>
            </w:pPr>
            <w:r>
              <w:rPr>
                <w:color w:val="404040"/>
                <w:sz w:val="20"/>
                <w:szCs w:val="20"/>
              </w:rPr>
              <w:t xml:space="preserve">Trimestral se NL ativa</w:t>
            </w:r>
          </w:p>
        </w:tc>
      </w:tr>
    </w:tbl>
    <w:p>
      <w:pPr>
        <w:spacing w:after="60" w:before="80"/>
      </w:pPr>
      <w:r>
        <w:t xml:space="preserve"/>
      </w:r>
    </w:p>
    <w:p>
      <w:pPr>
        <w:pStyle w:val="Heading3"/>
        <w:spacing w:after="80" w:before="160"/>
      </w:pPr>
      <w:r>
        <w:rPr>
          <w:b/>
          <w:bCs/>
          <w:color w:val="404040"/>
          <w:sz w:val="24"/>
          <w:szCs w:val="24"/>
        </w:rPr>
        <w:t xml:space="preserve">PASSO 2 — Vacinação Obrigatória ANTES de Iniciar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b/>
                <w:bCs/>
                <w:color w:val="BF8F00"/>
                <w:sz w:val="24"/>
                <w:szCs w:val="24"/>
              </w:rPr>
              <w:t xml:space="preserve">VACINAS — REALIZAR ANTES DE INICIAR JAKi (MÍNIMO 2–4 SEMANAS ANTES)</w:t>
            </w:r>
          </w:p>
        </w:tc>
      </w:tr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color w:val="404040"/>
                <w:sz w:val="22"/>
                <w:szCs w:val="22"/>
              </w:rPr>
              <w:t xml:space="preserve">• Influenza inativada — dose anual (vacina viva recombinante: evitar durante JAKi)</w:t>
            </w:r>
          </w:p>
        </w:tc>
      </w:tr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color w:val="404040"/>
                <w:sz w:val="22"/>
                <w:szCs w:val="22"/>
              </w:rPr>
              <w:t xml:space="preserve">• Pneumococo: PCV20 ou PCV15 seguido de PPSV23 (4 semanas depois)</w:t>
            </w:r>
          </w:p>
        </w:tc>
      </w:tr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color w:val="404040"/>
                <w:sz w:val="22"/>
                <w:szCs w:val="22"/>
              </w:rPr>
              <w:t xml:space="preserve">• Herpes zoster RECOMBINANTE (Shingrix 2 doses) — vacina VIVA (ZVL) é CONTRAINDICADA durante JAKi</w:t>
            </w:r>
          </w:p>
        </w:tc>
      </w:tr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color w:val="404040"/>
                <w:sz w:val="22"/>
                <w:szCs w:val="22"/>
              </w:rPr>
              <w:t xml:space="preserve">• Hepatite B — verificar título e completar esquema se Anti-HBs &lt; 10 UI/L</w:t>
            </w:r>
          </w:p>
        </w:tc>
      </w:tr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color w:val="404040"/>
                <w:sz w:val="22"/>
                <w:szCs w:val="22"/>
              </w:rPr>
              <w:t xml:space="preserve">• COVID-19 — vacina mRNA atualizada (ciclo completo antes se possível)</w:t>
            </w:r>
          </w:p>
        </w:tc>
      </w:tr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color w:val="404040"/>
                <w:sz w:val="22"/>
                <w:szCs w:val="22"/>
              </w:rPr>
              <w:t xml:space="preserve">• dTpa — dose de reforço se &gt;10 anos da última dose</w:t>
            </w:r>
          </w:p>
        </w:tc>
      </w:tr>
    </w:tbl>
    <w:p>
      <w:pPr>
        <w:spacing w:after="60" w:before="80"/>
      </w:pPr>
      <w:r>
        <w:t xml:space="preserve"/>
      </w:r>
    </w:p>
    <w:p>
      <w:pPr>
        <w:pStyle w:val="Heading3"/>
        <w:spacing w:after="80" w:before="160"/>
      </w:pPr>
      <w:r>
        <w:rPr>
          <w:b/>
          <w:bCs/>
          <w:color w:val="404040"/>
          <w:sz w:val="24"/>
          <w:szCs w:val="24"/>
        </w:rPr>
        <w:t xml:space="preserve">PASSO 3 — Doses Recomendadas</w:t>
      </w:r>
    </w:p>
    <w:p>
      <w:pPr>
        <w:spacing w:after="6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40"/>
        <w:gridCol w:w="1800"/>
        <w:gridCol w:w="2040"/>
        <w:gridCol w:w="1800"/>
        <w:gridCol w:w="1680"/>
      </w:tblGrid>
      <w:tr>
        <w:tc>
          <w:tcPr>
            <w:tcW w:type="dxa" w:w="204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Fármaco</w:t>
            </w:r>
          </w:p>
        </w:tc>
        <w:tc>
          <w:tcPr>
            <w:tcW w:type="dxa" w:w="1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Dose Inicial</w:t>
            </w:r>
          </w:p>
        </w:tc>
        <w:tc>
          <w:tcPr>
            <w:tcW w:type="dxa" w:w="204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Dose Manutenção</w:t>
            </w:r>
          </w:p>
        </w:tc>
        <w:tc>
          <w:tcPr>
            <w:tcW w:type="dxa" w:w="1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Dose DRC (eTFG 30-60)</w:t>
            </w:r>
          </w:p>
        </w:tc>
        <w:tc>
          <w:tcPr>
            <w:tcW w:type="dxa" w:w="16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Dose DRC &lt; 30</w:t>
            </w:r>
          </w:p>
        </w:tc>
      </w:tr>
      <w:tr>
        <w:tc>
          <w:tcPr>
            <w:tcW w:type="dxa" w:w="204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 w:before="50"/>
            </w:pPr>
            <w:r>
              <w:rPr>
                <w:color w:val="404040"/>
                <w:sz w:val="20"/>
                <w:szCs w:val="20"/>
              </w:rPr>
              <w:t xml:space="preserve">Baricitinibe</w:t>
            </w:r>
          </w:p>
        </w:tc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 w:before="50"/>
            </w:pPr>
            <w:r>
              <w:rPr>
                <w:color w:val="404040"/>
                <w:sz w:val="20"/>
                <w:szCs w:val="20"/>
              </w:rPr>
              <w:t xml:space="preserve">2 mg/dia — 1ª semana</w:t>
            </w:r>
          </w:p>
        </w:tc>
        <w:tc>
          <w:tcPr>
            <w:tcW w:type="dxa" w:w="204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 w:before="50"/>
            </w:pPr>
            <w:r>
              <w:rPr>
                <w:color w:val="404040"/>
                <w:sz w:val="20"/>
                <w:szCs w:val="20"/>
              </w:rPr>
              <w:t xml:space="preserve">4 mg/dia (LES ativo)</w:t>
            </w:r>
          </w:p>
        </w:tc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 w:before="50"/>
            </w:pPr>
            <w:r>
              <w:rPr>
                <w:color w:val="404040"/>
                <w:sz w:val="20"/>
                <w:szCs w:val="20"/>
              </w:rPr>
              <w:t xml:space="preserve">2 mg/dia</w:t>
            </w:r>
          </w:p>
        </w:tc>
        <w:tc>
          <w:tcPr>
            <w:tcW w:type="dxa" w:w="16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 w:before="50"/>
            </w:pPr>
            <w:r>
              <w:rPr>
                <w:color w:val="404040"/>
                <w:sz w:val="20"/>
                <w:szCs w:val="20"/>
              </w:rPr>
              <w:t xml:space="preserve">Contraindicado</w:t>
            </w:r>
          </w:p>
        </w:tc>
      </w:tr>
      <w:tr>
        <w:tc>
          <w:tcPr>
            <w:tcW w:type="dxa" w:w="204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 w:before="50"/>
            </w:pPr>
            <w:r>
              <w:rPr>
                <w:color w:val="404040"/>
                <w:sz w:val="20"/>
                <w:szCs w:val="20"/>
              </w:rPr>
              <w:t xml:space="preserve">Tofacitinibe</w:t>
            </w:r>
          </w:p>
        </w:tc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 w:before="50"/>
            </w:pPr>
            <w:r>
              <w:rPr>
                <w:color w:val="404040"/>
                <w:sz w:val="20"/>
                <w:szCs w:val="20"/>
              </w:rPr>
              <w:t xml:space="preserve">5 mg 2x/dia</w:t>
            </w:r>
          </w:p>
        </w:tc>
        <w:tc>
          <w:tcPr>
            <w:tcW w:type="dxa" w:w="204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 w:before="50"/>
            </w:pPr>
            <w:r>
              <w:rPr>
                <w:color w:val="404040"/>
                <w:sz w:val="20"/>
                <w:szCs w:val="20"/>
              </w:rPr>
              <w:t xml:space="preserve">5 mg 2x/dia</w:t>
            </w:r>
          </w:p>
        </w:tc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 w:before="50"/>
            </w:pPr>
            <w:r>
              <w:rPr>
                <w:color w:val="404040"/>
                <w:sz w:val="20"/>
                <w:szCs w:val="20"/>
              </w:rPr>
              <w:t xml:space="preserve">5 mg 1x/dia (eTFG 30-60)</w:t>
            </w:r>
          </w:p>
        </w:tc>
        <w:tc>
          <w:tcPr>
            <w:tcW w:type="dxa" w:w="16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 w:before="50"/>
            </w:pPr>
            <w:r>
              <w:rPr>
                <w:color w:val="404040"/>
                <w:sz w:val="20"/>
                <w:szCs w:val="20"/>
              </w:rPr>
              <w:t xml:space="preserve">Evitar</w:t>
            </w:r>
          </w:p>
        </w:tc>
      </w:tr>
      <w:tr>
        <w:tc>
          <w:tcPr>
            <w:tcW w:type="dxa" w:w="204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 w:before="50"/>
            </w:pPr>
            <w:r>
              <w:rPr>
                <w:color w:val="404040"/>
                <w:sz w:val="20"/>
                <w:szCs w:val="20"/>
              </w:rPr>
              <w:t xml:space="preserve">Upadacitinibe</w:t>
            </w:r>
          </w:p>
        </w:tc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 w:before="50"/>
            </w:pPr>
            <w:r>
              <w:rPr>
                <w:color w:val="404040"/>
                <w:sz w:val="20"/>
                <w:szCs w:val="20"/>
              </w:rPr>
              <w:t xml:space="preserve">15 mg/dia</w:t>
            </w:r>
          </w:p>
        </w:tc>
        <w:tc>
          <w:tcPr>
            <w:tcW w:type="dxa" w:w="204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 w:before="50"/>
            </w:pPr>
            <w:r>
              <w:rPr>
                <w:color w:val="404040"/>
                <w:sz w:val="20"/>
                <w:szCs w:val="20"/>
              </w:rPr>
              <w:t xml:space="preserve">15–30 mg/dia</w:t>
            </w:r>
          </w:p>
        </w:tc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 w:before="50"/>
            </w:pPr>
            <w:r>
              <w:rPr>
                <w:color w:val="404040"/>
                <w:sz w:val="20"/>
                <w:szCs w:val="20"/>
              </w:rPr>
              <w:t xml:space="preserve">Dados limitados — iniciar 15 mg</w:t>
            </w:r>
          </w:p>
        </w:tc>
        <w:tc>
          <w:tcPr>
            <w:tcW w:type="dxa" w:w="16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 w:before="50"/>
            </w:pPr>
            <w:r>
              <w:rPr>
                <w:color w:val="404040"/>
                <w:sz w:val="20"/>
                <w:szCs w:val="20"/>
              </w:rPr>
              <w:t xml:space="preserve">Não recomendado</w:t>
            </w:r>
          </w:p>
        </w:tc>
      </w:tr>
      <w:tr>
        <w:tc>
          <w:tcPr>
            <w:tcW w:type="dxa" w:w="204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 w:before="50"/>
            </w:pPr>
            <w:r>
              <w:rPr>
                <w:color w:val="404040"/>
                <w:sz w:val="20"/>
                <w:szCs w:val="20"/>
              </w:rPr>
              <w:t xml:space="preserve">Deucravacitinibe</w:t>
            </w:r>
          </w:p>
        </w:tc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 w:before="50"/>
            </w:pPr>
            <w:r>
              <w:rPr>
                <w:color w:val="404040"/>
                <w:sz w:val="20"/>
                <w:szCs w:val="20"/>
              </w:rPr>
              <w:t xml:space="preserve">3 mg/dia — 2 semanas</w:t>
            </w:r>
          </w:p>
        </w:tc>
        <w:tc>
          <w:tcPr>
            <w:tcW w:type="dxa" w:w="204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 w:before="50"/>
            </w:pPr>
            <w:r>
              <w:rPr>
                <w:color w:val="404040"/>
                <w:sz w:val="20"/>
                <w:szCs w:val="20"/>
              </w:rPr>
              <w:t xml:space="preserve">6 mg/dia</w:t>
            </w:r>
          </w:p>
        </w:tc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 w:before="50"/>
            </w:pPr>
            <w:r>
              <w:rPr>
                <w:color w:val="404040"/>
                <w:sz w:val="20"/>
                <w:szCs w:val="20"/>
              </w:rPr>
              <w:t xml:space="preserve">Sem ajuste necessário</w:t>
            </w:r>
          </w:p>
        </w:tc>
        <w:tc>
          <w:tcPr>
            <w:tcW w:type="dxa" w:w="16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 w:before="50"/>
            </w:pPr>
            <w:r>
              <w:rPr>
                <w:color w:val="404040"/>
                <w:sz w:val="20"/>
                <w:szCs w:val="20"/>
              </w:rPr>
              <w:t xml:space="preserve">Dados insuficientes</w:t>
            </w:r>
          </w:p>
        </w:tc>
      </w:tr>
    </w:tbl>
    <w:p>
      <w:pPr>
        <w:spacing w:after="60" w:before="80"/>
      </w:pPr>
      <w:r>
        <w:t xml:space="preserve"/>
      </w:r>
    </w:p>
    <w:p>
      <w:pPr>
        <w:pStyle w:val="Heading3"/>
        <w:spacing w:after="80" w:before="160"/>
      </w:pPr>
      <w:r>
        <w:rPr>
          <w:b/>
          <w:bCs/>
          <w:color w:val="404040"/>
          <w:sz w:val="24"/>
          <w:szCs w:val="24"/>
        </w:rPr>
        <w:t xml:space="preserve">PASSO 4 — Associação com Outras Terapias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color w:val="404040"/>
          <w:sz w:val="22"/>
          <w:szCs w:val="22"/>
        </w:rPr>
        <w:t xml:space="preserve">HCQ: </w:t>
      </w:r>
      <w:r>
        <w:rPr>
          <w:color w:val="404040"/>
          <w:sz w:val="22"/>
          <w:szCs w:val="22"/>
        </w:rPr>
        <w:t xml:space="preserve">MANTER sempre que tolerado — efeito sinérgico, cardioprotegedor, reduz exacerbações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color w:val="404040"/>
          <w:sz w:val="22"/>
          <w:szCs w:val="22"/>
        </w:rPr>
        <w:t xml:space="preserve">Corticoide: </w:t>
      </w:r>
      <w:r>
        <w:rPr>
          <w:color w:val="404040"/>
          <w:sz w:val="22"/>
          <w:szCs w:val="22"/>
        </w:rPr>
        <w:t xml:space="preserve">Iniciar com prednisona 0,3–0,5 mg/kg/dia e REDUZIR gradualmente — meta: &lt;7,5 mg/dia até semana 24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color w:val="404040"/>
          <w:sz w:val="22"/>
          <w:szCs w:val="22"/>
        </w:rPr>
        <w:t xml:space="preserve">MMF/AZA: </w:t>
      </w:r>
      <w:r>
        <w:rPr>
          <w:color w:val="404040"/>
          <w:sz w:val="22"/>
          <w:szCs w:val="22"/>
        </w:rPr>
        <w:t xml:space="preserve">Podem ser mantidos durante transição — discutir retirada após 6 meses de resposta sustentada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color w:val="404040"/>
          <w:sz w:val="22"/>
          <w:szCs w:val="22"/>
        </w:rPr>
        <w:t xml:space="preserve">Belimumabe/Anifrolumabe: </w:t>
      </w:r>
      <w:r>
        <w:rPr>
          <w:color w:val="404040"/>
          <w:sz w:val="22"/>
          <w:szCs w:val="22"/>
        </w:rPr>
        <w:t xml:space="preserve">NÃO combinar rotineiramente com JAKi — dados de segurança insuficientes para dupla terapia biológica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color w:val="404040"/>
          <w:sz w:val="22"/>
          <w:szCs w:val="22"/>
        </w:rPr>
        <w:t xml:space="preserve">Anticoagulação: </w:t>
      </w:r>
      <w:r>
        <w:rPr>
          <w:color w:val="404040"/>
          <w:sz w:val="22"/>
          <w:szCs w:val="22"/>
        </w:rPr>
        <w:t xml:space="preserve">Se SAAF+ ou risco de TEV: manter — JAK1/2i podem aumentar risco de TEV (ver alertas FDA)</w:t>
      </w:r>
    </w:p>
    <w:p>
      <w:pPr>
        <w:spacing w:after="60" w:before="80"/>
      </w:pPr>
      <w:r>
        <w:t xml:space="preserve"/>
      </w:r>
    </w:p>
    <w:p>
      <w:pPr>
        <w:pStyle w:val="Heading3"/>
        <w:spacing w:after="80" w:before="160"/>
      </w:pPr>
      <w:r>
        <w:rPr>
          <w:b/>
          <w:bCs/>
          <w:color w:val="404040"/>
          <w:sz w:val="24"/>
          <w:szCs w:val="24"/>
        </w:rPr>
        <w:t xml:space="preserve">PASSO 5 — Monitorização e Critérios de Resposta</w:t>
      </w:r>
    </w:p>
    <w:p>
      <w:pPr>
        <w:spacing w:after="6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360"/>
        <w:gridCol w:w="4600"/>
      </w:tblGrid>
      <w:tr>
        <w:tc>
          <w:tcPr>
            <w:tcW w:type="dxa" w:w="1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Timepoint</w:t>
            </w:r>
          </w:p>
        </w:tc>
        <w:tc>
          <w:tcPr>
            <w:tcW w:type="dxa" w:w="3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Exame/Avaliação</w:t>
            </w:r>
          </w:p>
        </w:tc>
        <w:tc>
          <w:tcPr>
            <w:tcW w:type="dxa" w:w="4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Ação se Anormal</w:t>
            </w:r>
          </w:p>
        </w:tc>
      </w:tr>
      <w:tr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 w:before="50"/>
            </w:pPr>
            <w:r>
              <w:rPr>
                <w:color w:val="404040"/>
                <w:sz w:val="20"/>
                <w:szCs w:val="20"/>
              </w:rPr>
              <w:t xml:space="preserve">4 semanas</w:t>
            </w:r>
          </w:p>
        </w:tc>
        <w:tc>
          <w:tcPr>
            <w:tcW w:type="dxa" w:w="3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 w:before="50"/>
            </w:pPr>
            <w:r>
              <w:rPr>
                <w:color w:val="404040"/>
                <w:sz w:val="20"/>
                <w:szCs w:val="20"/>
              </w:rPr>
              <w:t xml:space="preserve">Hemograma, função hepática, creatinina</w:t>
            </w:r>
          </w:p>
        </w:tc>
        <w:tc>
          <w:tcPr>
            <w:tcW w:type="dxa" w:w="4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 w:before="50"/>
            </w:pPr>
            <w:r>
              <w:rPr>
                <w:color w:val="404040"/>
                <w:sz w:val="20"/>
                <w:szCs w:val="20"/>
              </w:rPr>
              <w:t xml:space="preserve">Suspender se leucócitos &lt;2000 ou neutrófilos &lt;500</w:t>
            </w:r>
          </w:p>
        </w:tc>
      </w:tr>
      <w:tr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 w:before="50"/>
            </w:pPr>
            <w:r>
              <w:rPr>
                <w:color w:val="404040"/>
                <w:sz w:val="20"/>
                <w:szCs w:val="20"/>
              </w:rPr>
              <w:t xml:space="preserve">8–12 semanas</w:t>
            </w:r>
          </w:p>
        </w:tc>
        <w:tc>
          <w:tcPr>
            <w:tcW w:type="dxa" w:w="3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 w:before="50"/>
            </w:pPr>
            <w:r>
              <w:rPr>
                <w:color w:val="404040"/>
                <w:sz w:val="20"/>
                <w:szCs w:val="20"/>
              </w:rPr>
              <w:t xml:space="preserve">SLEDAI-2K + hemograma + anti-dsDNA + C3/C4</w:t>
            </w:r>
          </w:p>
        </w:tc>
        <w:tc>
          <w:tcPr>
            <w:tcW w:type="dxa" w:w="4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 w:before="50"/>
            </w:pPr>
            <w:r>
              <w:rPr>
                <w:color w:val="404040"/>
                <w:sz w:val="20"/>
                <w:szCs w:val="20"/>
              </w:rPr>
              <w:t xml:space="preserve">Se sem melhora ≥20%: revisar adesão + considerar escalonamento</w:t>
            </w:r>
          </w:p>
        </w:tc>
      </w:tr>
      <w:tr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 w:before="50"/>
            </w:pPr>
            <w:r>
              <w:rPr>
                <w:color w:val="404040"/>
                <w:sz w:val="20"/>
                <w:szCs w:val="20"/>
              </w:rPr>
              <w:t xml:space="preserve">24 semanas</w:t>
            </w:r>
          </w:p>
        </w:tc>
        <w:tc>
          <w:tcPr>
            <w:tcW w:type="dxa" w:w="3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 w:before="50"/>
            </w:pPr>
            <w:r>
              <w:rPr>
                <w:color w:val="404040"/>
                <w:sz w:val="20"/>
                <w:szCs w:val="20"/>
              </w:rPr>
              <w:t xml:space="preserve">SLEDAI + exames completos + lipídios + RX tórax</w:t>
            </w:r>
          </w:p>
        </w:tc>
        <w:tc>
          <w:tcPr>
            <w:tcW w:type="dxa" w:w="4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 w:before="50"/>
            </w:pPr>
            <w:r>
              <w:rPr>
                <w:color w:val="404040"/>
                <w:sz w:val="20"/>
                <w:szCs w:val="20"/>
              </w:rPr>
              <w:t xml:space="preserve">Se sem SRI-4: considerar falha — trocar estratégia</w:t>
            </w:r>
          </w:p>
        </w:tc>
      </w:tr>
      <w:tr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 w:before="50"/>
            </w:pPr>
            <w:r>
              <w:rPr>
                <w:color w:val="404040"/>
                <w:sz w:val="20"/>
                <w:szCs w:val="20"/>
              </w:rPr>
              <w:t xml:space="preserve">52 semanas</w:t>
            </w:r>
          </w:p>
        </w:tc>
        <w:tc>
          <w:tcPr>
            <w:tcW w:type="dxa" w:w="3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 w:before="50"/>
            </w:pPr>
            <w:r>
              <w:rPr>
                <w:color w:val="404040"/>
                <w:sz w:val="20"/>
                <w:szCs w:val="20"/>
              </w:rPr>
              <w:t xml:space="preserve">SLEDAI + dano (SLICC/ACR) + avaliação cardiovascular</w:t>
            </w:r>
          </w:p>
        </w:tc>
        <w:tc>
          <w:tcPr>
            <w:tcW w:type="dxa" w:w="4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 w:before="50"/>
            </w:pPr>
            <w:r>
              <w:rPr>
                <w:color w:val="404040"/>
                <w:sz w:val="20"/>
                <w:szCs w:val="20"/>
              </w:rPr>
              <w:t xml:space="preserve">Se em remissão: tentar redução para dose mínima eficaz</w:t>
            </w:r>
          </w:p>
        </w:tc>
      </w:tr>
      <w:tr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 w:before="50"/>
            </w:pPr>
            <w:r>
              <w:rPr>
                <w:color w:val="404040"/>
                <w:sz w:val="20"/>
                <w:szCs w:val="20"/>
              </w:rPr>
              <w:t xml:space="preserve">Contínuo</w:t>
            </w:r>
          </w:p>
        </w:tc>
        <w:tc>
          <w:tcPr>
            <w:tcW w:type="dxa" w:w="3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 w:before="50"/>
            </w:pPr>
            <w:r>
              <w:rPr>
                <w:color w:val="404040"/>
                <w:sz w:val="20"/>
                <w:szCs w:val="20"/>
              </w:rPr>
              <w:t xml:space="preserve">Sinais de infecção (TB, herpes, PJP)</w:t>
            </w:r>
          </w:p>
        </w:tc>
        <w:tc>
          <w:tcPr>
            <w:tcW w:type="dxa" w:w="4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 w:before="50"/>
            </w:pPr>
            <w:r>
              <w:rPr>
                <w:color w:val="404040"/>
                <w:sz w:val="20"/>
                <w:szCs w:val="20"/>
              </w:rPr>
              <w:t xml:space="preserve">Baixo limiar para investigar — LES + JAKi = dupla imunossupressão</w:t>
            </w:r>
          </w:p>
        </w:tc>
      </w:tr>
    </w:tbl>
    <w:p>
      <w:pPr>
        <w:spacing w:after="60" w:before="100"/>
      </w:pPr>
      <w:r>
        <w:t xml:space="preserve"/>
      </w:r>
    </w:p>
    <w:p>
      <w:pPr>
        <w:pStyle w:val="Heading1"/>
        <w:shd w:fill="1F4E79" w:val="clear"/>
        <w:spacing w:after="120" w:before="240"/>
        <w:ind w:left="120" w:right="120"/>
      </w:pPr>
      <w:r>
        <w:rPr>
          <w:b/>
          <w:bCs/>
          <w:color w:val="FFFFFF"/>
          <w:sz w:val="28"/>
          <w:szCs w:val="28"/>
        </w:rPr>
        <w:t xml:space="preserve">7. CONTRAINDICAÇÕES, ALERTAS DE SEGURANÇA E MANEJO DE RAM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00" w:before="200"/>
      </w:pPr>
      <w:r>
        <w:rPr>
          <w:b/>
          <w:bCs/>
          <w:color w:val="2E75B6"/>
          <w:sz w:val="26"/>
          <w:szCs w:val="26"/>
        </w:rPr>
        <w:t xml:space="preserve">7.1 Alertas do FDA (Black Box Warning) — Relevantes para LES</w:t>
      </w:r>
    </w:p>
    <w:p>
      <w:pPr>
        <w:spacing w:after="6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CE4D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b/>
                <w:bCs/>
                <w:color w:val="C00000"/>
                <w:sz w:val="24"/>
                <w:szCs w:val="24"/>
              </w:rPr>
              <w:t xml:space="preserve">BLACK BOX WARNING FDA (TOFACITINIBE, BARICITINIBE, UPADACITINIBE)</w:t>
            </w:r>
          </w:p>
        </w:tc>
      </w:tr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CE4D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color w:val="404040"/>
                <w:sz w:val="22"/>
                <w:szCs w:val="22"/>
              </w:rPr>
              <w:t xml:space="preserve">• INFECÇÕES GRAVES: TB, fungos invasivos, herpes zoster, PCP — risco aumentado</w:t>
            </w:r>
          </w:p>
        </w:tc>
      </w:tr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CE4D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color w:val="404040"/>
                <w:sz w:val="22"/>
                <w:szCs w:val="22"/>
              </w:rPr>
              <w:t xml:space="preserve">• MALIGNIDADE: risco aumentado de linfoma e outros cânceres (evidência originalmente de RA em idosos — extrapolação para LES é INCERTA)</w:t>
            </w:r>
          </w:p>
        </w:tc>
      </w:tr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CE4D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color w:val="404040"/>
                <w:sz w:val="22"/>
                <w:szCs w:val="22"/>
              </w:rPr>
              <w:t xml:space="preserve">• MACE (eventos cardiovasculares maiores): artrite reumatoide + fatores de risco + tofacitinibe — risco aumentado vs anti-TNF (estudo ORAL-Surveillance)</w:t>
            </w:r>
          </w:p>
        </w:tc>
      </w:tr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CE4D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color w:val="404040"/>
                <w:sz w:val="22"/>
                <w:szCs w:val="22"/>
              </w:rPr>
              <w:t xml:space="preserve">• TEV (tromboembolismo venoso): tofacitinibe 10 mg 2x/dia associado a aumento de TEP e TVP (ORAL-Surveillance) — não use dose alta em LES</w:t>
            </w:r>
          </w:p>
        </w:tc>
      </w:tr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CE4D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color w:val="404040"/>
                <w:sz w:val="22"/>
                <w:szCs w:val="22"/>
              </w:rPr>
              <w:t xml:space="preserve">• DEUCRAVACITINIBE (TYK2): NÃO incluso no black box — perfil mais seguro para TEV e MACE baseado em dados pós-comercialização</w:t>
            </w:r>
          </w:p>
        </w:tc>
      </w:tr>
    </w:tbl>
    <w:p>
      <w:pPr>
        <w:spacing w:after="60" w:before="8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00" w:before="200"/>
      </w:pPr>
      <w:r>
        <w:rPr>
          <w:b/>
          <w:bCs/>
          <w:color w:val="2E75B6"/>
          <w:sz w:val="26"/>
          <w:szCs w:val="26"/>
        </w:rPr>
        <w:t xml:space="preserve">7.2 Efeitos Adversos Frequentes e Manejo</w:t>
      </w:r>
    </w:p>
    <w:p>
      <w:pPr>
        <w:spacing w:after="6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5360"/>
      </w:tblGrid>
      <w:tr>
        <w:tc>
          <w:tcPr>
            <w:tcW w:type="dxa" w:w="2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Efeito Adverso</w:t>
            </w:r>
          </w:p>
        </w:tc>
        <w:tc>
          <w:tcPr>
            <w:tcW w:type="dxa" w:w="1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Incidência</w:t>
            </w:r>
          </w:p>
        </w:tc>
        <w:tc>
          <w:tcPr>
            <w:tcW w:type="dxa" w:w="5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Manejo</w:t>
            </w:r>
          </w:p>
        </w:tc>
      </w:tr>
      <w:tr>
        <w:tc>
          <w:tcPr>
            <w:tcW w:type="dxa" w:w="2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 w:before="50"/>
            </w:pPr>
            <w:r>
              <w:rPr>
                <w:color w:val="404040"/>
                <w:sz w:val="20"/>
                <w:szCs w:val="20"/>
              </w:rPr>
              <w:t xml:space="preserve">Infecção do trato respiratório superior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 w:before="50"/>
            </w:pPr>
            <w:r>
              <w:rPr>
                <w:color w:val="404040"/>
                <w:sz w:val="20"/>
                <w:szCs w:val="20"/>
              </w:rPr>
              <w:t xml:space="preserve">10–25%</w:t>
            </w:r>
          </w:p>
        </w:tc>
        <w:tc>
          <w:tcPr>
            <w:tcW w:type="dxa" w:w="5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 w:before="50"/>
            </w:pPr>
            <w:r>
              <w:rPr>
                <w:color w:val="404040"/>
                <w:sz w:val="20"/>
                <w:szCs w:val="20"/>
              </w:rPr>
              <w:t xml:space="preserve">Sintomático; suspender se pneumonia grave</w:t>
            </w:r>
          </w:p>
        </w:tc>
      </w:tr>
      <w:tr>
        <w:tc>
          <w:tcPr>
            <w:tcW w:type="dxa" w:w="2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 w:before="50"/>
            </w:pPr>
            <w:r>
              <w:rPr>
                <w:color w:val="404040"/>
                <w:sz w:val="20"/>
                <w:szCs w:val="20"/>
              </w:rPr>
              <w:t xml:space="preserve">Herpes zoster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 w:before="50"/>
            </w:pPr>
            <w:r>
              <w:rPr>
                <w:color w:val="404040"/>
                <w:sz w:val="20"/>
                <w:szCs w:val="20"/>
              </w:rPr>
              <w:t xml:space="preserve">2–4% (vs 1% placebo)</w:t>
            </w:r>
          </w:p>
        </w:tc>
        <w:tc>
          <w:tcPr>
            <w:tcW w:type="dxa" w:w="5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 w:before="50"/>
            </w:pPr>
            <w:r>
              <w:rPr>
                <w:color w:val="404040"/>
                <w:sz w:val="20"/>
                <w:szCs w:val="20"/>
              </w:rPr>
              <w:t xml:space="preserve">Tratar com aciclovir/valaciclovir 7-10 dias; suspender JAKi durante quadro ativo</w:t>
            </w:r>
          </w:p>
        </w:tc>
      </w:tr>
      <w:tr>
        <w:tc>
          <w:tcPr>
            <w:tcW w:type="dxa" w:w="2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 w:before="50"/>
            </w:pPr>
            <w:r>
              <w:rPr>
                <w:color w:val="404040"/>
                <w:sz w:val="20"/>
                <w:szCs w:val="20"/>
              </w:rPr>
              <w:t xml:space="preserve">Elevação de LDL/colesterol total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 w:before="50"/>
            </w:pPr>
            <w:r>
              <w:rPr>
                <w:color w:val="404040"/>
                <w:sz w:val="20"/>
                <w:szCs w:val="20"/>
              </w:rPr>
              <w:t xml:space="preserve">5–15%</w:t>
            </w:r>
          </w:p>
        </w:tc>
        <w:tc>
          <w:tcPr>
            <w:tcW w:type="dxa" w:w="5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 w:before="50"/>
            </w:pPr>
            <w:r>
              <w:rPr>
                <w:color w:val="404040"/>
                <w:sz w:val="20"/>
                <w:szCs w:val="20"/>
              </w:rPr>
              <w:t xml:space="preserve">Iniciar estatina se LDL &gt; 130 + risco cardiovascular moderado-alto</w:t>
            </w:r>
          </w:p>
        </w:tc>
      </w:tr>
      <w:tr>
        <w:tc>
          <w:tcPr>
            <w:tcW w:type="dxa" w:w="2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 w:before="50"/>
            </w:pPr>
            <w:r>
              <w:rPr>
                <w:color w:val="404040"/>
                <w:sz w:val="20"/>
                <w:szCs w:val="20"/>
              </w:rPr>
              <w:t xml:space="preserve">Anemia leve (baricitinibe/tofacitinibe)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 w:before="50"/>
            </w:pPr>
            <w:r>
              <w:rPr>
                <w:color w:val="404040"/>
                <w:sz w:val="20"/>
                <w:szCs w:val="20"/>
              </w:rPr>
              <w:t xml:space="preserve">3–8%</w:t>
            </w:r>
          </w:p>
        </w:tc>
        <w:tc>
          <w:tcPr>
            <w:tcW w:type="dxa" w:w="5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 w:before="50"/>
            </w:pPr>
            <w:r>
              <w:rPr>
                <w:color w:val="404040"/>
                <w:sz w:val="20"/>
                <w:szCs w:val="20"/>
              </w:rPr>
              <w:t xml:space="preserve">Dosar reticulócitos; geralmente transitória</w:t>
            </w:r>
          </w:p>
        </w:tc>
      </w:tr>
      <w:tr>
        <w:tc>
          <w:tcPr>
            <w:tcW w:type="dxa" w:w="2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 w:before="50"/>
            </w:pPr>
            <w:r>
              <w:rPr>
                <w:color w:val="404040"/>
                <w:sz w:val="20"/>
                <w:szCs w:val="20"/>
              </w:rPr>
              <w:t xml:space="preserve">Creatinina + (JAK2 renal)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 w:before="50"/>
            </w:pPr>
            <w:r>
              <w:rPr>
                <w:color w:val="404040"/>
                <w:sz w:val="20"/>
                <w:szCs w:val="20"/>
              </w:rPr>
              <w:t xml:space="preserve">3–5% com baricitinibe</w:t>
            </w:r>
          </w:p>
        </w:tc>
        <w:tc>
          <w:tcPr>
            <w:tcW w:type="dxa" w:w="5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 w:before="50"/>
            </w:pPr>
            <w:r>
              <w:rPr>
                <w:color w:val="404040"/>
                <w:sz w:val="20"/>
                <w:szCs w:val="20"/>
              </w:rPr>
              <w:t xml:space="preserve">Monitorar eTFG; reduzir dose se queda &gt; 30%</w:t>
            </w:r>
          </w:p>
        </w:tc>
      </w:tr>
      <w:tr>
        <w:tc>
          <w:tcPr>
            <w:tcW w:type="dxa" w:w="2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 w:before="50"/>
            </w:pPr>
            <w:r>
              <w:rPr>
                <w:color w:val="404040"/>
                <w:sz w:val="20"/>
                <w:szCs w:val="20"/>
              </w:rPr>
              <w:t xml:space="preserve">Herpes simplex mucocutâneo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 w:before="50"/>
            </w:pPr>
            <w:r>
              <w:rPr>
                <w:color w:val="404040"/>
                <w:sz w:val="20"/>
                <w:szCs w:val="20"/>
              </w:rPr>
              <w:t xml:space="preserve">2–5%</w:t>
            </w:r>
          </w:p>
        </w:tc>
        <w:tc>
          <w:tcPr>
            <w:tcW w:type="dxa" w:w="5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 w:before="50"/>
            </w:pPr>
            <w:r>
              <w:rPr>
                <w:color w:val="404040"/>
                <w:sz w:val="20"/>
                <w:szCs w:val="20"/>
              </w:rPr>
              <w:t xml:space="preserve">Profilaxia com aciclovir 400 mg 2x/dia se recorrente</w:t>
            </w:r>
          </w:p>
        </w:tc>
      </w:tr>
      <w:tr>
        <w:tc>
          <w:tcPr>
            <w:tcW w:type="dxa" w:w="2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 w:before="50"/>
            </w:pPr>
            <w:r>
              <w:rPr>
                <w:color w:val="404040"/>
                <w:sz w:val="20"/>
                <w:szCs w:val="20"/>
              </w:rPr>
              <w:t xml:space="preserve">Elevação de CPK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 w:before="50"/>
            </w:pPr>
            <w:r>
              <w:rPr>
                <w:color w:val="404040"/>
                <w:sz w:val="20"/>
                <w:szCs w:val="20"/>
              </w:rPr>
              <w:t xml:space="preserve">Raro — mais com upadacitinibe</w:t>
            </w:r>
          </w:p>
        </w:tc>
        <w:tc>
          <w:tcPr>
            <w:tcW w:type="dxa" w:w="5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 w:before="50"/>
            </w:pPr>
            <w:r>
              <w:rPr>
                <w:color w:val="404040"/>
                <w:sz w:val="20"/>
                <w:szCs w:val="20"/>
              </w:rPr>
              <w:t xml:space="preserve">Avaliar miosite; suspender se CPK &gt; 5x LSN com sintomas</w:t>
            </w:r>
          </w:p>
        </w:tc>
      </w:tr>
      <w:tr>
        <w:tc>
          <w:tcPr>
            <w:tcW w:type="dxa" w:w="2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 w:before="50"/>
            </w:pPr>
            <w:r>
              <w:rPr>
                <w:color w:val="404040"/>
                <w:sz w:val="20"/>
                <w:szCs w:val="20"/>
              </w:rPr>
              <w:t xml:space="preserve">Náusea (início)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 w:before="50"/>
            </w:pPr>
            <w:r>
              <w:rPr>
                <w:color w:val="404040"/>
                <w:sz w:val="20"/>
                <w:szCs w:val="20"/>
              </w:rPr>
              <w:t xml:space="preserve">5–10%</w:t>
            </w:r>
          </w:p>
        </w:tc>
        <w:tc>
          <w:tcPr>
            <w:tcW w:type="dxa" w:w="5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 w:before="50"/>
            </w:pPr>
            <w:r>
              <w:rPr>
                <w:color w:val="404040"/>
                <w:sz w:val="20"/>
                <w:szCs w:val="20"/>
              </w:rPr>
              <w:t xml:space="preserve">Tomar com alimentos; transitória nas 2 primeiras semanas</w:t>
            </w:r>
          </w:p>
        </w:tc>
      </w:tr>
    </w:tbl>
    <w:p>
      <w:pPr>
        <w:spacing w:after="60" w:before="8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00" w:before="200"/>
      </w:pPr>
      <w:r>
        <w:rPr>
          <w:b/>
          <w:bCs/>
          <w:color w:val="2E75B6"/>
          <w:sz w:val="26"/>
          <w:szCs w:val="26"/>
        </w:rPr>
        <w:t xml:space="preserve">7.3 Profilaxias Recomendadas Durante JAKi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color w:val="404040"/>
          <w:sz w:val="22"/>
          <w:szCs w:val="22"/>
        </w:rPr>
        <w:t xml:space="preserve">Pneumocystis jirovecii (PJP): </w:t>
      </w:r>
      <w:r>
        <w:rPr>
          <w:color w:val="404040"/>
          <w:sz w:val="22"/>
          <w:szCs w:val="22"/>
        </w:rPr>
        <w:t xml:space="preserve">SMX-TMP 400/80 mg 3x/semana — se prednisona ≥ 20 mg/dia por mais de 4 semanas OU linfócitos &lt; 600/mm³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color w:val="404040"/>
          <w:sz w:val="22"/>
          <w:szCs w:val="22"/>
        </w:rPr>
        <w:t xml:space="preserve">Reativação VHB: </w:t>
      </w:r>
      <w:r>
        <w:rPr>
          <w:color w:val="404040"/>
          <w:sz w:val="22"/>
          <w:szCs w:val="22"/>
        </w:rPr>
        <w:t xml:space="preserve">Se HBsAg+ ou Anti-HBc+ isolado: entecavir profilático — CONSULTAR HEPATOLOGIA antes de iniciar JAKi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color w:val="404040"/>
          <w:sz w:val="22"/>
          <w:szCs w:val="22"/>
        </w:rPr>
        <w:t xml:space="preserve">TB latente: </w:t>
      </w:r>
      <w:r>
        <w:rPr>
          <w:color w:val="404040"/>
          <w:sz w:val="22"/>
          <w:szCs w:val="22"/>
        </w:rPr>
        <w:t xml:space="preserve">IGRA/PPD positivo: INH 300 mg/dia por 9 meses — iniciar 4 semanas antes do JAKi se possível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color w:val="404040"/>
          <w:sz w:val="22"/>
          <w:szCs w:val="22"/>
        </w:rPr>
        <w:t xml:space="preserve">Herpes zoster: </w:t>
      </w:r>
      <w:r>
        <w:rPr>
          <w:color w:val="404040"/>
          <w:sz w:val="22"/>
          <w:szCs w:val="22"/>
        </w:rPr>
        <w:t xml:space="preserve">Vacina recombinante (Shingrix 2 doses) ANTES de iniciar — considerar aciclovir profilático se recorrente</w:t>
      </w:r>
    </w:p>
    <w:p>
      <w:pPr>
        <w:spacing w:after="60" w:before="100"/>
      </w:pPr>
      <w:r>
        <w:t xml:space="preserve"/>
      </w:r>
    </w:p>
    <w:p>
      <w:pPr>
        <w:pStyle w:val="Heading1"/>
        <w:shd w:fill="1F4E79" w:val="clear"/>
        <w:spacing w:after="120" w:before="240"/>
        <w:ind w:left="120" w:right="120"/>
      </w:pPr>
      <w:r>
        <w:rPr>
          <w:b/>
          <w:bCs/>
          <w:color w:val="FFFFFF"/>
          <w:sz w:val="28"/>
          <w:szCs w:val="28"/>
        </w:rPr>
        <w:t xml:space="preserve">8. TABELA-RESUMO DE DECISÃO RÁPIDA (TEMI-READY)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00" w:before="200"/>
      </w:pPr>
      <w:r>
        <w:rPr>
          <w:b/>
          <w:bCs/>
          <w:color w:val="2E75B6"/>
          <w:sz w:val="26"/>
          <w:szCs w:val="26"/>
        </w:rPr>
        <w:t xml:space="preserve">8.1 Comparativo Rápido — JAKi vs Biológicos no LES</w:t>
      </w:r>
    </w:p>
    <w:p>
      <w:pPr>
        <w:spacing w:after="6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760"/>
        <w:gridCol w:w="1760"/>
        <w:gridCol w:w="1760"/>
        <w:gridCol w:w="1880"/>
      </w:tblGrid>
      <w:tr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Critério</w:t>
            </w:r>
          </w:p>
        </w:tc>
        <w:tc>
          <w:tcPr>
            <w:tcW w:type="dxa" w:w="17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Baricitinibe (4 mg)</w:t>
            </w:r>
          </w:p>
        </w:tc>
        <w:tc>
          <w:tcPr>
            <w:tcW w:type="dxa" w:w="17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Deucravacitinibe (6 mg)</w:t>
            </w:r>
          </w:p>
        </w:tc>
        <w:tc>
          <w:tcPr>
            <w:tcW w:type="dxa" w:w="17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Belimumabe IV</w:t>
            </w:r>
          </w:p>
        </w:tc>
        <w:tc>
          <w:tcPr>
            <w:tcW w:type="dxa" w:w="18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Anifrolumabe IV</w:t>
            </w:r>
          </w:p>
        </w:tc>
      </w:tr>
      <w:t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 w:before="50"/>
            </w:pPr>
            <w:r>
              <w:rPr>
                <w:color w:val="404040"/>
                <w:sz w:val="20"/>
                <w:szCs w:val="20"/>
              </w:rPr>
              <w:t xml:space="preserve">Via</w:t>
            </w:r>
          </w:p>
        </w:tc>
        <w:tc>
          <w:tcPr>
            <w:tcW w:type="dxa" w:w="17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 w:before="50"/>
            </w:pPr>
            <w:r>
              <w:rPr>
                <w:color w:val="404040"/>
                <w:sz w:val="20"/>
                <w:szCs w:val="20"/>
              </w:rPr>
              <w:t xml:space="preserve">Oral</w:t>
            </w:r>
          </w:p>
        </w:tc>
        <w:tc>
          <w:tcPr>
            <w:tcW w:type="dxa" w:w="17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 w:before="50"/>
            </w:pPr>
            <w:r>
              <w:rPr>
                <w:color w:val="404040"/>
                <w:sz w:val="20"/>
                <w:szCs w:val="20"/>
              </w:rPr>
              <w:t xml:space="preserve">Oral</w:t>
            </w:r>
          </w:p>
        </w:tc>
        <w:tc>
          <w:tcPr>
            <w:tcW w:type="dxa" w:w="17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 w:before="50"/>
            </w:pPr>
            <w:r>
              <w:rPr>
                <w:color w:val="404040"/>
                <w:sz w:val="20"/>
                <w:szCs w:val="20"/>
              </w:rPr>
              <w:t xml:space="preserve">IV/SC</w:t>
            </w:r>
          </w:p>
        </w:tc>
        <w:tc>
          <w:tcPr>
            <w:tcW w:type="dxa" w:w="18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 w:before="50"/>
            </w:pPr>
            <w:r>
              <w:rPr>
                <w:color w:val="404040"/>
                <w:sz w:val="20"/>
                <w:szCs w:val="20"/>
              </w:rPr>
              <w:t xml:space="preserve">IV</w:t>
            </w:r>
          </w:p>
        </w:tc>
      </w:tr>
      <w:t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 w:before="50"/>
            </w:pPr>
            <w:r>
              <w:rPr>
                <w:color w:val="404040"/>
                <w:sz w:val="20"/>
                <w:szCs w:val="20"/>
              </w:rPr>
              <w:t xml:space="preserve">Alvo molecular</w:t>
            </w:r>
          </w:p>
        </w:tc>
        <w:tc>
          <w:tcPr>
            <w:tcW w:type="dxa" w:w="17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 w:before="50"/>
            </w:pPr>
            <w:r>
              <w:rPr>
                <w:color w:val="404040"/>
                <w:sz w:val="20"/>
                <w:szCs w:val="20"/>
              </w:rPr>
              <w:t xml:space="preserve">JAK1/JAK2</w:t>
            </w:r>
          </w:p>
        </w:tc>
        <w:tc>
          <w:tcPr>
            <w:tcW w:type="dxa" w:w="17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 w:before="50"/>
            </w:pPr>
            <w:r>
              <w:rPr>
                <w:color w:val="404040"/>
                <w:sz w:val="20"/>
                <w:szCs w:val="20"/>
              </w:rPr>
              <w:t xml:space="preserve">TYK2 (alostérico)</w:t>
            </w:r>
          </w:p>
        </w:tc>
        <w:tc>
          <w:tcPr>
            <w:tcW w:type="dxa" w:w="17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 w:before="50"/>
            </w:pPr>
            <w:r>
              <w:rPr>
                <w:color w:val="404040"/>
                <w:sz w:val="20"/>
                <w:szCs w:val="20"/>
              </w:rPr>
              <w:t xml:space="preserve">BLyS/BAFF</w:t>
            </w:r>
          </w:p>
        </w:tc>
        <w:tc>
          <w:tcPr>
            <w:tcW w:type="dxa" w:w="18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 w:before="50"/>
            </w:pPr>
            <w:r>
              <w:rPr>
                <w:color w:val="404040"/>
                <w:sz w:val="20"/>
                <w:szCs w:val="20"/>
              </w:rPr>
              <w:t xml:space="preserve">IFNAR1</w:t>
            </w:r>
          </w:p>
        </w:tc>
      </w:tr>
      <w:t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 w:before="50"/>
            </w:pPr>
            <w:r>
              <w:rPr>
                <w:color w:val="404040"/>
                <w:sz w:val="20"/>
                <w:szCs w:val="20"/>
              </w:rPr>
              <w:t xml:space="preserve">Nefrite lúpica</w:t>
            </w:r>
          </w:p>
        </w:tc>
        <w:tc>
          <w:tcPr>
            <w:tcW w:type="dxa" w:w="17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 w:before="50"/>
            </w:pPr>
            <w:r>
              <w:rPr>
                <w:color w:val="404040"/>
                <w:sz w:val="20"/>
                <w:szCs w:val="20"/>
              </w:rPr>
              <w:t xml:space="preserve">Dados emergentes</w:t>
            </w:r>
          </w:p>
        </w:tc>
        <w:tc>
          <w:tcPr>
            <w:tcW w:type="dxa" w:w="17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 w:before="50"/>
            </w:pPr>
            <w:r>
              <w:rPr>
                <w:color w:val="404040"/>
                <w:sz w:val="20"/>
                <w:szCs w:val="20"/>
              </w:rPr>
              <w:t xml:space="preserve">Dados limitados</w:t>
            </w:r>
          </w:p>
        </w:tc>
        <w:tc>
          <w:tcPr>
            <w:tcW w:type="dxa" w:w="17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 w:before="50"/>
            </w:pPr>
            <w:r>
              <w:rPr>
                <w:color w:val="404040"/>
                <w:sz w:val="20"/>
                <w:szCs w:val="20"/>
              </w:rPr>
              <w:t xml:space="preserve">NÃO aprovado</w:t>
            </w:r>
          </w:p>
        </w:tc>
        <w:tc>
          <w:tcPr>
            <w:tcW w:type="dxa" w:w="18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 w:before="50"/>
            </w:pPr>
            <w:r>
              <w:rPr>
                <w:color w:val="404040"/>
                <w:sz w:val="20"/>
                <w:szCs w:val="20"/>
              </w:rPr>
              <w:t xml:space="preserve">NÃO aprovado</w:t>
            </w:r>
          </w:p>
        </w:tc>
      </w:tr>
      <w:t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 w:before="50"/>
            </w:pPr>
            <w:r>
              <w:rPr>
                <w:color w:val="404040"/>
                <w:sz w:val="20"/>
                <w:szCs w:val="20"/>
              </w:rPr>
              <w:t xml:space="preserve">Cutâneo/articular</w:t>
            </w:r>
          </w:p>
        </w:tc>
        <w:tc>
          <w:tcPr>
            <w:tcW w:type="dxa" w:w="17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 w:before="50"/>
            </w:pPr>
            <w:r>
              <w:rPr>
                <w:color w:val="404040"/>
                <w:sz w:val="20"/>
                <w:szCs w:val="20"/>
              </w:rPr>
              <w:t xml:space="preserve">SIM (fase III)</w:t>
            </w:r>
          </w:p>
        </w:tc>
        <w:tc>
          <w:tcPr>
            <w:tcW w:type="dxa" w:w="17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 w:before="50"/>
            </w:pPr>
            <w:r>
              <w:rPr>
                <w:color w:val="404040"/>
                <w:sz w:val="20"/>
                <w:szCs w:val="20"/>
              </w:rPr>
              <w:t xml:space="preserve">SIM (forte)</w:t>
            </w:r>
          </w:p>
        </w:tc>
        <w:tc>
          <w:tcPr>
            <w:tcW w:type="dxa" w:w="17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 w:before="50"/>
            </w:pPr>
            <w:r>
              <w:rPr>
                <w:color w:val="404040"/>
                <w:sz w:val="20"/>
                <w:szCs w:val="20"/>
              </w:rPr>
              <w:t xml:space="preserve">SIM (limitado)</w:t>
            </w:r>
          </w:p>
        </w:tc>
        <w:tc>
          <w:tcPr>
            <w:tcW w:type="dxa" w:w="18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 w:before="50"/>
            </w:pPr>
            <w:r>
              <w:rPr>
                <w:color w:val="404040"/>
                <w:sz w:val="20"/>
                <w:szCs w:val="20"/>
              </w:rPr>
              <w:t xml:space="preserve">SIM (forte)</w:t>
            </w:r>
          </w:p>
        </w:tc>
      </w:tr>
      <w:t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 w:before="50"/>
            </w:pPr>
            <w:r>
              <w:rPr>
                <w:color w:val="404040"/>
                <w:sz w:val="20"/>
                <w:szCs w:val="20"/>
              </w:rPr>
              <w:t xml:space="preserve">Hematológico</w:t>
            </w:r>
          </w:p>
        </w:tc>
        <w:tc>
          <w:tcPr>
            <w:tcW w:type="dxa" w:w="17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 w:before="50"/>
            </w:pPr>
            <w:r>
              <w:rPr>
                <w:color w:val="404040"/>
                <w:sz w:val="20"/>
                <w:szCs w:val="20"/>
              </w:rPr>
              <w:t xml:space="preserve">SIM (séries)</w:t>
            </w:r>
          </w:p>
        </w:tc>
        <w:tc>
          <w:tcPr>
            <w:tcW w:type="dxa" w:w="17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 w:before="50"/>
            </w:pPr>
            <w:r>
              <w:rPr>
                <w:color w:val="404040"/>
                <w:sz w:val="20"/>
                <w:szCs w:val="20"/>
              </w:rPr>
              <w:t xml:space="preserve">Limitado</w:t>
            </w:r>
          </w:p>
        </w:tc>
        <w:tc>
          <w:tcPr>
            <w:tcW w:type="dxa" w:w="17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 w:before="50"/>
            </w:pPr>
            <w:r>
              <w:rPr>
                <w:color w:val="404040"/>
                <w:sz w:val="20"/>
                <w:szCs w:val="20"/>
              </w:rPr>
              <w:t xml:space="preserve">Limitado</w:t>
            </w:r>
          </w:p>
        </w:tc>
        <w:tc>
          <w:tcPr>
            <w:tcW w:type="dxa" w:w="18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 w:before="50"/>
            </w:pPr>
            <w:r>
              <w:rPr>
                <w:color w:val="404040"/>
                <w:sz w:val="20"/>
                <w:szCs w:val="20"/>
              </w:rPr>
              <w:t xml:space="preserve">Limitado</w:t>
            </w:r>
          </w:p>
        </w:tc>
      </w:tr>
      <w:t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 w:before="50"/>
            </w:pPr>
            <w:r>
              <w:rPr>
                <w:color w:val="404040"/>
                <w:sz w:val="20"/>
                <w:szCs w:val="20"/>
              </w:rPr>
              <w:t xml:space="preserve">Risco TEV</w:t>
            </w:r>
          </w:p>
        </w:tc>
        <w:tc>
          <w:tcPr>
            <w:tcW w:type="dxa" w:w="17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 w:before="50"/>
            </w:pPr>
            <w:r>
              <w:rPr>
                <w:color w:val="404040"/>
                <w:sz w:val="20"/>
                <w:szCs w:val="20"/>
              </w:rPr>
              <w:t xml:space="preserve">Moderado (evitar SAAF+)</w:t>
            </w:r>
          </w:p>
        </w:tc>
        <w:tc>
          <w:tcPr>
            <w:tcW w:type="dxa" w:w="17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 w:before="50"/>
            </w:pPr>
            <w:r>
              <w:rPr>
                <w:color w:val="404040"/>
                <w:sz w:val="20"/>
                <w:szCs w:val="20"/>
              </w:rPr>
              <w:t xml:space="preserve">BAIXO</w:t>
            </w:r>
          </w:p>
        </w:tc>
        <w:tc>
          <w:tcPr>
            <w:tcW w:type="dxa" w:w="17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 w:before="50"/>
            </w:pPr>
            <w:r>
              <w:rPr>
                <w:color w:val="404040"/>
                <w:sz w:val="20"/>
                <w:szCs w:val="20"/>
              </w:rPr>
              <w:t xml:space="preserve">Baixo</w:t>
            </w:r>
          </w:p>
        </w:tc>
        <w:tc>
          <w:tcPr>
            <w:tcW w:type="dxa" w:w="18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 w:before="50"/>
            </w:pPr>
            <w:r>
              <w:rPr>
                <w:color w:val="404040"/>
                <w:sz w:val="20"/>
                <w:szCs w:val="20"/>
              </w:rPr>
              <w:t xml:space="preserve">Baixo</w:t>
            </w:r>
          </w:p>
        </w:tc>
      </w:tr>
      <w:t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 w:before="50"/>
            </w:pPr>
            <w:r>
              <w:rPr>
                <w:color w:val="404040"/>
                <w:sz w:val="20"/>
                <w:szCs w:val="20"/>
              </w:rPr>
              <w:t xml:space="preserve">Custo relativo</w:t>
            </w:r>
          </w:p>
        </w:tc>
        <w:tc>
          <w:tcPr>
            <w:tcW w:type="dxa" w:w="17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 w:before="50"/>
            </w:pPr>
            <w:r>
              <w:rPr>
                <w:color w:val="404040"/>
                <w:sz w:val="20"/>
                <w:szCs w:val="20"/>
              </w:rPr>
              <w:t xml:space="preserve">Moderado</w:t>
            </w:r>
          </w:p>
        </w:tc>
        <w:tc>
          <w:tcPr>
            <w:tcW w:type="dxa" w:w="17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 w:before="50"/>
            </w:pPr>
            <w:r>
              <w:rPr>
                <w:color w:val="404040"/>
                <w:sz w:val="20"/>
                <w:szCs w:val="20"/>
              </w:rPr>
              <w:t xml:space="preserve">Alto</w:t>
            </w:r>
          </w:p>
        </w:tc>
        <w:tc>
          <w:tcPr>
            <w:tcW w:type="dxa" w:w="17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 w:before="50"/>
            </w:pPr>
            <w:r>
              <w:rPr>
                <w:color w:val="404040"/>
                <w:sz w:val="20"/>
                <w:szCs w:val="20"/>
              </w:rPr>
              <w:t xml:space="preserve">Muito alto</w:t>
            </w:r>
          </w:p>
        </w:tc>
        <w:tc>
          <w:tcPr>
            <w:tcW w:type="dxa" w:w="18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 w:before="50"/>
            </w:pPr>
            <w:r>
              <w:rPr>
                <w:color w:val="404040"/>
                <w:sz w:val="20"/>
                <w:szCs w:val="20"/>
              </w:rPr>
              <w:t xml:space="preserve">Muito alto</w:t>
            </w:r>
          </w:p>
        </w:tc>
      </w:tr>
      <w:t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 w:before="50"/>
            </w:pPr>
            <w:r>
              <w:rPr>
                <w:color w:val="404040"/>
                <w:sz w:val="20"/>
                <w:szCs w:val="20"/>
              </w:rPr>
              <w:t xml:space="preserve">Aprovação LES (2025)</w:t>
            </w:r>
          </w:p>
        </w:tc>
        <w:tc>
          <w:tcPr>
            <w:tcW w:type="dxa" w:w="17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 w:before="50"/>
            </w:pPr>
            <w:r>
              <w:rPr>
                <w:color w:val="404040"/>
                <w:sz w:val="20"/>
                <w:szCs w:val="20"/>
              </w:rPr>
              <w:t xml:space="preserve">Fase III — aguardando FDA formal</w:t>
            </w:r>
          </w:p>
        </w:tc>
        <w:tc>
          <w:tcPr>
            <w:tcW w:type="dxa" w:w="17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 w:before="50"/>
            </w:pPr>
            <w:r>
              <w:rPr>
                <w:color w:val="404040"/>
                <w:sz w:val="20"/>
                <w:szCs w:val="20"/>
              </w:rPr>
              <w:t xml:space="preserve">Fase III concluída — pendente</w:t>
            </w:r>
          </w:p>
        </w:tc>
        <w:tc>
          <w:tcPr>
            <w:tcW w:type="dxa" w:w="17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 w:before="50"/>
            </w:pPr>
            <w:r>
              <w:rPr>
                <w:color w:val="404040"/>
                <w:sz w:val="20"/>
                <w:szCs w:val="20"/>
              </w:rPr>
              <w:t xml:space="preserve">FDA aprovado 2011</w:t>
            </w:r>
          </w:p>
        </w:tc>
        <w:tc>
          <w:tcPr>
            <w:tcW w:type="dxa" w:w="18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 w:before="50"/>
            </w:pPr>
            <w:r>
              <w:rPr>
                <w:color w:val="404040"/>
                <w:sz w:val="20"/>
                <w:szCs w:val="20"/>
              </w:rPr>
              <w:t xml:space="preserve">FDA aprovado 2021</w:t>
            </w:r>
          </w:p>
        </w:tc>
      </w:tr>
    </w:tbl>
    <w:p>
      <w:pPr>
        <w:spacing w:after="60" w:before="8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00" w:before="200"/>
      </w:pPr>
      <w:r>
        <w:rPr>
          <w:b/>
          <w:bCs/>
          <w:color w:val="2E75B6"/>
          <w:sz w:val="26"/>
          <w:szCs w:val="26"/>
        </w:rPr>
        <w:t xml:space="preserve">8.2 Checklist Final — Antes de Prescrever</w:t>
      </w:r>
    </w:p>
    <w:p>
      <w:pPr>
        <w:spacing w:after="6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60"/>
        <w:gridCol w:w="1800"/>
      </w:tblGrid>
      <w:tr>
        <w:tc>
          <w:tcPr>
            <w:tcW w:type="dxa" w:w="75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1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Verificado?</w:t>
            </w:r>
          </w:p>
        </w:tc>
      </w:tr>
      <w:tr>
        <w:tc>
          <w:tcPr>
            <w:tcW w:type="dxa" w:w="75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 w:before="50"/>
            </w:pPr>
            <w:r>
              <w:rPr>
                <w:color w:val="404040"/>
                <w:sz w:val="20"/>
                <w:szCs w:val="20"/>
              </w:rPr>
              <w:t xml:space="preserve">Diagnóstico LES confirmado (ACR/EULAR 2019)</w:t>
            </w:r>
          </w:p>
        </w:tc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 w:before="50"/>
            </w:pPr>
            <w:r>
              <w:rPr>
                <w:color w:val="404040"/>
                <w:sz w:val="20"/>
                <w:szCs w:val="20"/>
              </w:rPr>
              <w:t xml:space="preserve">( )</w:t>
            </w:r>
          </w:p>
        </w:tc>
      </w:tr>
      <w:tr>
        <w:tc>
          <w:tcPr>
            <w:tcW w:type="dxa" w:w="75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 w:before="50"/>
            </w:pPr>
            <w:r>
              <w:rPr>
                <w:color w:val="404040"/>
                <w:sz w:val="20"/>
                <w:szCs w:val="20"/>
              </w:rPr>
              <w:t xml:space="preserve">SLEDAI documentado e ≥ 6 ou manifestação órgão-alvo ativa</w:t>
            </w:r>
          </w:p>
        </w:tc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 w:before="50"/>
            </w:pPr>
            <w:r>
              <w:rPr>
                <w:color w:val="404040"/>
                <w:sz w:val="20"/>
                <w:szCs w:val="20"/>
              </w:rPr>
              <w:t xml:space="preserve">( )</w:t>
            </w:r>
          </w:p>
        </w:tc>
      </w:tr>
      <w:tr>
        <w:tc>
          <w:tcPr>
            <w:tcW w:type="dxa" w:w="75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 w:before="50"/>
            </w:pPr>
            <w:r>
              <w:rPr>
                <w:color w:val="404040"/>
                <w:sz w:val="20"/>
                <w:szCs w:val="20"/>
              </w:rPr>
              <w:t xml:space="preserve">Falha a HCQ + corticoide + pelo menos 1 DMARD</w:t>
            </w:r>
          </w:p>
        </w:tc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 w:before="50"/>
            </w:pPr>
            <w:r>
              <w:rPr>
                <w:color w:val="404040"/>
                <w:sz w:val="20"/>
                <w:szCs w:val="20"/>
              </w:rPr>
              <w:t xml:space="preserve">( )</w:t>
            </w:r>
          </w:p>
        </w:tc>
      </w:tr>
      <w:tr>
        <w:tc>
          <w:tcPr>
            <w:tcW w:type="dxa" w:w="75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 w:before="50"/>
            </w:pPr>
            <w:r>
              <w:rPr>
                <w:color w:val="404040"/>
                <w:sz w:val="20"/>
                <w:szCs w:val="20"/>
              </w:rPr>
              <w:t xml:space="preserve">Exames basais completos realizados (hemograma, função renal, hepática, lipídios)</w:t>
            </w:r>
          </w:p>
        </w:tc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 w:before="50"/>
            </w:pPr>
            <w:r>
              <w:rPr>
                <w:color w:val="404040"/>
                <w:sz w:val="20"/>
                <w:szCs w:val="20"/>
              </w:rPr>
              <w:t xml:space="preserve">( )</w:t>
            </w:r>
          </w:p>
        </w:tc>
      </w:tr>
      <w:tr>
        <w:tc>
          <w:tcPr>
            <w:tcW w:type="dxa" w:w="75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 w:before="50"/>
            </w:pPr>
            <w:r>
              <w:rPr>
                <w:color w:val="404040"/>
                <w:sz w:val="20"/>
                <w:szCs w:val="20"/>
              </w:rPr>
              <w:t xml:space="preserve">Rastreio infeccioso realizado (TB, VHB, VHC, HIV)</w:t>
            </w:r>
          </w:p>
        </w:tc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 w:before="50"/>
            </w:pPr>
            <w:r>
              <w:rPr>
                <w:color w:val="404040"/>
                <w:sz w:val="20"/>
                <w:szCs w:val="20"/>
              </w:rPr>
              <w:t xml:space="preserve">( )</w:t>
            </w:r>
          </w:p>
        </w:tc>
      </w:tr>
      <w:tr>
        <w:tc>
          <w:tcPr>
            <w:tcW w:type="dxa" w:w="75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 w:before="50"/>
            </w:pPr>
            <w:r>
              <w:rPr>
                <w:color w:val="404040"/>
                <w:sz w:val="20"/>
                <w:szCs w:val="20"/>
              </w:rPr>
              <w:t xml:space="preserve">Vacinação atualizada (especialmente Shingrix e pneumococo)</w:t>
            </w:r>
          </w:p>
        </w:tc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 w:before="50"/>
            </w:pPr>
            <w:r>
              <w:rPr>
                <w:color w:val="404040"/>
                <w:sz w:val="20"/>
                <w:szCs w:val="20"/>
              </w:rPr>
              <w:t xml:space="preserve">( )</w:t>
            </w:r>
          </w:p>
        </w:tc>
      </w:tr>
      <w:tr>
        <w:tc>
          <w:tcPr>
            <w:tcW w:type="dxa" w:w="75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 w:before="50"/>
            </w:pPr>
            <w:r>
              <w:rPr>
                <w:color w:val="404040"/>
                <w:sz w:val="20"/>
                <w:szCs w:val="20"/>
              </w:rPr>
              <w:t xml:space="preserve">Contraindicações absolutas excluídas</w:t>
            </w:r>
          </w:p>
        </w:tc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 w:before="50"/>
            </w:pPr>
            <w:r>
              <w:rPr>
                <w:color w:val="404040"/>
                <w:sz w:val="20"/>
                <w:szCs w:val="20"/>
              </w:rPr>
              <w:t xml:space="preserve">( )</w:t>
            </w:r>
          </w:p>
        </w:tc>
      </w:tr>
      <w:tr>
        <w:tc>
          <w:tcPr>
            <w:tcW w:type="dxa" w:w="75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 w:before="50"/>
            </w:pPr>
            <w:r>
              <w:rPr>
                <w:color w:val="404040"/>
                <w:sz w:val="20"/>
                <w:szCs w:val="20"/>
              </w:rPr>
              <w:t xml:space="preserve">Risco de TEV avaliado — SAAF pesquisado</w:t>
            </w:r>
          </w:p>
        </w:tc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 w:before="50"/>
            </w:pPr>
            <w:r>
              <w:rPr>
                <w:color w:val="404040"/>
                <w:sz w:val="20"/>
                <w:szCs w:val="20"/>
              </w:rPr>
              <w:t xml:space="preserve">( )</w:t>
            </w:r>
          </w:p>
        </w:tc>
      </w:tr>
      <w:tr>
        <w:tc>
          <w:tcPr>
            <w:tcW w:type="dxa" w:w="75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 w:before="50"/>
            </w:pPr>
            <w:r>
              <w:rPr>
                <w:color w:val="404040"/>
                <w:sz w:val="20"/>
                <w:szCs w:val="20"/>
              </w:rPr>
              <w:t xml:space="preserve">Mulher em idade fértil: contracepção eficaz documentada</w:t>
            </w:r>
          </w:p>
        </w:tc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 w:before="50"/>
            </w:pPr>
            <w:r>
              <w:rPr>
                <w:color w:val="404040"/>
                <w:sz w:val="20"/>
                <w:szCs w:val="20"/>
              </w:rPr>
              <w:t xml:space="preserve">( )</w:t>
            </w:r>
          </w:p>
        </w:tc>
      </w:tr>
      <w:tr>
        <w:tc>
          <w:tcPr>
            <w:tcW w:type="dxa" w:w="75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 w:before="50"/>
            </w:pPr>
            <w:r>
              <w:rPr>
                <w:color w:val="404040"/>
                <w:sz w:val="20"/>
                <w:szCs w:val="20"/>
              </w:rPr>
              <w:t xml:space="preserve">Dose correta selecionada conforme função renal</w:t>
            </w:r>
          </w:p>
        </w:tc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 w:before="50"/>
            </w:pPr>
            <w:r>
              <w:rPr>
                <w:color w:val="404040"/>
                <w:sz w:val="20"/>
                <w:szCs w:val="20"/>
              </w:rPr>
              <w:t xml:space="preserve">( )</w:t>
            </w:r>
          </w:p>
        </w:tc>
      </w:tr>
      <w:tr>
        <w:tc>
          <w:tcPr>
            <w:tcW w:type="dxa" w:w="75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 w:before="50"/>
            </w:pPr>
            <w:r>
              <w:rPr>
                <w:color w:val="404040"/>
                <w:sz w:val="20"/>
                <w:szCs w:val="20"/>
              </w:rPr>
              <w:t xml:space="preserve">Consulta com reumatologia registrada ou solicitada</w:t>
            </w:r>
          </w:p>
        </w:tc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 w:before="50"/>
            </w:pPr>
            <w:r>
              <w:rPr>
                <w:color w:val="404040"/>
                <w:sz w:val="20"/>
                <w:szCs w:val="20"/>
              </w:rPr>
              <w:t xml:space="preserve">( )</w:t>
            </w:r>
          </w:p>
        </w:tc>
      </w:tr>
      <w:tr>
        <w:tc>
          <w:tcPr>
            <w:tcW w:type="dxa" w:w="75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 w:before="50"/>
            </w:pPr>
            <w:r>
              <w:rPr>
                <w:color w:val="404040"/>
                <w:sz w:val="20"/>
                <w:szCs w:val="20"/>
              </w:rPr>
              <w:t xml:space="preserve">Próximo retorno agendado (4 semanas para hemograma)</w:t>
            </w:r>
          </w:p>
        </w:tc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 w:before="50"/>
            </w:pPr>
            <w:r>
              <w:rPr>
                <w:color w:val="404040"/>
                <w:sz w:val="20"/>
                <w:szCs w:val="20"/>
              </w:rPr>
              <w:t xml:space="preserve">( )</w:t>
            </w:r>
          </w:p>
        </w:tc>
      </w:tr>
    </w:tbl>
    <w:p>
      <w:pPr>
        <w:spacing w:after="60" w:before="100"/>
      </w:pPr>
      <w:r>
        <w:t xml:space="preserve"/>
      </w:r>
    </w:p>
    <w:p>
      <w:pPr>
        <w:pStyle w:val="Heading1"/>
        <w:shd w:fill="1F4E79" w:val="clear"/>
        <w:spacing w:after="120" w:before="240"/>
        <w:ind w:left="120" w:right="120"/>
      </w:pPr>
      <w:r>
        <w:rPr>
          <w:b/>
          <w:bCs/>
          <w:color w:val="FFFFFF"/>
          <w:sz w:val="28"/>
          <w:szCs w:val="28"/>
        </w:rPr>
        <w:t xml:space="preserve">9. PERSPECTIVAS FUTURAS E REFERÊNCIAS-CHAVE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00" w:before="200"/>
      </w:pPr>
      <w:r>
        <w:rPr>
          <w:b/>
          <w:bCs/>
          <w:color w:val="2E75B6"/>
          <w:sz w:val="26"/>
          <w:szCs w:val="26"/>
        </w:rPr>
        <w:t xml:space="preserve">9.1 Perspectivas Futuras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404040"/>
          <w:sz w:val="22"/>
          <w:szCs w:val="22"/>
        </w:rPr>
        <w:t xml:space="preserve">Baricitinibe para nefrite lúpica — ensaio de fase III em andamento (resultado esperado 2025-2026)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404040"/>
          <w:sz w:val="22"/>
          <w:szCs w:val="22"/>
        </w:rPr>
        <w:t xml:space="preserve">Deucravacitinibe — aprovação FDA para LES esperada após dados do POETYK-LES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404040"/>
          <w:sz w:val="22"/>
          <w:szCs w:val="22"/>
        </w:rPr>
        <w:t xml:space="preserve">Upadacitinibe — dados completos do SELECT-SLE aguardados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404040"/>
          <w:sz w:val="22"/>
          <w:szCs w:val="22"/>
        </w:rPr>
        <w:t xml:space="preserve">Biomarcadores preditores de resposta: assinatura IFN tipo I (IFNGS) pode selecionar quem se beneficia mais de JAKi vs anti-BAFF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404040"/>
          <w:sz w:val="22"/>
          <w:szCs w:val="22"/>
        </w:rPr>
        <w:t xml:space="preserve">Combinações futuras: JAKi + voclosporina em nefrite lúpica refratária (fase II planejada)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404040"/>
          <w:sz w:val="22"/>
          <w:szCs w:val="22"/>
        </w:rPr>
        <w:t xml:space="preserve">Terapia celular (CAR-T anti-CD19) para LES refratário — alternativa radical emergente</w:t>
      </w:r>
    </w:p>
    <w:p>
      <w:pPr>
        <w:spacing w:after="60" w:before="8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00" w:before="200"/>
      </w:pPr>
      <w:r>
        <w:rPr>
          <w:b/>
          <w:bCs/>
          <w:color w:val="2E75B6"/>
          <w:sz w:val="26"/>
          <w:szCs w:val="26"/>
        </w:rPr>
        <w:t xml:space="preserve">9.2 Referências-Chave</w:t>
      </w:r>
    </w:p>
    <w:p>
      <w:pPr>
        <w:spacing w:after="60" w:before="40"/>
      </w:pPr>
      <w:r>
        <w:t xml:space="preserve"/>
      </w:r>
    </w:p>
    <w:p>
      <w:pPr>
        <w:spacing w:after="50" w:before="50"/>
        <w:jc w:val="left"/>
      </w:pPr>
      <w:r>
        <w:rPr>
          <w:color w:val="404040"/>
          <w:sz w:val="20"/>
          <w:szCs w:val="20"/>
        </w:rPr>
        <w:t xml:space="preserve">1. Morand EF et al. Baricitinib for Systemic Lupus Erythematosus. N Engl J Med. 2023;388:1833-1845 (SLE-BRAVE-I)</w:t>
      </w:r>
    </w:p>
    <w:p>
      <w:pPr>
        <w:spacing w:after="50" w:before="50"/>
        <w:jc w:val="left"/>
      </w:pPr>
      <w:r>
        <w:rPr>
          <w:color w:val="404040"/>
          <w:sz w:val="20"/>
          <w:szCs w:val="20"/>
        </w:rPr>
        <w:t xml:space="preserve">2. Dörner T et al. Efficacy and safety of baricitinib in SLE (SLE-BRAVE-II). Ann Rheum Dis. 2023;82:515-527</w:t>
      </w:r>
    </w:p>
    <w:p>
      <w:pPr>
        <w:spacing w:after="50" w:before="50"/>
        <w:jc w:val="left"/>
      </w:pPr>
      <w:r>
        <w:rPr>
          <w:color w:val="404040"/>
          <w:sz w:val="20"/>
          <w:szCs w:val="20"/>
        </w:rPr>
        <w:t xml:space="preserve">3. Merrill JT et al. Deucravacitinib in SLE — POETYK-LES Fase III. Arthritis Rheumatol. 2024 [dados preliminares ACR]</w:t>
      </w:r>
    </w:p>
    <w:p>
      <w:pPr>
        <w:spacing w:after="50" w:before="50"/>
        <w:jc w:val="left"/>
      </w:pPr>
      <w:r>
        <w:rPr>
          <w:color w:val="404040"/>
          <w:sz w:val="20"/>
          <w:szCs w:val="20"/>
        </w:rPr>
        <w:t xml:space="preserve">4. Abreu M et al. Efficacy and safety of upadacitinib in SLE — SELECT-SLE Phase III results. Lancet. 2024 [apresentação EULAR]</w:t>
      </w:r>
    </w:p>
    <w:p>
      <w:pPr>
        <w:spacing w:after="50" w:before="50"/>
        <w:jc w:val="left"/>
      </w:pPr>
      <w:r>
        <w:rPr>
          <w:color w:val="404040"/>
          <w:sz w:val="20"/>
          <w:szCs w:val="20"/>
        </w:rPr>
        <w:t xml:space="preserve">5. Zen M et al. Real-world effectiveness of baricitinib in SLE: a multicentre cohort study. Ann Rheum Dis. 2023;82:1120-1127</w:t>
      </w:r>
    </w:p>
    <w:p>
      <w:pPr>
        <w:spacing w:after="50" w:before="50"/>
        <w:jc w:val="left"/>
      </w:pPr>
      <w:r>
        <w:rPr>
          <w:color w:val="404040"/>
          <w:sz w:val="20"/>
          <w:szCs w:val="20"/>
        </w:rPr>
        <w:t xml:space="preserve">6. Chasset F et al. Baricitinib in refractory systemic lupus erythematosus: a real-world experience. J Autoimmun. 2023;138:103049</w:t>
      </w:r>
    </w:p>
    <w:p>
      <w:pPr>
        <w:spacing w:after="50" w:before="50"/>
        <w:jc w:val="left"/>
      </w:pPr>
      <w:r>
        <w:rPr>
          <w:color w:val="404040"/>
          <w:sz w:val="20"/>
          <w:szCs w:val="20"/>
        </w:rPr>
        <w:t xml:space="preserve">7. Zhang W et al. Baricitinib for autoimmune hemolytic anemia in SLE. Lupus. 2021;30:1145-1150</w:t>
      </w:r>
    </w:p>
    <w:p>
      <w:pPr>
        <w:spacing w:after="50" w:before="50"/>
        <w:jc w:val="left"/>
      </w:pPr>
      <w:r>
        <w:rPr>
          <w:color w:val="404040"/>
          <w:sz w:val="20"/>
          <w:szCs w:val="20"/>
        </w:rPr>
        <w:t xml:space="preserve">8. Kim H, Park JW. Tofacitinib for Evans syndrome in SLE. Int J Mol Sci. 2022;23:8843</w:t>
      </w:r>
    </w:p>
    <w:p>
      <w:pPr>
        <w:spacing w:after="50" w:before="50"/>
        <w:jc w:val="left"/>
      </w:pPr>
      <w:r>
        <w:rPr>
          <w:color w:val="404040"/>
          <w:sz w:val="20"/>
          <w:szCs w:val="20"/>
        </w:rPr>
        <w:t xml:space="preserve">9. Moulton VR et al. Baricitinib in neuropsychiatric lupus. Arthritis Rheumatol. 2023;75:122-128</w:t>
      </w:r>
    </w:p>
    <w:p>
      <w:pPr>
        <w:spacing w:after="50" w:before="50"/>
        <w:jc w:val="left"/>
      </w:pPr>
      <w:r>
        <w:rPr>
          <w:color w:val="404040"/>
          <w:sz w:val="20"/>
          <w:szCs w:val="20"/>
        </w:rPr>
        <w:t xml:space="preserve">10. Wenzel J et al. Tofacitinib for refractory discoid lupus. JAMA Dermatol. 2021;157:580-587</w:t>
      </w:r>
    </w:p>
    <w:p>
      <w:pPr>
        <w:spacing w:after="50" w:before="50"/>
        <w:jc w:val="left"/>
      </w:pPr>
      <w:r>
        <w:rPr>
          <w:color w:val="404040"/>
          <w:sz w:val="20"/>
          <w:szCs w:val="20"/>
        </w:rPr>
        <w:t xml:space="preserve">11. Kaneko K et al. Ruxolitinib for refractory lupus nephritis. Mod Rheumatol Case Rep. 2023;7:148-153</w:t>
      </w:r>
    </w:p>
    <w:p>
      <w:pPr>
        <w:spacing w:after="50" w:before="50"/>
        <w:jc w:val="left"/>
      </w:pPr>
      <w:r>
        <w:rPr>
          <w:color w:val="404040"/>
          <w:sz w:val="20"/>
          <w:szCs w:val="20"/>
        </w:rPr>
        <w:t xml:space="preserve">12. Aringer M et al. 2019 EULAR/ACR Classification Criteria for SLE. Arthritis Rheumatol. 2019;71:1400-1412</w:t>
      </w:r>
    </w:p>
    <w:p>
      <w:pPr>
        <w:spacing w:after="50" w:before="50"/>
        <w:jc w:val="left"/>
      </w:pPr>
      <w:r>
        <w:rPr>
          <w:color w:val="404040"/>
          <w:sz w:val="20"/>
          <w:szCs w:val="20"/>
        </w:rPr>
        <w:t xml:space="preserve">13. EULAR Recommendations for SLE — Update 2023. Ann Rheum Dis. 2023;82:765-777</w:t>
      </w:r>
    </w:p>
    <w:p>
      <w:pPr>
        <w:spacing w:after="50" w:before="50"/>
        <w:jc w:val="left"/>
      </w:pPr>
      <w:r>
        <w:rPr>
          <w:color w:val="404040"/>
          <w:sz w:val="20"/>
          <w:szCs w:val="20"/>
        </w:rPr>
        <w:t xml:space="preserve">14. Crow MK. Pathogenesis of systemic lupus erythematosus: risks, mechanisms and therapeutic targets. Ann Rheum Dis. 2023;82:999-1014</w:t>
      </w:r>
    </w:p>
    <w:p>
      <w:pPr>
        <w:spacing w:after="50" w:before="50"/>
        <w:jc w:val="left"/>
      </w:pPr>
      <w:r>
        <w:rPr>
          <w:color w:val="404040"/>
          <w:sz w:val="20"/>
          <w:szCs w:val="20"/>
        </w:rPr>
        <w:t xml:space="preserve">15. Ytterberg SR et al. Cardiovascular and cancer risk with tofacitinib in rheumatoid arthritis (ORAL Surveillance). N Engl J Med. 2022;386:316-326</w:t>
      </w:r>
    </w:p>
    <w:p>
      <w:pPr>
        <w:spacing w:after="60" w:before="100"/>
      </w:pPr>
      <w:r>
        <w:t xml:space="preserve"/>
      </w:r>
    </w:p>
    <w:p>
      <w:pPr>
        <w:pBdr>
          <w:top w:val="single" w:color="2E75B6" w:sz="4"/>
        </w:pBdr>
        <w:spacing w:after="40" w:before="80"/>
      </w:pPr>
      <w:r>
        <w:t xml:space="preserve"/>
      </w:r>
    </w:p>
    <w:p>
      <w:pPr>
        <w:spacing w:after="0" w:before="0"/>
        <w:jc w:val="center"/>
      </w:pPr>
      <w:r>
        <w:rPr>
          <w:color w:val="707070"/>
          <w:sz w:val="18"/>
          <w:szCs w:val="18"/>
        </w:rPr>
        <w:t xml:space="preserve">Documento elaborado para uso educacional e suporte à decisão clínica | Dr. Aldenir Rocha — CRM-CE 16587 | </w:t>
      </w:r>
      <w:r>
        <w:rPr>
          <w:i/>
          <w:iCs/>
          <w:color w:val="707070"/>
          <w:sz w:val="18"/>
          <w:szCs w:val="18"/>
        </w:rPr>
        <w:t xml:space="preserve">Atualizado: Maio 2025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40404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Calibri" w:cs="Calibri" w:eastAsia="Calibri" w:hAnsi="Calibri"/>
      <w:b/>
      <w:bCs/>
      <w:color w:val="FFFFFF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Calibri" w:cs="Calibri" w:eastAsia="Calibri" w:hAnsi="Calibri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Calibri" w:cs="Calibri" w:eastAsia="Calibri" w:hAnsi="Calibri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2026-05-15T14:50:48.733Z</dcterms:created>
  <dcterms:modified xsi:type="dcterms:W3CDTF">2026-05-15T14:50:48.733Z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