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b/>
          <w:color w:val="1F4E79"/>
          <w:sz w:val="40"/>
        </w:rPr>
        <w:t>PROJETO DE TCC</w:t>
      </w:r>
    </w:p>
    <w:p>
      <w:pPr>
        <w:jc w:val="center"/>
      </w:pPr>
      <w:r>
        <w:rPr>
          <w:b/>
          <w:color w:val="1F4E79"/>
          <w:sz w:val="36"/>
        </w:rPr>
        <w:t>DESENVOLVIMENTO, ADAPTAÇÃO E VALIDAÇÃO DE UM LIVRO DE PROTOCOLOS ASSISTENCIAIS PARA UTI ADULTO</w:t>
      </w:r>
    </w:p>
    <w:p>
      <w:pPr>
        <w:spacing w:before="240"/>
        <w:jc w:val="center"/>
      </w:pPr>
      <w:r>
        <w:rPr>
          <w:i/>
          <w:sz w:val="24"/>
        </w:rPr>
        <w:t>Modelo estruturado para residência médica em Medicina Intensiva</w:t>
      </w:r>
    </w:p>
    <w:p>
      <w:pPr>
        <w:spacing w:before="560"/>
        <w:jc w:val="center"/>
      </w:pPr>
      <w:r>
        <w:rPr>
          <w:b/>
          <w:sz w:val="24"/>
        </w:rPr>
        <w:t>Produto técnico-científico: compêndio publicável com 10 protocolos essenciais de UTI</w:t>
      </w:r>
    </w:p>
    <w:tbl>
      <w:tblPr>
        <w:tblW w:type="auto" w:w="0"/>
        <w:jc w:val="center"/>
        <w:tblLayout w:type="autofit"/>
        <w:tblLook w:firstColumn="1" w:firstRow="1" w:lastColumn="0" w:lastRow="0" w:noHBand="0" w:noVBand="1" w:val="04A0"/>
      </w:tblPr>
      <w:tblGrid>
        <w:gridCol w:w="10200"/>
      </w:tblGrid>
      <w:tr>
        <w:tc>
          <w:tcPr>
            <w:tcW w:type="dxa" w:w="10200"/>
            <w:shd w:fill="DDEBF7"/>
          </w:tcPr>
          <w:p>
            <w:r>
              <w:rPr>
                <w:b/>
                <w:color w:val="1F4E79"/>
                <w:sz w:val="21"/>
              </w:rPr>
              <w:t>Mensagem central</w:t>
            </w:r>
          </w:p>
          <w:p>
            <w:r>
              <w:rPr>
                <w:sz w:val="20"/>
              </w:rPr>
              <w:t>A proposta mais segura não é apresentar apenas um livro. O ideal é submeter à COREME um estudo metodológico de desenvolvimento, adaptação e validação de protocolos, cujo produto final seja um livro técnico-científico com autoria individualizada, orientação docente, revisão rastreável da literatura e validação por especialistas.</w:t>
            </w:r>
          </w:p>
        </w:tc>
      </w:tr>
    </w:tbl>
    <w:p>
      <w:pPr>
        <w:spacing w:before="800"/>
        <w:jc w:val="center"/>
      </w:pPr>
      <w:r>
        <w:rPr>
          <w:sz w:val="21"/>
        </w:rPr>
        <w:t>Autor(es): Turma de Residentes de Medicina Intensiva</w:t>
        <w:br/>
        <w:t>Orientador(a): ____________________________</w:t>
        <w:br/>
        <w:t>Instituição: ____________________________</w:t>
        <w:br/>
        <w:t>Data: 28 de maio de 2026</w:t>
      </w:r>
    </w:p>
    <w:p>
      <w:r>
        <w:br w:type="page"/>
      </w:r>
    </w:p>
    <w:p>
      <w:pPr>
        <w:pStyle w:val="Heading1"/>
      </w:pPr>
      <w:r>
        <w:t>Sumário</w:t>
      </w:r>
    </w:p>
    <w:p>
      <w:pPr>
        <w:pStyle w:val="ListBullet"/>
      </w:pPr>
      <w:r>
        <w:rPr>
          <w:sz w:val="20"/>
        </w:rPr>
        <w:t>1. Resumo executivo</w:t>
      </w:r>
    </w:p>
    <w:p>
      <w:pPr>
        <w:pStyle w:val="ListBullet"/>
      </w:pPr>
      <w:r>
        <w:rPr>
          <w:sz w:val="20"/>
        </w:rPr>
        <w:t>2. Parecer de viabilidade: pode valer como TCC?</w:t>
      </w:r>
    </w:p>
    <w:p>
      <w:pPr>
        <w:pStyle w:val="ListBullet"/>
      </w:pPr>
      <w:r>
        <w:rPr>
          <w:sz w:val="20"/>
        </w:rPr>
        <w:t>3. Descrição ampliada do projeto</w:t>
      </w:r>
    </w:p>
    <w:p>
      <w:pPr>
        <w:pStyle w:val="ListBullet"/>
      </w:pPr>
      <w:r>
        <w:rPr>
          <w:sz w:val="20"/>
        </w:rPr>
        <w:t>4. Problema, justificativa e objetivos</w:t>
      </w:r>
    </w:p>
    <w:p>
      <w:pPr>
        <w:pStyle w:val="ListBullet"/>
      </w:pPr>
      <w:r>
        <w:rPr>
          <w:sz w:val="20"/>
        </w:rPr>
        <w:t>5. Enquadramento acadêmico e exigências para TCC</w:t>
      </w:r>
    </w:p>
    <w:p>
      <w:pPr>
        <w:pStyle w:val="ListBullet"/>
      </w:pPr>
      <w:r>
        <w:rPr>
          <w:sz w:val="20"/>
        </w:rPr>
        <w:t>6. Uso correto do UpToDate como base de pesquisa</w:t>
      </w:r>
    </w:p>
    <w:p>
      <w:pPr>
        <w:pStyle w:val="ListBullet"/>
      </w:pPr>
      <w:r>
        <w:rPr>
          <w:sz w:val="20"/>
        </w:rPr>
        <w:t>7. Metodologia proposta</w:t>
      </w:r>
    </w:p>
    <w:p>
      <w:pPr>
        <w:pStyle w:val="ListBullet"/>
      </w:pPr>
      <w:r>
        <w:rPr>
          <w:sz w:val="20"/>
        </w:rPr>
        <w:t>8. Livro de protocolos: sumário com 10 capítulos</w:t>
      </w:r>
    </w:p>
    <w:p>
      <w:pPr>
        <w:pStyle w:val="ListBullet"/>
      </w:pPr>
      <w:r>
        <w:rPr>
          <w:sz w:val="20"/>
        </w:rPr>
        <w:t>9. Estrutura padronizada de cada protocolo</w:t>
      </w:r>
    </w:p>
    <w:p>
      <w:pPr>
        <w:pStyle w:val="ListBullet"/>
      </w:pPr>
      <w:r>
        <w:rPr>
          <w:sz w:val="20"/>
        </w:rPr>
        <w:t>10. Descrição científica dos 10 protocolos</w:t>
      </w:r>
    </w:p>
    <w:p>
      <w:pPr>
        <w:pStyle w:val="ListBullet"/>
      </w:pPr>
      <w:r>
        <w:rPr>
          <w:sz w:val="20"/>
        </w:rPr>
        <w:t>11. Validação por especialistas e critérios de consenso</w:t>
      </w:r>
    </w:p>
    <w:p>
      <w:pPr>
        <w:pStyle w:val="ListBullet"/>
      </w:pPr>
      <w:r>
        <w:rPr>
          <w:sz w:val="20"/>
        </w:rPr>
        <w:t>12. Autoria, contribuição individual e governança</w:t>
      </w:r>
    </w:p>
    <w:p>
      <w:pPr>
        <w:pStyle w:val="ListBullet"/>
      </w:pPr>
      <w:r>
        <w:rPr>
          <w:sz w:val="20"/>
        </w:rPr>
        <w:t>13. Cronograma de 12 meses</w:t>
      </w:r>
    </w:p>
    <w:p>
      <w:pPr>
        <w:pStyle w:val="ListBullet"/>
      </w:pPr>
      <w:r>
        <w:rPr>
          <w:sz w:val="20"/>
        </w:rPr>
        <w:t>14. Plano de publicação e produtos derivados</w:t>
      </w:r>
    </w:p>
    <w:p>
      <w:pPr>
        <w:pStyle w:val="ListBullet"/>
      </w:pPr>
      <w:r>
        <w:rPr>
          <w:sz w:val="20"/>
        </w:rPr>
        <w:t>15. Riscos, limites e estratégias de mitigação</w:t>
      </w:r>
    </w:p>
    <w:p>
      <w:pPr>
        <w:pStyle w:val="ListBullet"/>
      </w:pPr>
      <w:r>
        <w:rPr>
          <w:sz w:val="20"/>
        </w:rPr>
        <w:t>16. Anexos operacionais</w:t>
      </w:r>
    </w:p>
    <w:p>
      <w:pPr>
        <w:pStyle w:val="ListBullet"/>
      </w:pPr>
      <w:r>
        <w:rPr>
          <w:sz w:val="20"/>
        </w:rPr>
        <w:t>17. Referências essenciais</w:t>
      </w:r>
    </w:p>
    <w:p>
      <w:r>
        <w:br w:type="page"/>
      </w:r>
    </w:p>
    <w:p>
      <w:pPr>
        <w:pStyle w:val="Heading1"/>
      </w:pPr>
      <w:r>
        <w:t>1. Resumo executivo</w:t>
      </w:r>
    </w:p>
    <w:p>
      <w:r>
        <w:t>Este documento organiza e aprimora a proposta de transformar a produção coletiva de uma turma de residentes em Medicina Intensiva em um projeto de TCC com potencial de publicação científica e utilidade assistencial real. A ideia central é desenvolver um livro/manual de protocolos essenciais de UTI adulto, baseado em evidências, adaptado à realidade institucional e validado por especialistas.</w:t>
      </w:r>
    </w:p>
    <w:p>
      <w:r>
        <w:t>O formato mais robusto é o de estudo metodológico de desenvolvimento, adaptação e validação de protocolos clínico-assistenciais. O livro torna-se o produto técnico-científico final; o TCC documenta o método, as etapas, a revisão bibliográfica, a validação, a contribuição individual dos residentes e o plano de implementação.</w:t>
      </w:r>
    </w:p>
    <w:tbl>
      <w:tblPr>
        <w:tblW w:type="auto" w:w="0"/>
        <w:jc w:val="center"/>
        <w:tblLayout w:type="autofit"/>
        <w:tblLook w:firstColumn="1" w:firstRow="1" w:lastColumn="0" w:lastRow="0" w:noHBand="0" w:noVBand="1" w:val="04A0"/>
      </w:tblPr>
      <w:tblGrid>
        <w:gridCol w:w="10200"/>
      </w:tblGrid>
      <w:tr>
        <w:tc>
          <w:tcPr>
            <w:tcW w:type="dxa" w:w="10200"/>
            <w:shd w:fill="E2F0D9"/>
          </w:tcPr>
          <w:p>
            <w:r>
              <w:rPr>
                <w:b/>
                <w:color w:val="1F4E79"/>
                <w:sz w:val="21"/>
              </w:rPr>
              <w:t>Síntese em uma frase</w:t>
            </w:r>
          </w:p>
          <w:p>
            <w:r>
              <w:rPr>
                <w:sz w:val="20"/>
              </w:rPr>
              <w:t>TCC coletivo + capítulos individualizados + método científico + validação externa + livro com ISBN = formato mais defensável perante COREME, banca e eventual periódico.</w:t>
            </w:r>
          </w:p>
        </w:tc>
      </w:tr>
    </w:tbl>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pPr>
              <w:jc w:val="left"/>
            </w:pPr>
            <w:r/>
            <w:r>
              <w:rPr>
                <w:b/>
                <w:color w:val="FFFFFF"/>
                <w:sz w:val="17"/>
              </w:rPr>
              <w:t>Componente</w:t>
            </w:r>
          </w:p>
        </w:tc>
        <w:tc>
          <w:tcPr>
            <w:tcW w:type="dxa" w:w="6803"/>
            <w:vAlign w:val="center"/>
            <w:shd w:fill="1F4E79"/>
          </w:tcPr>
          <w:p>
            <w:pPr>
              <w:jc w:val="left"/>
            </w:pPr>
            <w:r/>
            <w:r>
              <w:rPr>
                <w:b/>
                <w:color w:val="FFFFFF"/>
                <w:sz w:val="17"/>
              </w:rPr>
              <w:t>Descrição prática</w:t>
            </w:r>
          </w:p>
        </w:tc>
      </w:tr>
      <w:tr>
        <w:tc>
          <w:tcPr>
            <w:tcW w:type="dxa" w:w="2268"/>
            <w:vAlign w:val="center"/>
            <w:shd w:fill="D9EAF7"/>
          </w:tcPr>
          <w:p>
            <w:pPr>
              <w:jc w:val="left"/>
            </w:pPr>
            <w:r/>
            <w:r>
              <w:rPr>
                <w:b w:val="0"/>
                <w:sz w:val="17"/>
              </w:rPr>
              <w:t>Produto acadêmico</w:t>
            </w:r>
          </w:p>
        </w:tc>
        <w:tc>
          <w:tcPr>
            <w:tcW w:type="dxa" w:w="6803"/>
            <w:vAlign w:val="center"/>
          </w:tcPr>
          <w:p>
            <w:pPr>
              <w:jc w:val="left"/>
            </w:pPr>
            <w:r/>
            <w:r>
              <w:rPr>
                <w:b w:val="0"/>
                <w:sz w:val="17"/>
              </w:rPr>
              <w:t>TCC escrito, com introdução, objetivos, método, resultados, discussão, limitações, conclusão e referências.</w:t>
            </w:r>
          </w:p>
        </w:tc>
      </w:tr>
      <w:tr>
        <w:tc>
          <w:tcPr>
            <w:tcW w:type="dxa" w:w="2268"/>
            <w:vAlign w:val="center"/>
            <w:shd w:fill="D9EAF7"/>
          </w:tcPr>
          <w:p>
            <w:pPr>
              <w:jc w:val="left"/>
            </w:pPr>
            <w:r/>
            <w:r>
              <w:rPr>
                <w:b w:val="0"/>
                <w:sz w:val="17"/>
              </w:rPr>
              <w:t>Produto técnico</w:t>
            </w:r>
          </w:p>
        </w:tc>
        <w:tc>
          <w:tcPr>
            <w:tcW w:type="dxa" w:w="6803"/>
            <w:vAlign w:val="center"/>
          </w:tcPr>
          <w:p>
            <w:pPr>
              <w:jc w:val="left"/>
            </w:pPr>
            <w:r/>
            <w:r>
              <w:rPr>
                <w:b w:val="0"/>
                <w:sz w:val="17"/>
              </w:rPr>
              <w:t>Livro/manual com 10 protocolos de UTI adulto, fluxogramas, checklists e indicadores.</w:t>
            </w:r>
          </w:p>
        </w:tc>
      </w:tr>
      <w:tr>
        <w:tc>
          <w:tcPr>
            <w:tcW w:type="dxa" w:w="2268"/>
            <w:vAlign w:val="center"/>
            <w:shd w:fill="D9EAF7"/>
          </w:tcPr>
          <w:p>
            <w:pPr>
              <w:jc w:val="left"/>
            </w:pPr>
            <w:r/>
            <w:r>
              <w:rPr>
                <w:b w:val="0"/>
                <w:sz w:val="17"/>
              </w:rPr>
              <w:t>Método</w:t>
            </w:r>
          </w:p>
        </w:tc>
        <w:tc>
          <w:tcPr>
            <w:tcW w:type="dxa" w:w="6803"/>
            <w:vAlign w:val="center"/>
          </w:tcPr>
          <w:p>
            <w:pPr>
              <w:jc w:val="left"/>
            </w:pPr>
            <w:r/>
            <w:r>
              <w:rPr>
                <w:b w:val="0"/>
                <w:sz w:val="17"/>
              </w:rPr>
              <w:t>Desenvolvimento, adaptação e validação de protocolos com revisão de evidências e consenso de especialistas.</w:t>
            </w:r>
          </w:p>
        </w:tc>
      </w:tr>
      <w:tr>
        <w:tc>
          <w:tcPr>
            <w:tcW w:type="dxa" w:w="2268"/>
            <w:vAlign w:val="center"/>
            <w:shd w:fill="D9EAF7"/>
          </w:tcPr>
          <w:p>
            <w:pPr>
              <w:jc w:val="left"/>
            </w:pPr>
            <w:r/>
            <w:r>
              <w:rPr>
                <w:b w:val="0"/>
                <w:sz w:val="17"/>
              </w:rPr>
              <w:t>Base de pesquisa</w:t>
            </w:r>
          </w:p>
        </w:tc>
        <w:tc>
          <w:tcPr>
            <w:tcW w:type="dxa" w:w="6803"/>
            <w:vAlign w:val="center"/>
          </w:tcPr>
          <w:p>
            <w:pPr>
              <w:jc w:val="left"/>
            </w:pPr>
            <w:r/>
            <w:r>
              <w:rPr>
                <w:b w:val="0"/>
                <w:sz w:val="17"/>
              </w:rPr>
              <w:t>UpToDate como fonte terciária orientadora; diretrizes, trials e revisões sistemáticas como base primária/secundária.</w:t>
            </w:r>
          </w:p>
        </w:tc>
      </w:tr>
      <w:tr>
        <w:tc>
          <w:tcPr>
            <w:tcW w:type="dxa" w:w="2268"/>
            <w:vAlign w:val="center"/>
            <w:shd w:fill="D9EAF7"/>
          </w:tcPr>
          <w:p>
            <w:pPr>
              <w:jc w:val="left"/>
            </w:pPr>
            <w:r/>
            <w:r>
              <w:rPr>
                <w:b w:val="0"/>
                <w:sz w:val="17"/>
              </w:rPr>
              <w:t>Validação</w:t>
            </w:r>
          </w:p>
        </w:tc>
        <w:tc>
          <w:tcPr>
            <w:tcW w:type="dxa" w:w="6803"/>
            <w:vAlign w:val="center"/>
          </w:tcPr>
          <w:p>
            <w:pPr>
              <w:jc w:val="left"/>
            </w:pPr>
            <w:r/>
            <w:r>
              <w:rPr>
                <w:b w:val="0"/>
                <w:sz w:val="17"/>
              </w:rPr>
              <w:t>Delphi modificado ou painel de especialistas com critério de consenso pré-definido.</w:t>
            </w:r>
          </w:p>
        </w:tc>
      </w:tr>
      <w:tr>
        <w:tc>
          <w:tcPr>
            <w:tcW w:type="dxa" w:w="2268"/>
            <w:vAlign w:val="center"/>
            <w:shd w:fill="D9EAF7"/>
          </w:tcPr>
          <w:p>
            <w:pPr>
              <w:jc w:val="left"/>
            </w:pPr>
            <w:r/>
            <w:r>
              <w:rPr>
                <w:b w:val="0"/>
                <w:sz w:val="17"/>
              </w:rPr>
              <w:t>Exigência institucional</w:t>
            </w:r>
          </w:p>
        </w:tc>
        <w:tc>
          <w:tcPr>
            <w:tcW w:type="dxa" w:w="6803"/>
            <w:vAlign w:val="center"/>
          </w:tcPr>
          <w:p>
            <w:pPr>
              <w:jc w:val="left"/>
            </w:pPr>
            <w:r/>
            <w:r>
              <w:rPr>
                <w:b w:val="0"/>
                <w:sz w:val="17"/>
              </w:rPr>
              <w:t>Aprovação prévia pela COREME, orientador formal, banca, documentação da autoria e adequação às normas locais.</w:t>
            </w:r>
          </w:p>
        </w:tc>
      </w:tr>
    </w:tbl>
    <w:p>
      <w:pPr>
        <w:pStyle w:val="Heading1"/>
      </w:pPr>
      <w:r>
        <w:t>2. Parecer de viabilidade: pode valer como TCC?</w:t>
      </w:r>
    </w:p>
    <w:p>
      <w:r>
        <w:t>Sim, a proposta é viável, desde que não seja apresentada apenas como “um livro feito pela turma”. Para ter força acadêmica, ela deve ser estruturada como projeto metodológico de produção científica aplicada, com protocolo de pesquisa aprovado pela residência, orientação docente e critérios objetivos de validação.</w:t>
      </w:r>
    </w:p>
    <w:p>
      <w:pPr>
        <w:pStyle w:val="Heading2"/>
      </w:pPr>
      <w:r>
        <w:t>2.1. Formulação inadequada</w:t>
      </w:r>
    </w:p>
    <w:tbl>
      <w:tblPr>
        <w:tblW w:type="auto" w:w="0"/>
        <w:jc w:val="center"/>
        <w:tblLayout w:type="autofit"/>
        <w:tblLook w:firstColumn="1" w:firstRow="1" w:lastColumn="0" w:lastRow="0" w:noHBand="0" w:noVBand="1" w:val="04A0"/>
      </w:tblPr>
      <w:tblGrid>
        <w:gridCol w:w="10200"/>
      </w:tblGrid>
      <w:tr>
        <w:tc>
          <w:tcPr>
            <w:tcW w:type="dxa" w:w="10200"/>
            <w:shd w:fill="FCE4D6"/>
          </w:tcPr>
          <w:p>
            <w:r>
              <w:rPr>
                <w:b/>
                <w:color w:val="1F4E79"/>
                <w:sz w:val="21"/>
              </w:rPr>
              <w:t>Evitar</w:t>
            </w:r>
          </w:p>
          <w:p>
            <w:r>
              <w:rPr>
                <w:sz w:val="20"/>
              </w:rPr>
              <w:t>“Queremos lançar um livro de protocolos e usar isso como TCC.”</w:t>
            </w:r>
          </w:p>
        </w:tc>
      </w:tr>
    </w:tbl>
    <w:p>
      <w:pPr>
        <w:pStyle w:val="Heading2"/>
      </w:pPr>
      <w:r>
        <w:t>2.2. Formulação recomendada</w:t>
      </w:r>
    </w:p>
    <w:tbl>
      <w:tblPr>
        <w:tblW w:type="auto" w:w="0"/>
        <w:jc w:val="center"/>
        <w:tblLayout w:type="autofit"/>
        <w:tblLook w:firstColumn="1" w:firstRow="1" w:lastColumn="0" w:lastRow="0" w:noHBand="0" w:noVBand="1" w:val="04A0"/>
      </w:tblPr>
      <w:tblGrid>
        <w:gridCol w:w="10200"/>
      </w:tblGrid>
      <w:tr>
        <w:tc>
          <w:tcPr>
            <w:tcW w:type="dxa" w:w="10200"/>
            <w:shd w:fill="E2F0D9"/>
          </w:tcPr>
          <w:p>
            <w:r>
              <w:rPr>
                <w:b/>
                <w:color w:val="1F4E79"/>
                <w:sz w:val="21"/>
              </w:rPr>
              <w:t>Apresentação ideal à COREME</w:t>
            </w:r>
          </w:p>
          <w:p>
            <w:r>
              <w:rPr>
                <w:sz w:val="20"/>
              </w:rPr>
              <w:t>“Propomos um estudo metodológico de desenvolvimento, adaptação e validação de um compêndio de protocolos assistenciais em UTI adulto, baseado em evidências e adaptado ao contexto institucional. O produto técnico final será um livro/manual de protocolos, com capítulos individualizados por residente, revisão por especialistas e plano de implementação.”</w:t>
            </w:r>
          </w:p>
        </w:tc>
      </w:tr>
    </w:tbl>
    <w:p>
      <w:pPr>
        <w:pStyle w:val="Heading1"/>
      </w:pPr>
      <w:r>
        <w:t>3. Descrição ampliada do projeto</w:t>
      </w:r>
    </w:p>
    <w:p>
      <w:r>
        <w:t>O projeto propõe a construção de um compêndio com 10 protocolos essenciais de terapia intensiva adulto. Cada capítulo será elaborado por um residente ou dupla de residentes, sob supervisão de um orientador e revisão de especialistas. O livro terá linguagem prática, mas será sustentado por metodologia científica, incluindo perguntas clínicas, busca bibliográfica, avaliação crítica de diretrizes, adaptação local e validação por consenso.</w:t>
      </w:r>
    </w:p>
    <w:p>
      <w:pPr>
        <w:pStyle w:val="Heading2"/>
      </w:pPr>
      <w:r>
        <w:t>3.1. Título sugerido do TCC</w:t>
      </w:r>
    </w:p>
    <w:p>
      <w:r>
        <w:t>Desenvolvimento, adaptação e validação de um compêndio de protocolos assistenciais para unidade de terapia intensiva adulto: estudo metodológico em programa de residência médica em Medicina Intensiva.</w:t>
      </w:r>
    </w:p>
    <w:p>
      <w:pPr>
        <w:pStyle w:val="Heading2"/>
      </w:pPr>
      <w:r>
        <w:t>3.2. Título sugerido do livro</w:t>
      </w:r>
    </w:p>
    <w:p>
      <w:r>
        <w:t>Protocolos Essenciais de Terapia Intensiva Adulto: Manual Prático do Residente e da Equipe Multiprofissional.</w:t>
      </w:r>
    </w:p>
    <w:p>
      <w:pPr>
        <w:pStyle w:val="Heading2"/>
      </w:pPr>
      <w:r>
        <w:t>3.3. Natureza do produto</w:t>
      </w:r>
    </w:p>
    <w:p>
      <w:pPr>
        <w:pStyle w:val="ListBullet"/>
      </w:pPr>
      <w:r>
        <w:rPr>
          <w:sz w:val="21"/>
        </w:rPr>
        <w:t>Produto técnico-científico educacional e assistencial.</w:t>
      </w:r>
    </w:p>
    <w:p>
      <w:pPr>
        <w:pStyle w:val="ListBullet"/>
      </w:pPr>
      <w:r>
        <w:rPr>
          <w:sz w:val="21"/>
        </w:rPr>
        <w:t>Manual institucional ou interinstitucional de protocolos.</w:t>
      </w:r>
    </w:p>
    <w:p>
      <w:pPr>
        <w:pStyle w:val="ListBullet"/>
      </w:pPr>
      <w:r>
        <w:rPr>
          <w:sz w:val="21"/>
        </w:rPr>
        <w:t>Material de apoio à residência médica.</w:t>
      </w:r>
    </w:p>
    <w:p>
      <w:pPr>
        <w:pStyle w:val="ListBullet"/>
      </w:pPr>
      <w:r>
        <w:rPr>
          <w:sz w:val="21"/>
        </w:rPr>
        <w:t>Base para implantação de indicadores de qualidade e segurança do paciente.</w:t>
      </w:r>
    </w:p>
    <w:p>
      <w:pPr>
        <w:pStyle w:val="ListBullet"/>
      </w:pPr>
      <w:r>
        <w:rPr>
          <w:sz w:val="21"/>
        </w:rPr>
        <w:t>Potencial de publicação como livro com ISBN e/ou artigo metodológico.</w:t>
      </w:r>
    </w:p>
    <w:p>
      <w:pPr>
        <w:pStyle w:val="Heading1"/>
      </w:pPr>
      <w:r>
        <w:t>4. Problema, justificativa e objetivos</w:t>
      </w:r>
    </w:p>
    <w:p>
      <w:pPr>
        <w:pStyle w:val="Heading2"/>
      </w:pPr>
      <w:r>
        <w:t>4.1. Problema de pesquisa</w:t>
      </w:r>
    </w:p>
    <w:p>
      <w:r>
        <w:t>A assistência ao paciente crítico envolve decisões complexas, urgentes e frequentemente multiprofissionais. A ausência de protocolos padronizados, atualizados e adaptados à realidade local pode aumentar a variabilidade de condutas, dificultar o ensino dos residentes e comprometer indicadores de segurança e qualidade assistencial.</w:t>
      </w:r>
    </w:p>
    <w:p>
      <w:pPr>
        <w:pStyle w:val="Heading2"/>
      </w:pPr>
      <w:r>
        <w:t>4.2. Pergunta norteadora</w:t>
      </w:r>
    </w:p>
    <w:p>
      <w:r>
        <w:t>É possível desenvolver, adaptar e validar um compêndio de protocolos essenciais de UTI adulto, baseado em evidências científicas e aplicável ao contexto de uma residência médica em Medicina Intensiva?</w:t>
      </w:r>
    </w:p>
    <w:p>
      <w:pPr>
        <w:pStyle w:val="Heading2"/>
      </w:pPr>
      <w:r>
        <w:t>4.3. Justificativa</w:t>
      </w:r>
    </w:p>
    <w:p>
      <w:r>
        <w:t>A elaboração de protocolos por residentes permite integrar ensino, assistência, pesquisa e gestão da qualidade. Além disso, fortalece competências centrais da Medicina Intensiva: leitura crítica da literatura, tomada de decisão baseada em evidências, trabalho em equipe, padronização de fluxos e comunicação segura durante o plantão.</w:t>
      </w:r>
    </w:p>
    <w:p>
      <w:pPr>
        <w:pStyle w:val="Heading2"/>
      </w:pPr>
      <w:r>
        <w:t>4.4. Objetivo geral</w:t>
      </w:r>
    </w:p>
    <w:p>
      <w:r>
        <w:t>Desenvolver, adaptar e validar um livro de protocolos assistenciais essenciais para UTI adulto, com base em evidências científicas, diretrizes atualizadas e realidade institucional.</w:t>
      </w:r>
    </w:p>
    <w:p>
      <w:pPr>
        <w:pStyle w:val="Heading2"/>
      </w:pPr>
      <w:r>
        <w:t>4.5. Objetivos específicos</w:t>
      </w:r>
    </w:p>
    <w:p>
      <w:pPr>
        <w:pStyle w:val="ListBullet"/>
      </w:pPr>
      <w:r>
        <w:rPr>
          <w:sz w:val="21"/>
        </w:rPr>
        <w:t>Selecionar os 10 temas prioritários para assistência em UTI adulto.</w:t>
      </w:r>
    </w:p>
    <w:p>
      <w:pPr>
        <w:pStyle w:val="ListBullet"/>
      </w:pPr>
      <w:r>
        <w:rPr>
          <w:sz w:val="21"/>
        </w:rPr>
        <w:t>Elaborar perguntas clínicas estruturadas para cada protocolo.</w:t>
      </w:r>
    </w:p>
    <w:p>
      <w:pPr>
        <w:pStyle w:val="ListBullet"/>
      </w:pPr>
      <w:r>
        <w:rPr>
          <w:sz w:val="21"/>
        </w:rPr>
        <w:t>Realizar revisão bibliográfica rastreável em UpToDate, PubMed, diretrizes e sociedades científicas.</w:t>
      </w:r>
    </w:p>
    <w:p>
      <w:pPr>
        <w:pStyle w:val="ListBullet"/>
      </w:pPr>
      <w:r>
        <w:rPr>
          <w:sz w:val="21"/>
        </w:rPr>
        <w:t>Construir recomendações práticas com nível de evidência e grau de recomendação quando possível.</w:t>
      </w:r>
    </w:p>
    <w:p>
      <w:pPr>
        <w:pStyle w:val="ListBullet"/>
      </w:pPr>
      <w:r>
        <w:rPr>
          <w:sz w:val="21"/>
        </w:rPr>
        <w:t>Adaptar recomendações ao contexto local, considerando recursos disponíveis, fluxos, equipe e limitações institucionais.</w:t>
      </w:r>
    </w:p>
    <w:p>
      <w:pPr>
        <w:pStyle w:val="ListBullet"/>
      </w:pPr>
      <w:r>
        <w:rPr>
          <w:sz w:val="21"/>
        </w:rPr>
        <w:t>Validar os protocolos por especialistas mediante painel de consenso ou Delphi modificado.</w:t>
      </w:r>
    </w:p>
    <w:p>
      <w:pPr>
        <w:pStyle w:val="ListBullet"/>
      </w:pPr>
      <w:r>
        <w:rPr>
          <w:sz w:val="21"/>
        </w:rPr>
        <w:t>Produzir livro/manual final com fluxogramas, checklists, tabelas de doses, alertas e indicadores de qualidade.</w:t>
      </w:r>
    </w:p>
    <w:p>
      <w:pPr>
        <w:pStyle w:val="ListBullet"/>
      </w:pPr>
      <w:r>
        <w:rPr>
          <w:sz w:val="21"/>
        </w:rPr>
        <w:t>Submeter o produto à banca de TCC, COREME e, idealmente, a publicação científica ou editorial.</w:t>
      </w:r>
    </w:p>
    <w:p>
      <w:pPr>
        <w:pStyle w:val="Heading1"/>
      </w:pPr>
      <w:r>
        <w:t>5. Enquadramento acadêmico e exigências para TCC</w:t>
      </w:r>
    </w:p>
    <w:p>
      <w:r>
        <w:t>Como as regras de TCC podem variar entre instituições, a aceitação formal depende da COREME, do regimento da residência e das normas internas da instituição. Portanto, o primeiro passo deve ser obter autorização prévia, preferencialmente por escrito, para que o produto técnico-científico coletivo seja aceito como TCC, com autoria e avaliação individualizadas.</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1F4E79"/>
          </w:tcPr>
          <w:p>
            <w:pPr>
              <w:jc w:val="left"/>
            </w:pPr>
            <w:r/>
            <w:r>
              <w:rPr>
                <w:b/>
                <w:color w:val="FFFFFF"/>
                <w:sz w:val="16"/>
              </w:rPr>
              <w:t>Item</w:t>
            </w:r>
          </w:p>
        </w:tc>
        <w:tc>
          <w:tcPr>
            <w:tcW w:type="dxa" w:w="2268"/>
            <w:vAlign w:val="center"/>
            <w:shd w:fill="1F4E79"/>
          </w:tcPr>
          <w:p>
            <w:pPr>
              <w:jc w:val="left"/>
            </w:pPr>
            <w:r/>
            <w:r>
              <w:rPr>
                <w:b/>
                <w:color w:val="FFFFFF"/>
                <w:sz w:val="16"/>
              </w:rPr>
              <w:t>Recomendação</w:t>
            </w:r>
          </w:p>
        </w:tc>
        <w:tc>
          <w:tcPr>
            <w:tcW w:type="dxa" w:w="4535"/>
            <w:vAlign w:val="center"/>
            <w:shd w:fill="1F4E79"/>
          </w:tcPr>
          <w:p>
            <w:pPr>
              <w:jc w:val="left"/>
            </w:pPr>
            <w:r/>
            <w:r>
              <w:rPr>
                <w:b/>
                <w:color w:val="FFFFFF"/>
                <w:sz w:val="16"/>
              </w:rPr>
              <w:t>Por que importa</w:t>
            </w:r>
          </w:p>
        </w:tc>
      </w:tr>
      <w:tr>
        <w:tc>
          <w:tcPr>
            <w:tcW w:type="dxa" w:w="2268"/>
            <w:vAlign w:val="center"/>
            <w:shd w:fill="D9EAF7"/>
          </w:tcPr>
          <w:p>
            <w:pPr>
              <w:jc w:val="left"/>
            </w:pPr>
            <w:r/>
            <w:r>
              <w:rPr>
                <w:b w:val="0"/>
                <w:sz w:val="16"/>
              </w:rPr>
              <w:t>Aprovação prévia da COREME</w:t>
            </w:r>
          </w:p>
        </w:tc>
        <w:tc>
          <w:tcPr>
            <w:tcW w:type="dxa" w:w="2268"/>
            <w:vAlign w:val="center"/>
          </w:tcPr>
          <w:p>
            <w:pPr>
              <w:jc w:val="left"/>
            </w:pPr>
            <w:r/>
            <w:r>
              <w:rPr>
                <w:b w:val="0"/>
                <w:sz w:val="16"/>
              </w:rPr>
              <w:t>Obrigatória ou fortemente necessária</w:t>
            </w:r>
          </w:p>
        </w:tc>
        <w:tc>
          <w:tcPr>
            <w:tcW w:type="dxa" w:w="4535"/>
            <w:vAlign w:val="center"/>
          </w:tcPr>
          <w:p>
            <w:pPr>
              <w:jc w:val="left"/>
            </w:pPr>
            <w:r/>
            <w:r>
              <w:rPr>
                <w:b w:val="0"/>
                <w:sz w:val="16"/>
              </w:rPr>
              <w:t>Evita que o projeto seja rejeitado ao final por formato inadequado.</w:t>
            </w:r>
          </w:p>
        </w:tc>
      </w:tr>
      <w:tr>
        <w:tc>
          <w:tcPr>
            <w:tcW w:type="dxa" w:w="2268"/>
            <w:vAlign w:val="center"/>
            <w:shd w:fill="D9EAF7"/>
          </w:tcPr>
          <w:p>
            <w:pPr>
              <w:jc w:val="left"/>
            </w:pPr>
            <w:r/>
            <w:r>
              <w:rPr>
                <w:b w:val="0"/>
                <w:sz w:val="16"/>
              </w:rPr>
              <w:t>Orientador formal</w:t>
            </w:r>
          </w:p>
        </w:tc>
        <w:tc>
          <w:tcPr>
            <w:tcW w:type="dxa" w:w="2268"/>
            <w:vAlign w:val="center"/>
          </w:tcPr>
          <w:p>
            <w:pPr>
              <w:jc w:val="left"/>
            </w:pPr>
            <w:r/>
            <w:r>
              <w:rPr>
                <w:b w:val="0"/>
                <w:sz w:val="16"/>
              </w:rPr>
              <w:t>Obrigatório</w:t>
            </w:r>
          </w:p>
        </w:tc>
        <w:tc>
          <w:tcPr>
            <w:tcW w:type="dxa" w:w="4535"/>
            <w:vAlign w:val="center"/>
          </w:tcPr>
          <w:p>
            <w:pPr>
              <w:jc w:val="left"/>
            </w:pPr>
            <w:r/>
            <w:r>
              <w:rPr>
                <w:b w:val="0"/>
                <w:sz w:val="16"/>
              </w:rPr>
              <w:t>Garante supervisão técnica, científica e institucional.</w:t>
            </w:r>
          </w:p>
        </w:tc>
      </w:tr>
      <w:tr>
        <w:tc>
          <w:tcPr>
            <w:tcW w:type="dxa" w:w="2268"/>
            <w:vAlign w:val="center"/>
            <w:shd w:fill="D9EAF7"/>
          </w:tcPr>
          <w:p>
            <w:pPr>
              <w:jc w:val="left"/>
            </w:pPr>
            <w:r/>
            <w:r>
              <w:rPr>
                <w:b w:val="0"/>
                <w:sz w:val="16"/>
              </w:rPr>
              <w:t>Coorientador metodológico</w:t>
            </w:r>
          </w:p>
        </w:tc>
        <w:tc>
          <w:tcPr>
            <w:tcW w:type="dxa" w:w="2268"/>
            <w:vAlign w:val="center"/>
          </w:tcPr>
          <w:p>
            <w:pPr>
              <w:jc w:val="left"/>
            </w:pPr>
            <w:r/>
            <w:r>
              <w:rPr>
                <w:b w:val="0"/>
                <w:sz w:val="16"/>
              </w:rPr>
              <w:t>Recomendado</w:t>
            </w:r>
          </w:p>
        </w:tc>
        <w:tc>
          <w:tcPr>
            <w:tcW w:type="dxa" w:w="4535"/>
            <w:vAlign w:val="center"/>
          </w:tcPr>
          <w:p>
            <w:pPr>
              <w:jc w:val="left"/>
            </w:pPr>
            <w:r/>
            <w:r>
              <w:rPr>
                <w:b w:val="0"/>
                <w:sz w:val="16"/>
              </w:rPr>
              <w:t>Fortalece revisão bibliográfica, Delphi, GRADE, estatística e redação científica.</w:t>
            </w:r>
          </w:p>
        </w:tc>
      </w:tr>
      <w:tr>
        <w:tc>
          <w:tcPr>
            <w:tcW w:type="dxa" w:w="2268"/>
            <w:vAlign w:val="center"/>
            <w:shd w:fill="D9EAF7"/>
          </w:tcPr>
          <w:p>
            <w:pPr>
              <w:jc w:val="left"/>
            </w:pPr>
            <w:r/>
            <w:r>
              <w:rPr>
                <w:b w:val="0"/>
                <w:sz w:val="16"/>
              </w:rPr>
              <w:t>Projeto escrito</w:t>
            </w:r>
          </w:p>
        </w:tc>
        <w:tc>
          <w:tcPr>
            <w:tcW w:type="dxa" w:w="2268"/>
            <w:vAlign w:val="center"/>
          </w:tcPr>
          <w:p>
            <w:pPr>
              <w:jc w:val="left"/>
            </w:pPr>
            <w:r/>
            <w:r>
              <w:rPr>
                <w:b w:val="0"/>
                <w:sz w:val="16"/>
              </w:rPr>
              <w:t>Obrigatório</w:t>
            </w:r>
          </w:p>
        </w:tc>
        <w:tc>
          <w:tcPr>
            <w:tcW w:type="dxa" w:w="4535"/>
            <w:vAlign w:val="center"/>
          </w:tcPr>
          <w:p>
            <w:pPr>
              <w:jc w:val="left"/>
            </w:pPr>
            <w:r/>
            <w:r>
              <w:rPr>
                <w:b w:val="0"/>
                <w:sz w:val="16"/>
              </w:rPr>
              <w:t>Define objetivos, método, cronograma e responsabilidades antes da execução.</w:t>
            </w:r>
          </w:p>
        </w:tc>
      </w:tr>
      <w:tr>
        <w:tc>
          <w:tcPr>
            <w:tcW w:type="dxa" w:w="2268"/>
            <w:vAlign w:val="center"/>
            <w:shd w:fill="D9EAF7"/>
          </w:tcPr>
          <w:p>
            <w:pPr>
              <w:jc w:val="left"/>
            </w:pPr>
            <w:r/>
            <w:r>
              <w:rPr>
                <w:b w:val="0"/>
                <w:sz w:val="16"/>
              </w:rPr>
              <w:t>Autoria individualizada</w:t>
            </w:r>
          </w:p>
        </w:tc>
        <w:tc>
          <w:tcPr>
            <w:tcW w:type="dxa" w:w="2268"/>
            <w:vAlign w:val="center"/>
          </w:tcPr>
          <w:p>
            <w:pPr>
              <w:jc w:val="left"/>
            </w:pPr>
            <w:r/>
            <w:r>
              <w:rPr>
                <w:b w:val="0"/>
                <w:sz w:val="16"/>
              </w:rPr>
              <w:t>Obrigatória</w:t>
            </w:r>
          </w:p>
        </w:tc>
        <w:tc>
          <w:tcPr>
            <w:tcW w:type="dxa" w:w="4535"/>
            <w:vAlign w:val="center"/>
          </w:tcPr>
          <w:p>
            <w:pPr>
              <w:jc w:val="left"/>
            </w:pPr>
            <w:r/>
            <w:r>
              <w:rPr>
                <w:b w:val="0"/>
                <w:sz w:val="16"/>
              </w:rPr>
              <w:t>Cada residente precisa demonstrar sua contribuição própria para avaliação.</w:t>
            </w:r>
          </w:p>
        </w:tc>
      </w:tr>
      <w:tr>
        <w:tc>
          <w:tcPr>
            <w:tcW w:type="dxa" w:w="2268"/>
            <w:vAlign w:val="center"/>
            <w:shd w:fill="D9EAF7"/>
          </w:tcPr>
          <w:p>
            <w:pPr>
              <w:jc w:val="left"/>
            </w:pPr>
            <w:r/>
            <w:r>
              <w:rPr>
                <w:b w:val="0"/>
                <w:sz w:val="16"/>
              </w:rPr>
              <w:t>Banca/defesa</w:t>
            </w:r>
          </w:p>
        </w:tc>
        <w:tc>
          <w:tcPr>
            <w:tcW w:type="dxa" w:w="2268"/>
            <w:vAlign w:val="center"/>
          </w:tcPr>
          <w:p>
            <w:pPr>
              <w:jc w:val="left"/>
            </w:pPr>
            <w:r/>
            <w:r>
              <w:rPr>
                <w:b w:val="0"/>
                <w:sz w:val="16"/>
              </w:rPr>
              <w:t>Conforme regimento</w:t>
            </w:r>
          </w:p>
        </w:tc>
        <w:tc>
          <w:tcPr>
            <w:tcW w:type="dxa" w:w="4535"/>
            <w:vAlign w:val="center"/>
          </w:tcPr>
          <w:p>
            <w:pPr>
              <w:jc w:val="left"/>
            </w:pPr>
            <w:r/>
            <w:r>
              <w:rPr>
                <w:b w:val="0"/>
                <w:sz w:val="16"/>
              </w:rPr>
              <w:t>Formaliza a avaliação acadêmica.</w:t>
            </w:r>
          </w:p>
        </w:tc>
      </w:tr>
      <w:tr>
        <w:tc>
          <w:tcPr>
            <w:tcW w:type="dxa" w:w="2268"/>
            <w:vAlign w:val="center"/>
            <w:shd w:fill="D9EAF7"/>
          </w:tcPr>
          <w:p>
            <w:pPr>
              <w:jc w:val="left"/>
            </w:pPr>
            <w:r/>
            <w:r>
              <w:rPr>
                <w:b w:val="0"/>
                <w:sz w:val="16"/>
              </w:rPr>
              <w:t>CEP/CONEP</w:t>
            </w:r>
          </w:p>
        </w:tc>
        <w:tc>
          <w:tcPr>
            <w:tcW w:type="dxa" w:w="2268"/>
            <w:vAlign w:val="center"/>
          </w:tcPr>
          <w:p>
            <w:pPr>
              <w:jc w:val="left"/>
            </w:pPr>
            <w:r/>
            <w:r>
              <w:rPr>
                <w:b w:val="0"/>
                <w:sz w:val="16"/>
              </w:rPr>
              <w:t>Avaliar necessidade</w:t>
            </w:r>
          </w:p>
        </w:tc>
        <w:tc>
          <w:tcPr>
            <w:tcW w:type="dxa" w:w="4535"/>
            <w:vAlign w:val="center"/>
          </w:tcPr>
          <w:p>
            <w:pPr>
              <w:jc w:val="left"/>
            </w:pPr>
            <w:r/>
            <w:r>
              <w:rPr>
                <w:b w:val="0"/>
                <w:sz w:val="16"/>
              </w:rPr>
              <w:t>Pode ser necessário se houver especialistas participantes, dados de pacientes ou pesquisa com seres humanos.</w:t>
            </w:r>
          </w:p>
        </w:tc>
      </w:tr>
      <w:tr>
        <w:tc>
          <w:tcPr>
            <w:tcW w:type="dxa" w:w="2268"/>
            <w:vAlign w:val="center"/>
            <w:shd w:fill="D9EAF7"/>
          </w:tcPr>
          <w:p>
            <w:pPr>
              <w:jc w:val="left"/>
            </w:pPr>
            <w:r/>
            <w:r>
              <w:rPr>
                <w:b w:val="0"/>
                <w:sz w:val="16"/>
              </w:rPr>
              <w:t>ISBN/DOI</w:t>
            </w:r>
          </w:p>
        </w:tc>
        <w:tc>
          <w:tcPr>
            <w:tcW w:type="dxa" w:w="2268"/>
            <w:vAlign w:val="center"/>
          </w:tcPr>
          <w:p>
            <w:pPr>
              <w:jc w:val="left"/>
            </w:pPr>
            <w:r/>
            <w:r>
              <w:rPr>
                <w:b w:val="0"/>
                <w:sz w:val="16"/>
              </w:rPr>
              <w:t>Recomendado</w:t>
            </w:r>
          </w:p>
        </w:tc>
        <w:tc>
          <w:tcPr>
            <w:tcW w:type="dxa" w:w="4535"/>
            <w:vAlign w:val="center"/>
          </w:tcPr>
          <w:p>
            <w:pPr>
              <w:jc w:val="left"/>
            </w:pPr>
            <w:r/>
            <w:r>
              <w:rPr>
                <w:b w:val="0"/>
                <w:sz w:val="16"/>
              </w:rPr>
              <w:t>Aumenta rastreabilidade e valor editorial do produto final.</w:t>
            </w:r>
          </w:p>
        </w:tc>
      </w:tr>
      <w:tr>
        <w:tc>
          <w:tcPr>
            <w:tcW w:type="dxa" w:w="2268"/>
            <w:vAlign w:val="center"/>
            <w:shd w:fill="D9EAF7"/>
          </w:tcPr>
          <w:p>
            <w:pPr>
              <w:jc w:val="left"/>
            </w:pPr>
            <w:r/>
            <w:r>
              <w:rPr>
                <w:b w:val="0"/>
                <w:sz w:val="16"/>
              </w:rPr>
              <w:t>Artigo derivado</w:t>
            </w:r>
          </w:p>
        </w:tc>
        <w:tc>
          <w:tcPr>
            <w:tcW w:type="dxa" w:w="2268"/>
            <w:vAlign w:val="center"/>
          </w:tcPr>
          <w:p>
            <w:pPr>
              <w:jc w:val="left"/>
            </w:pPr>
            <w:r/>
            <w:r>
              <w:rPr>
                <w:b w:val="0"/>
                <w:sz w:val="16"/>
              </w:rPr>
              <w:t>Altamente recomendado</w:t>
            </w:r>
          </w:p>
        </w:tc>
        <w:tc>
          <w:tcPr>
            <w:tcW w:type="dxa" w:w="4535"/>
            <w:vAlign w:val="center"/>
          </w:tcPr>
          <w:p>
            <w:pPr>
              <w:jc w:val="left"/>
            </w:pPr>
            <w:r/>
            <w:r>
              <w:rPr>
                <w:b w:val="0"/>
                <w:sz w:val="16"/>
              </w:rPr>
              <w:t>Transforma o TCC em produção científica publicável.</w:t>
            </w:r>
          </w:p>
        </w:tc>
      </w:tr>
    </w:tbl>
    <w:tbl>
      <w:tblPr>
        <w:tblW w:type="auto" w:w="0"/>
        <w:jc w:val="center"/>
        <w:tblLayout w:type="autofit"/>
        <w:tblLook w:firstColumn="1" w:firstRow="1" w:lastColumn="0" w:lastRow="0" w:noHBand="0" w:noVBand="1" w:val="04A0"/>
      </w:tblPr>
      <w:tblGrid>
        <w:gridCol w:w="10200"/>
      </w:tblGrid>
      <w:tr>
        <w:tc>
          <w:tcPr>
            <w:tcW w:type="dxa" w:w="10200"/>
            <w:shd w:fill="FFF2CC"/>
          </w:tcPr>
          <w:p>
            <w:r>
              <w:rPr>
                <w:b/>
                <w:color w:val="1F4E79"/>
                <w:sz w:val="21"/>
              </w:rPr>
              <w:t>Ponto crítico</w:t>
            </w:r>
          </w:p>
          <w:p>
            <w:r>
              <w:rPr>
                <w:sz w:val="20"/>
              </w:rPr>
              <w:t>O livro não substitui automaticamente o TCC. O TCC deve demonstrar método científico. O livro é o produto final; o trabalho acadêmico explica como ele foi desenvolvido, validado e por que é confiável.</w:t>
            </w:r>
          </w:p>
        </w:tc>
      </w:tr>
    </w:tbl>
    <w:p>
      <w:pPr>
        <w:pStyle w:val="Heading1"/>
      </w:pPr>
      <w:r>
        <w:t>6. Uso correto do UpToDate como base de pesquisa</w:t>
      </w:r>
    </w:p>
    <w:p>
      <w:r>
        <w:t>O UpToDate pode ser usado como fonte terciária de alto valor para orientação inicial, identificação de temas, organização de condutas e localização rápida de referências relevantes. Entretanto, por ser material protegido por direitos autorais e por não substituir diretrizes originais, não deve ser copiado nem utilizado como única fonte bibliográfica.</w:t>
      </w:r>
    </w:p>
    <w:p>
      <w:pPr>
        <w:pStyle w:val="Heading2"/>
      </w:pPr>
      <w:r>
        <w:t>6.1. Regra prática</w:t>
      </w:r>
    </w:p>
    <w:tbl>
      <w:tblPr>
        <w:tblW w:type="auto" w:w="0"/>
        <w:jc w:val="center"/>
        <w:tblLayout w:type="autofit"/>
        <w:tblLook w:firstColumn="1" w:firstRow="1" w:lastColumn="0" w:lastRow="0" w:noHBand="0" w:noVBand="1" w:val="04A0"/>
      </w:tblPr>
      <w:tblGrid>
        <w:gridCol w:w="10200"/>
      </w:tblGrid>
      <w:tr>
        <w:tc>
          <w:tcPr>
            <w:tcW w:type="dxa" w:w="10200"/>
            <w:shd w:fill="DDEBF7"/>
          </w:tcPr>
          <w:p>
            <w:r>
              <w:rPr>
                <w:b/>
                <w:color w:val="1F4E79"/>
                <w:sz w:val="21"/>
              </w:rPr>
              <w:t>Como usar corretamente</w:t>
            </w:r>
          </w:p>
          <w:p>
            <w:r>
              <w:rPr>
                <w:sz w:val="20"/>
              </w:rPr>
              <w:t>UpToDate deve funcionar como bússola clínica: aponta caminhos, organiza raciocínio e indica referências. As recomendações finais do livro devem ser redigidas em texto próprio e ancoradas em diretrizes, consensos, ensaios clínicos, revisões sistemáticas e documentos institucionais.</w:t>
            </w:r>
          </w:p>
        </w:tc>
      </w:tr>
    </w:tbl>
    <w:p>
      <w:pPr>
        <w:pStyle w:val="Heading2"/>
      </w:pPr>
      <w:r>
        <w:t>6.2. Fluxo recomendado de pesquisa a partir do UpToDate</w:t>
      </w:r>
    </w:p>
    <w:p>
      <w:pPr>
        <w:pStyle w:val="ListNumber"/>
      </w:pPr>
      <w:r>
        <w:rPr>
          <w:sz w:val="21"/>
        </w:rPr>
        <w:t>Pesquisar o tópico no UpToDate.</w:t>
      </w:r>
    </w:p>
    <w:p>
      <w:pPr>
        <w:pStyle w:val="ListNumber"/>
      </w:pPr>
      <w:r>
        <w:rPr>
          <w:sz w:val="21"/>
        </w:rPr>
        <w:t>Ler as recomendações principais e identificar os pontos de decisão clínica.</w:t>
      </w:r>
    </w:p>
    <w:p>
      <w:pPr>
        <w:pStyle w:val="ListNumber"/>
      </w:pPr>
      <w:r>
        <w:rPr>
          <w:sz w:val="21"/>
        </w:rPr>
        <w:t>Extrair as referências originais citadas pelo tópico.</w:t>
      </w:r>
    </w:p>
    <w:p>
      <w:pPr>
        <w:pStyle w:val="ListNumber"/>
      </w:pPr>
      <w:r>
        <w:rPr>
          <w:sz w:val="21"/>
        </w:rPr>
        <w:t>Abrir diretrizes e artigos originais em PubMed, sociedades científicas ou periódicos.</w:t>
      </w:r>
    </w:p>
    <w:p>
      <w:pPr>
        <w:pStyle w:val="ListNumber"/>
      </w:pPr>
      <w:r>
        <w:rPr>
          <w:sz w:val="21"/>
        </w:rPr>
        <w:t>Construir tabela própria de evidências.</w:t>
      </w:r>
    </w:p>
    <w:p>
      <w:pPr>
        <w:pStyle w:val="ListNumber"/>
      </w:pPr>
      <w:r>
        <w:rPr>
          <w:sz w:val="21"/>
        </w:rPr>
        <w:t>Redigir texto original do protocolo, sem copiar parágrafos, tabelas ou figuras.</w:t>
      </w:r>
    </w:p>
    <w:p>
      <w:pPr>
        <w:pStyle w:val="ListNumber"/>
      </w:pPr>
      <w:r>
        <w:rPr>
          <w:sz w:val="21"/>
        </w:rPr>
        <w:t>Citar UpToDate apenas como fonte complementar quando necessário, conforme orientação editorial da instituição.</w:t>
      </w:r>
    </w:p>
    <w:p>
      <w:pPr>
        <w:pStyle w:val="ListNumber"/>
      </w:pPr>
      <w:r>
        <w:rPr>
          <w:sz w:val="21"/>
        </w:rPr>
        <w:t>Atualizar a busca imediatamente antes da submissão final do TCC e da publicação.</w:t>
      </w:r>
    </w:p>
    <w:p>
      <w:pPr>
        <w:pStyle w:val="Heading2"/>
      </w:pPr>
      <w:r>
        <w:t>6.3. O que não fazer</w:t>
      </w:r>
    </w:p>
    <w:p>
      <w:pPr>
        <w:pStyle w:val="ListBullet"/>
      </w:pPr>
      <w:r>
        <w:rPr>
          <w:sz w:val="21"/>
        </w:rPr>
        <w:t>Não copiar texto, tabelas, fluxogramas, figuras ou algoritmos do UpToDate.</w:t>
      </w:r>
    </w:p>
    <w:p>
      <w:pPr>
        <w:pStyle w:val="ListBullet"/>
      </w:pPr>
      <w:r>
        <w:rPr>
          <w:sz w:val="21"/>
        </w:rPr>
        <w:t>Não traduzir literalmente trechos do UpToDate.</w:t>
      </w:r>
    </w:p>
    <w:p>
      <w:pPr>
        <w:pStyle w:val="ListBullet"/>
      </w:pPr>
      <w:r>
        <w:rPr>
          <w:sz w:val="21"/>
        </w:rPr>
        <w:t>Não usar UpToDate como única referência de uma recomendação forte.</w:t>
      </w:r>
    </w:p>
    <w:p>
      <w:pPr>
        <w:pStyle w:val="ListBullet"/>
      </w:pPr>
      <w:r>
        <w:rPr>
          <w:sz w:val="21"/>
        </w:rPr>
        <w:t>Não publicar conteúdo derivado visualmente semelhante a figuras protegidas sem permissão.</w:t>
      </w:r>
    </w:p>
    <w:p>
      <w:pPr>
        <w:pStyle w:val="ListBullet"/>
      </w:pPr>
      <w:r>
        <w:rPr>
          <w:sz w:val="21"/>
        </w:rPr>
        <w:t>Não omitir diretrizes originais quando elas forem a base real da conduta.</w:t>
      </w:r>
    </w:p>
    <w:p>
      <w:pPr>
        <w:pStyle w:val="Heading1"/>
      </w:pPr>
      <w:r>
        <w:t>7. Metodologia proposta</w:t>
      </w:r>
    </w:p>
    <w:p>
      <w:pPr>
        <w:pStyle w:val="Heading2"/>
      </w:pPr>
      <w:r>
        <w:t>7.1. Tipo de estudo</w:t>
      </w:r>
    </w:p>
    <w:p>
      <w:r>
        <w:t>Estudo metodológico de desenvolvimento, adaptação e validação de protocolos clínico-assistenciais para UTI adulto.</w:t>
      </w:r>
    </w:p>
    <w:p>
      <w:pPr>
        <w:pStyle w:val="Heading2"/>
      </w:pPr>
      <w:r>
        <w:t>7.2. Referenciais metodológicos sugeridos</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1F4E79"/>
          </w:tcPr>
          <w:p>
            <w:pPr>
              <w:jc w:val="left"/>
            </w:pPr>
            <w:r/>
            <w:r>
              <w:rPr>
                <w:b/>
                <w:color w:val="FFFFFF"/>
                <w:sz w:val="17"/>
              </w:rPr>
              <w:t>Ferramenta</w:t>
            </w:r>
          </w:p>
        </w:tc>
        <w:tc>
          <w:tcPr>
            <w:tcW w:type="dxa" w:w="6803"/>
            <w:vAlign w:val="center"/>
            <w:shd w:fill="1F4E79"/>
          </w:tcPr>
          <w:p>
            <w:pPr>
              <w:jc w:val="left"/>
            </w:pPr>
            <w:r/>
            <w:r>
              <w:rPr>
                <w:b/>
                <w:color w:val="FFFFFF"/>
                <w:sz w:val="17"/>
              </w:rPr>
              <w:t>Função no projeto</w:t>
            </w:r>
          </w:p>
        </w:tc>
      </w:tr>
      <w:tr>
        <w:tc>
          <w:tcPr>
            <w:tcW w:type="dxa" w:w="2268"/>
            <w:vAlign w:val="center"/>
            <w:shd w:fill="D9EAF7"/>
          </w:tcPr>
          <w:p>
            <w:pPr>
              <w:jc w:val="left"/>
            </w:pPr>
            <w:r/>
            <w:r>
              <w:rPr>
                <w:b w:val="0"/>
                <w:sz w:val="17"/>
              </w:rPr>
              <w:t>ADAPTE</w:t>
            </w:r>
          </w:p>
        </w:tc>
        <w:tc>
          <w:tcPr>
            <w:tcW w:type="dxa" w:w="6803"/>
            <w:vAlign w:val="center"/>
          </w:tcPr>
          <w:p>
            <w:pPr>
              <w:jc w:val="left"/>
            </w:pPr>
            <w:r/>
            <w:r>
              <w:rPr>
                <w:b w:val="0"/>
                <w:sz w:val="17"/>
              </w:rPr>
              <w:t>Apoiar adaptação de diretrizes existentes ao contexto local.</w:t>
            </w:r>
          </w:p>
        </w:tc>
      </w:tr>
      <w:tr>
        <w:tc>
          <w:tcPr>
            <w:tcW w:type="dxa" w:w="2268"/>
            <w:vAlign w:val="center"/>
            <w:shd w:fill="D9EAF7"/>
          </w:tcPr>
          <w:p>
            <w:pPr>
              <w:jc w:val="left"/>
            </w:pPr>
            <w:r/>
            <w:r>
              <w:rPr>
                <w:b w:val="0"/>
                <w:sz w:val="17"/>
              </w:rPr>
              <w:t>AGREE II</w:t>
            </w:r>
          </w:p>
        </w:tc>
        <w:tc>
          <w:tcPr>
            <w:tcW w:type="dxa" w:w="6803"/>
            <w:vAlign w:val="center"/>
          </w:tcPr>
          <w:p>
            <w:pPr>
              <w:jc w:val="left"/>
            </w:pPr>
            <w:r/>
            <w:r>
              <w:rPr>
                <w:b w:val="0"/>
                <w:sz w:val="17"/>
              </w:rPr>
              <w:t>Avaliar a qualidade metodológica das diretrizes selecionadas.</w:t>
            </w:r>
          </w:p>
        </w:tc>
      </w:tr>
      <w:tr>
        <w:tc>
          <w:tcPr>
            <w:tcW w:type="dxa" w:w="2268"/>
            <w:vAlign w:val="center"/>
            <w:shd w:fill="D9EAF7"/>
          </w:tcPr>
          <w:p>
            <w:pPr>
              <w:jc w:val="left"/>
            </w:pPr>
            <w:r/>
            <w:r>
              <w:rPr>
                <w:b w:val="0"/>
                <w:sz w:val="17"/>
              </w:rPr>
              <w:t>GRADE</w:t>
            </w:r>
          </w:p>
        </w:tc>
        <w:tc>
          <w:tcPr>
            <w:tcW w:type="dxa" w:w="6803"/>
            <w:vAlign w:val="center"/>
          </w:tcPr>
          <w:p>
            <w:pPr>
              <w:jc w:val="left"/>
            </w:pPr>
            <w:r/>
            <w:r>
              <w:rPr>
                <w:b w:val="0"/>
                <w:sz w:val="17"/>
              </w:rPr>
              <w:t>Classificar certeza da evidência e força das recomendações quando aplicável.</w:t>
            </w:r>
          </w:p>
        </w:tc>
      </w:tr>
      <w:tr>
        <w:tc>
          <w:tcPr>
            <w:tcW w:type="dxa" w:w="2268"/>
            <w:vAlign w:val="center"/>
            <w:shd w:fill="D9EAF7"/>
          </w:tcPr>
          <w:p>
            <w:pPr>
              <w:jc w:val="left"/>
            </w:pPr>
            <w:r/>
            <w:r>
              <w:rPr>
                <w:b w:val="0"/>
                <w:sz w:val="17"/>
              </w:rPr>
              <w:t>RIGHT Statement</w:t>
            </w:r>
          </w:p>
        </w:tc>
        <w:tc>
          <w:tcPr>
            <w:tcW w:type="dxa" w:w="6803"/>
            <w:vAlign w:val="center"/>
          </w:tcPr>
          <w:p>
            <w:pPr>
              <w:jc w:val="left"/>
            </w:pPr>
            <w:r/>
            <w:r>
              <w:rPr>
                <w:b w:val="0"/>
                <w:sz w:val="17"/>
              </w:rPr>
              <w:t>Melhorar o relato de protocolos, recomendações e diretrizes.</w:t>
            </w:r>
          </w:p>
        </w:tc>
      </w:tr>
      <w:tr>
        <w:tc>
          <w:tcPr>
            <w:tcW w:type="dxa" w:w="2268"/>
            <w:vAlign w:val="center"/>
            <w:shd w:fill="D9EAF7"/>
          </w:tcPr>
          <w:p>
            <w:pPr>
              <w:jc w:val="left"/>
            </w:pPr>
            <w:r/>
            <w:r>
              <w:rPr>
                <w:b w:val="0"/>
                <w:sz w:val="17"/>
              </w:rPr>
              <w:t>Delphi modificado</w:t>
            </w:r>
          </w:p>
        </w:tc>
        <w:tc>
          <w:tcPr>
            <w:tcW w:type="dxa" w:w="6803"/>
            <w:vAlign w:val="center"/>
          </w:tcPr>
          <w:p>
            <w:pPr>
              <w:jc w:val="left"/>
            </w:pPr>
            <w:r/>
            <w:r>
              <w:rPr>
                <w:b w:val="0"/>
                <w:sz w:val="17"/>
              </w:rPr>
              <w:t>Validar recomendações por consenso de especialistas.</w:t>
            </w:r>
          </w:p>
        </w:tc>
      </w:tr>
      <w:tr>
        <w:tc>
          <w:tcPr>
            <w:tcW w:type="dxa" w:w="2268"/>
            <w:vAlign w:val="center"/>
            <w:shd w:fill="D9EAF7"/>
          </w:tcPr>
          <w:p>
            <w:pPr>
              <w:jc w:val="left"/>
            </w:pPr>
            <w:r/>
            <w:r>
              <w:rPr>
                <w:b w:val="0"/>
                <w:sz w:val="17"/>
              </w:rPr>
              <w:t>Matriz PICO</w:t>
            </w:r>
          </w:p>
        </w:tc>
        <w:tc>
          <w:tcPr>
            <w:tcW w:type="dxa" w:w="6803"/>
            <w:vAlign w:val="center"/>
          </w:tcPr>
          <w:p>
            <w:pPr>
              <w:jc w:val="left"/>
            </w:pPr>
            <w:r/>
            <w:r>
              <w:rPr>
                <w:b w:val="0"/>
                <w:sz w:val="17"/>
              </w:rPr>
              <w:t>Organizar perguntas clínicas por população, intervenção, comparação e desfecho.</w:t>
            </w:r>
          </w:p>
        </w:tc>
      </w:tr>
    </w:tbl>
    <w:p>
      <w:pPr>
        <w:pStyle w:val="Heading2"/>
      </w:pPr>
      <w:r>
        <w:t>7.3. Etapas do estudo</w:t>
      </w:r>
    </w:p>
    <w:tbl>
      <w:tblPr>
        <w:tblStyle w:val="TableGrid"/>
        <w:tblW w:type="auto" w:w="0"/>
        <w:jc w:val="center"/>
        <w:tblLook w:firstColumn="1" w:firstRow="1" w:lastColumn="0" w:lastRow="0" w:noHBand="0" w:noVBand="1" w:val="04A0"/>
      </w:tblPr>
      <w:tblGrid>
        <w:gridCol w:w="3400"/>
        <w:gridCol w:w="3400"/>
        <w:gridCol w:w="3400"/>
      </w:tblGrid>
      <w:tr>
        <w:tc>
          <w:tcPr>
            <w:tcW w:type="dxa" w:w="737"/>
            <w:vAlign w:val="center"/>
            <w:shd w:fill="1F4E79"/>
          </w:tcPr>
          <w:p>
            <w:pPr>
              <w:jc w:val="left"/>
            </w:pPr>
            <w:r/>
            <w:r>
              <w:rPr>
                <w:b/>
                <w:color w:val="FFFFFF"/>
                <w:sz w:val="16"/>
              </w:rPr>
              <w:t>Fase</w:t>
            </w:r>
          </w:p>
        </w:tc>
        <w:tc>
          <w:tcPr>
            <w:tcW w:type="dxa" w:w="3402"/>
            <w:vAlign w:val="center"/>
            <w:shd w:fill="1F4E79"/>
          </w:tcPr>
          <w:p>
            <w:pPr>
              <w:jc w:val="left"/>
            </w:pPr>
            <w:r/>
            <w:r>
              <w:rPr>
                <w:b/>
                <w:color w:val="FFFFFF"/>
                <w:sz w:val="16"/>
              </w:rPr>
              <w:t>Atividade</w:t>
            </w:r>
          </w:p>
        </w:tc>
        <w:tc>
          <w:tcPr>
            <w:tcW w:type="dxa" w:w="4932"/>
            <w:vAlign w:val="center"/>
            <w:shd w:fill="1F4E79"/>
          </w:tcPr>
          <w:p>
            <w:pPr>
              <w:jc w:val="left"/>
            </w:pPr>
            <w:r/>
            <w:r>
              <w:rPr>
                <w:b/>
                <w:color w:val="FFFFFF"/>
                <w:sz w:val="16"/>
              </w:rPr>
              <w:t>Produto esperado</w:t>
            </w:r>
          </w:p>
        </w:tc>
      </w:tr>
      <w:tr>
        <w:tc>
          <w:tcPr>
            <w:tcW w:type="dxa" w:w="737"/>
            <w:vAlign w:val="center"/>
            <w:shd w:fill="D9EAF7"/>
          </w:tcPr>
          <w:p>
            <w:pPr>
              <w:jc w:val="left"/>
            </w:pPr>
            <w:r/>
            <w:r>
              <w:rPr>
                <w:b w:val="0"/>
                <w:sz w:val="16"/>
              </w:rPr>
              <w:t>1</w:t>
            </w:r>
          </w:p>
        </w:tc>
        <w:tc>
          <w:tcPr>
            <w:tcW w:type="dxa" w:w="3402"/>
            <w:vAlign w:val="center"/>
          </w:tcPr>
          <w:p>
            <w:pPr>
              <w:jc w:val="left"/>
            </w:pPr>
            <w:r/>
            <w:r>
              <w:rPr>
                <w:b w:val="0"/>
                <w:sz w:val="16"/>
              </w:rPr>
              <w:t>Aprovação institucional e definição da equipe</w:t>
            </w:r>
          </w:p>
        </w:tc>
        <w:tc>
          <w:tcPr>
            <w:tcW w:type="dxa" w:w="4932"/>
            <w:vAlign w:val="center"/>
          </w:tcPr>
          <w:p>
            <w:pPr>
              <w:jc w:val="left"/>
            </w:pPr>
            <w:r/>
            <w:r>
              <w:rPr>
                <w:b w:val="0"/>
                <w:sz w:val="16"/>
              </w:rPr>
              <w:t>Projeto aprovado pela COREME; orientador definido; matriz de responsabilidades.</w:t>
            </w:r>
          </w:p>
        </w:tc>
      </w:tr>
      <w:tr>
        <w:tc>
          <w:tcPr>
            <w:tcW w:type="dxa" w:w="737"/>
            <w:vAlign w:val="center"/>
            <w:shd w:fill="D9EAF7"/>
          </w:tcPr>
          <w:p>
            <w:pPr>
              <w:jc w:val="left"/>
            </w:pPr>
            <w:r/>
            <w:r>
              <w:rPr>
                <w:b w:val="0"/>
                <w:sz w:val="16"/>
              </w:rPr>
              <w:t>2</w:t>
            </w:r>
          </w:p>
        </w:tc>
        <w:tc>
          <w:tcPr>
            <w:tcW w:type="dxa" w:w="3402"/>
            <w:vAlign w:val="center"/>
          </w:tcPr>
          <w:p>
            <w:pPr>
              <w:jc w:val="left"/>
            </w:pPr>
            <w:r/>
            <w:r>
              <w:rPr>
                <w:b w:val="0"/>
                <w:sz w:val="16"/>
              </w:rPr>
              <w:t>Seleção dos 10 temas prioritários</w:t>
            </w:r>
          </w:p>
        </w:tc>
        <w:tc>
          <w:tcPr>
            <w:tcW w:type="dxa" w:w="4932"/>
            <w:vAlign w:val="center"/>
          </w:tcPr>
          <w:p>
            <w:pPr>
              <w:jc w:val="left"/>
            </w:pPr>
            <w:r/>
            <w:r>
              <w:rPr>
                <w:b w:val="0"/>
                <w:sz w:val="16"/>
              </w:rPr>
              <w:t>Lista final de protocolos com justificativa.</w:t>
            </w:r>
          </w:p>
        </w:tc>
      </w:tr>
      <w:tr>
        <w:tc>
          <w:tcPr>
            <w:tcW w:type="dxa" w:w="737"/>
            <w:vAlign w:val="center"/>
            <w:shd w:fill="D9EAF7"/>
          </w:tcPr>
          <w:p>
            <w:pPr>
              <w:jc w:val="left"/>
            </w:pPr>
            <w:r/>
            <w:r>
              <w:rPr>
                <w:b w:val="0"/>
                <w:sz w:val="16"/>
              </w:rPr>
              <w:t>3</w:t>
            </w:r>
          </w:p>
        </w:tc>
        <w:tc>
          <w:tcPr>
            <w:tcW w:type="dxa" w:w="3402"/>
            <w:vAlign w:val="center"/>
          </w:tcPr>
          <w:p>
            <w:pPr>
              <w:jc w:val="left"/>
            </w:pPr>
            <w:r/>
            <w:r>
              <w:rPr>
                <w:b w:val="0"/>
                <w:sz w:val="16"/>
              </w:rPr>
              <w:t>Formulação de perguntas clínicas</w:t>
            </w:r>
          </w:p>
        </w:tc>
        <w:tc>
          <w:tcPr>
            <w:tcW w:type="dxa" w:w="4932"/>
            <w:vAlign w:val="center"/>
          </w:tcPr>
          <w:p>
            <w:pPr>
              <w:jc w:val="left"/>
            </w:pPr>
            <w:r/>
            <w:r>
              <w:rPr>
                <w:b w:val="0"/>
                <w:sz w:val="16"/>
              </w:rPr>
              <w:t>Perguntas PICO por capítulo.</w:t>
            </w:r>
          </w:p>
        </w:tc>
      </w:tr>
      <w:tr>
        <w:tc>
          <w:tcPr>
            <w:tcW w:type="dxa" w:w="737"/>
            <w:vAlign w:val="center"/>
            <w:shd w:fill="D9EAF7"/>
          </w:tcPr>
          <w:p>
            <w:pPr>
              <w:jc w:val="left"/>
            </w:pPr>
            <w:r/>
            <w:r>
              <w:rPr>
                <w:b w:val="0"/>
                <w:sz w:val="16"/>
              </w:rPr>
              <w:t>4</w:t>
            </w:r>
          </w:p>
        </w:tc>
        <w:tc>
          <w:tcPr>
            <w:tcW w:type="dxa" w:w="3402"/>
            <w:vAlign w:val="center"/>
          </w:tcPr>
          <w:p>
            <w:pPr>
              <w:jc w:val="left"/>
            </w:pPr>
            <w:r/>
            <w:r>
              <w:rPr>
                <w:b w:val="0"/>
                <w:sz w:val="16"/>
              </w:rPr>
              <w:t>Busca bibliográfica</w:t>
            </w:r>
          </w:p>
        </w:tc>
        <w:tc>
          <w:tcPr>
            <w:tcW w:type="dxa" w:w="4932"/>
            <w:vAlign w:val="center"/>
          </w:tcPr>
          <w:p>
            <w:pPr>
              <w:jc w:val="left"/>
            </w:pPr>
            <w:r/>
            <w:r>
              <w:rPr>
                <w:b w:val="0"/>
                <w:sz w:val="16"/>
              </w:rPr>
              <w:t>Estratégia de busca, bases consultadas, data da busca e referências selecionadas.</w:t>
            </w:r>
          </w:p>
        </w:tc>
      </w:tr>
      <w:tr>
        <w:tc>
          <w:tcPr>
            <w:tcW w:type="dxa" w:w="737"/>
            <w:vAlign w:val="center"/>
            <w:shd w:fill="D9EAF7"/>
          </w:tcPr>
          <w:p>
            <w:pPr>
              <w:jc w:val="left"/>
            </w:pPr>
            <w:r/>
            <w:r>
              <w:rPr>
                <w:b w:val="0"/>
                <w:sz w:val="16"/>
              </w:rPr>
              <w:t>5</w:t>
            </w:r>
          </w:p>
        </w:tc>
        <w:tc>
          <w:tcPr>
            <w:tcW w:type="dxa" w:w="3402"/>
            <w:vAlign w:val="center"/>
          </w:tcPr>
          <w:p>
            <w:pPr>
              <w:jc w:val="left"/>
            </w:pPr>
            <w:r/>
            <w:r>
              <w:rPr>
                <w:b w:val="0"/>
                <w:sz w:val="16"/>
              </w:rPr>
              <w:t>Avaliação e síntese da evidência</w:t>
            </w:r>
          </w:p>
        </w:tc>
        <w:tc>
          <w:tcPr>
            <w:tcW w:type="dxa" w:w="4932"/>
            <w:vAlign w:val="center"/>
          </w:tcPr>
          <w:p>
            <w:pPr>
              <w:jc w:val="left"/>
            </w:pPr>
            <w:r/>
            <w:r>
              <w:rPr>
                <w:b w:val="0"/>
                <w:sz w:val="16"/>
              </w:rPr>
              <w:t>Tabelas de evidência e recomendações preliminares.</w:t>
            </w:r>
          </w:p>
        </w:tc>
      </w:tr>
      <w:tr>
        <w:tc>
          <w:tcPr>
            <w:tcW w:type="dxa" w:w="737"/>
            <w:vAlign w:val="center"/>
            <w:shd w:fill="D9EAF7"/>
          </w:tcPr>
          <w:p>
            <w:pPr>
              <w:jc w:val="left"/>
            </w:pPr>
            <w:r/>
            <w:r>
              <w:rPr>
                <w:b w:val="0"/>
                <w:sz w:val="16"/>
              </w:rPr>
              <w:t>6</w:t>
            </w:r>
          </w:p>
        </w:tc>
        <w:tc>
          <w:tcPr>
            <w:tcW w:type="dxa" w:w="3402"/>
            <w:vAlign w:val="center"/>
          </w:tcPr>
          <w:p>
            <w:pPr>
              <w:jc w:val="left"/>
            </w:pPr>
            <w:r/>
            <w:r>
              <w:rPr>
                <w:b w:val="0"/>
                <w:sz w:val="16"/>
              </w:rPr>
              <w:t>Adaptação local</w:t>
            </w:r>
          </w:p>
        </w:tc>
        <w:tc>
          <w:tcPr>
            <w:tcW w:type="dxa" w:w="4932"/>
            <w:vAlign w:val="center"/>
          </w:tcPr>
          <w:p>
            <w:pPr>
              <w:jc w:val="left"/>
            </w:pPr>
            <w:r/>
            <w:r>
              <w:rPr>
                <w:b w:val="0"/>
                <w:sz w:val="16"/>
              </w:rPr>
              <w:t>Fluxos compatíveis com recursos, equipe e realidade institucional.</w:t>
            </w:r>
          </w:p>
        </w:tc>
      </w:tr>
      <w:tr>
        <w:tc>
          <w:tcPr>
            <w:tcW w:type="dxa" w:w="737"/>
            <w:vAlign w:val="center"/>
            <w:shd w:fill="D9EAF7"/>
          </w:tcPr>
          <w:p>
            <w:pPr>
              <w:jc w:val="left"/>
            </w:pPr>
            <w:r/>
            <w:r>
              <w:rPr>
                <w:b w:val="0"/>
                <w:sz w:val="16"/>
              </w:rPr>
              <w:t>7</w:t>
            </w:r>
          </w:p>
        </w:tc>
        <w:tc>
          <w:tcPr>
            <w:tcW w:type="dxa" w:w="3402"/>
            <w:vAlign w:val="center"/>
          </w:tcPr>
          <w:p>
            <w:pPr>
              <w:jc w:val="left"/>
            </w:pPr>
            <w:r/>
            <w:r>
              <w:rPr>
                <w:b w:val="0"/>
                <w:sz w:val="16"/>
              </w:rPr>
              <w:t>Redação dos protocolos</w:t>
            </w:r>
          </w:p>
        </w:tc>
        <w:tc>
          <w:tcPr>
            <w:tcW w:type="dxa" w:w="4932"/>
            <w:vAlign w:val="center"/>
          </w:tcPr>
          <w:p>
            <w:pPr>
              <w:jc w:val="left"/>
            </w:pPr>
            <w:r/>
            <w:r>
              <w:rPr>
                <w:b w:val="0"/>
                <w:sz w:val="16"/>
              </w:rPr>
              <w:t>Primeira versão do livro/manual.</w:t>
            </w:r>
          </w:p>
        </w:tc>
      </w:tr>
      <w:tr>
        <w:tc>
          <w:tcPr>
            <w:tcW w:type="dxa" w:w="737"/>
            <w:vAlign w:val="center"/>
            <w:shd w:fill="D9EAF7"/>
          </w:tcPr>
          <w:p>
            <w:pPr>
              <w:jc w:val="left"/>
            </w:pPr>
            <w:r/>
            <w:r>
              <w:rPr>
                <w:b w:val="0"/>
                <w:sz w:val="16"/>
              </w:rPr>
              <w:t>8</w:t>
            </w:r>
          </w:p>
        </w:tc>
        <w:tc>
          <w:tcPr>
            <w:tcW w:type="dxa" w:w="3402"/>
            <w:vAlign w:val="center"/>
          </w:tcPr>
          <w:p>
            <w:pPr>
              <w:jc w:val="left"/>
            </w:pPr>
            <w:r/>
            <w:r>
              <w:rPr>
                <w:b w:val="0"/>
                <w:sz w:val="16"/>
              </w:rPr>
              <w:t>Validação por especialistas</w:t>
            </w:r>
          </w:p>
        </w:tc>
        <w:tc>
          <w:tcPr>
            <w:tcW w:type="dxa" w:w="4932"/>
            <w:vAlign w:val="center"/>
          </w:tcPr>
          <w:p>
            <w:pPr>
              <w:jc w:val="left"/>
            </w:pPr>
            <w:r/>
            <w:r>
              <w:rPr>
                <w:b w:val="0"/>
                <w:sz w:val="16"/>
              </w:rPr>
              <w:t>Delphi/painel com notas, comentários e consenso.</w:t>
            </w:r>
          </w:p>
        </w:tc>
      </w:tr>
      <w:tr>
        <w:tc>
          <w:tcPr>
            <w:tcW w:type="dxa" w:w="737"/>
            <w:vAlign w:val="center"/>
            <w:shd w:fill="D9EAF7"/>
          </w:tcPr>
          <w:p>
            <w:pPr>
              <w:jc w:val="left"/>
            </w:pPr>
            <w:r/>
            <w:r>
              <w:rPr>
                <w:b w:val="0"/>
                <w:sz w:val="16"/>
              </w:rPr>
              <w:t>9</w:t>
            </w:r>
          </w:p>
        </w:tc>
        <w:tc>
          <w:tcPr>
            <w:tcW w:type="dxa" w:w="3402"/>
            <w:vAlign w:val="center"/>
          </w:tcPr>
          <w:p>
            <w:pPr>
              <w:jc w:val="left"/>
            </w:pPr>
            <w:r/>
            <w:r>
              <w:rPr>
                <w:b w:val="0"/>
                <w:sz w:val="16"/>
              </w:rPr>
              <w:t>Revisão final e diagramação</w:t>
            </w:r>
          </w:p>
        </w:tc>
        <w:tc>
          <w:tcPr>
            <w:tcW w:type="dxa" w:w="4932"/>
            <w:vAlign w:val="center"/>
          </w:tcPr>
          <w:p>
            <w:pPr>
              <w:jc w:val="left"/>
            </w:pPr>
            <w:r/>
            <w:r>
              <w:rPr>
                <w:b w:val="0"/>
                <w:sz w:val="16"/>
              </w:rPr>
              <w:t>Livro final, anexos, fluxogramas e checklists.</w:t>
            </w:r>
          </w:p>
        </w:tc>
      </w:tr>
      <w:tr>
        <w:tc>
          <w:tcPr>
            <w:tcW w:type="dxa" w:w="737"/>
            <w:vAlign w:val="center"/>
            <w:shd w:fill="D9EAF7"/>
          </w:tcPr>
          <w:p>
            <w:pPr>
              <w:jc w:val="left"/>
            </w:pPr>
            <w:r/>
            <w:r>
              <w:rPr>
                <w:b w:val="0"/>
                <w:sz w:val="16"/>
              </w:rPr>
              <w:t>10</w:t>
            </w:r>
          </w:p>
        </w:tc>
        <w:tc>
          <w:tcPr>
            <w:tcW w:type="dxa" w:w="3402"/>
            <w:vAlign w:val="center"/>
          </w:tcPr>
          <w:p>
            <w:pPr>
              <w:jc w:val="left"/>
            </w:pPr>
            <w:r/>
            <w:r>
              <w:rPr>
                <w:b w:val="0"/>
                <w:sz w:val="16"/>
              </w:rPr>
              <w:t>Defesa e publicação</w:t>
            </w:r>
          </w:p>
        </w:tc>
        <w:tc>
          <w:tcPr>
            <w:tcW w:type="dxa" w:w="4932"/>
            <w:vAlign w:val="center"/>
          </w:tcPr>
          <w:p>
            <w:pPr>
              <w:jc w:val="left"/>
            </w:pPr>
            <w:r/>
            <w:r>
              <w:rPr>
                <w:b w:val="0"/>
                <w:sz w:val="16"/>
              </w:rPr>
              <w:t>TCC defendido, livro com ISBN e artigo submetido.</w:t>
            </w:r>
          </w:p>
        </w:tc>
      </w:tr>
    </w:tbl>
    <w:p>
      <w:pPr>
        <w:pStyle w:val="Heading2"/>
      </w:pPr>
      <w:r>
        <w:t>7.4. Critérios para escolha dos protocolos</w:t>
      </w:r>
    </w:p>
    <w:p>
      <w:pPr>
        <w:pStyle w:val="ListBullet"/>
      </w:pPr>
      <w:r>
        <w:rPr>
          <w:sz w:val="21"/>
        </w:rPr>
        <w:t>Alta frequência na UTI adulto.</w:t>
      </w:r>
    </w:p>
    <w:p>
      <w:pPr>
        <w:pStyle w:val="ListBullet"/>
      </w:pPr>
      <w:r>
        <w:rPr>
          <w:sz w:val="21"/>
        </w:rPr>
        <w:t>Impacto em mortalidade, tempo de UTI ou segurança do paciente.</w:t>
      </w:r>
    </w:p>
    <w:p>
      <w:pPr>
        <w:pStyle w:val="ListBullet"/>
      </w:pPr>
      <w:r>
        <w:rPr>
          <w:sz w:val="21"/>
        </w:rPr>
        <w:t>Risco de variabilidade assistencial.</w:t>
      </w:r>
    </w:p>
    <w:p>
      <w:pPr>
        <w:pStyle w:val="ListBullet"/>
      </w:pPr>
      <w:r>
        <w:rPr>
          <w:sz w:val="21"/>
        </w:rPr>
        <w:t>Existência de diretrizes e evidência científica relevante.</w:t>
      </w:r>
    </w:p>
    <w:p>
      <w:pPr>
        <w:pStyle w:val="ListBullet"/>
      </w:pPr>
      <w:r>
        <w:rPr>
          <w:sz w:val="21"/>
        </w:rPr>
        <w:t>Aplicabilidade ao plantão e à rotina multiprofissional.</w:t>
      </w:r>
    </w:p>
    <w:p>
      <w:pPr>
        <w:pStyle w:val="ListBullet"/>
      </w:pPr>
      <w:r>
        <w:rPr>
          <w:sz w:val="21"/>
        </w:rPr>
        <w:t>Relevância para formação do intensivista e prova de título.</w:t>
      </w:r>
    </w:p>
    <w:p>
      <w:pPr>
        <w:pStyle w:val="ListBullet"/>
      </w:pPr>
      <w:r>
        <w:rPr>
          <w:sz w:val="21"/>
        </w:rPr>
        <w:t>Possibilidade de criar indicadores mensuráveis.</w:t>
      </w:r>
    </w:p>
    <w:p>
      <w:pPr>
        <w:pStyle w:val="Heading1"/>
      </w:pPr>
      <w:r>
        <w:t>8. Livro de protocolos: sumário com 10 capítulos</w:t>
      </w:r>
    </w:p>
    <w:tbl>
      <w:tblPr>
        <w:tblStyle w:val="TableGrid"/>
        <w:tblW w:type="auto" w:w="0"/>
        <w:jc w:val="center"/>
        <w:tblLook w:firstColumn="1" w:firstRow="1" w:lastColumn="0" w:lastRow="0" w:noHBand="0" w:noVBand="1" w:val="04A0"/>
      </w:tblPr>
      <w:tblGrid>
        <w:gridCol w:w="3400"/>
        <w:gridCol w:w="3400"/>
        <w:gridCol w:w="3400"/>
      </w:tblGrid>
      <w:tr>
        <w:tc>
          <w:tcPr>
            <w:tcW w:type="dxa" w:w="1134"/>
            <w:vAlign w:val="center"/>
            <w:shd w:fill="1F4E79"/>
          </w:tcPr>
          <w:p>
            <w:pPr>
              <w:jc w:val="left"/>
            </w:pPr>
            <w:r/>
            <w:r>
              <w:rPr>
                <w:b/>
                <w:color w:val="FFFFFF"/>
                <w:sz w:val="15"/>
              </w:rPr>
              <w:t>Capítulo</w:t>
            </w:r>
          </w:p>
        </w:tc>
        <w:tc>
          <w:tcPr>
            <w:tcW w:type="dxa" w:w="2948"/>
            <w:vAlign w:val="center"/>
            <w:shd w:fill="1F4E79"/>
          </w:tcPr>
          <w:p>
            <w:pPr>
              <w:jc w:val="left"/>
            </w:pPr>
            <w:r/>
            <w:r>
              <w:rPr>
                <w:b/>
                <w:color w:val="FFFFFF"/>
                <w:sz w:val="15"/>
              </w:rPr>
              <w:t>Protocolo</w:t>
            </w:r>
          </w:p>
        </w:tc>
        <w:tc>
          <w:tcPr>
            <w:tcW w:type="dxa" w:w="4989"/>
            <w:vAlign w:val="center"/>
            <w:shd w:fill="1F4E79"/>
          </w:tcPr>
          <w:p>
            <w:pPr>
              <w:jc w:val="left"/>
            </w:pPr>
            <w:r/>
            <w:r>
              <w:rPr>
                <w:b/>
                <w:color w:val="FFFFFF"/>
                <w:sz w:val="15"/>
              </w:rPr>
              <w:t>Justificativa</w:t>
            </w:r>
          </w:p>
        </w:tc>
      </w:tr>
      <w:tr>
        <w:tc>
          <w:tcPr>
            <w:tcW w:type="dxa" w:w="1134"/>
            <w:vAlign w:val="center"/>
            <w:shd w:fill="D9EAF7"/>
          </w:tcPr>
          <w:p>
            <w:pPr>
              <w:jc w:val="left"/>
            </w:pPr>
            <w:r/>
            <w:r>
              <w:rPr>
                <w:b w:val="0"/>
                <w:sz w:val="15"/>
              </w:rPr>
              <w:t>1</w:t>
            </w:r>
          </w:p>
        </w:tc>
        <w:tc>
          <w:tcPr>
            <w:tcW w:type="dxa" w:w="2948"/>
            <w:vAlign w:val="center"/>
          </w:tcPr>
          <w:p>
            <w:pPr>
              <w:jc w:val="left"/>
            </w:pPr>
            <w:r/>
            <w:r>
              <w:rPr>
                <w:b w:val="0"/>
                <w:sz w:val="15"/>
              </w:rPr>
              <w:t>Sepse e choque séptico</w:t>
            </w:r>
          </w:p>
        </w:tc>
        <w:tc>
          <w:tcPr>
            <w:tcW w:type="dxa" w:w="4989"/>
            <w:vAlign w:val="center"/>
          </w:tcPr>
          <w:p>
            <w:pPr>
              <w:jc w:val="left"/>
            </w:pPr>
            <w:r/>
            <w:r>
              <w:rPr>
                <w:b w:val="0"/>
                <w:sz w:val="15"/>
              </w:rPr>
              <w:t>Alta mortalidade, alta frequência e necessidade de decisão rápida nas primeiras horas.</w:t>
            </w:r>
          </w:p>
        </w:tc>
      </w:tr>
      <w:tr>
        <w:tc>
          <w:tcPr>
            <w:tcW w:type="dxa" w:w="1134"/>
            <w:vAlign w:val="center"/>
            <w:shd w:fill="D9EAF7"/>
          </w:tcPr>
          <w:p>
            <w:pPr>
              <w:jc w:val="left"/>
            </w:pPr>
            <w:r/>
            <w:r>
              <w:rPr>
                <w:b w:val="0"/>
                <w:sz w:val="15"/>
              </w:rPr>
              <w:t>2</w:t>
            </w:r>
          </w:p>
        </w:tc>
        <w:tc>
          <w:tcPr>
            <w:tcW w:type="dxa" w:w="2948"/>
            <w:vAlign w:val="center"/>
          </w:tcPr>
          <w:p>
            <w:pPr>
              <w:jc w:val="left"/>
            </w:pPr>
            <w:r/>
            <w:r>
              <w:rPr>
                <w:b w:val="0"/>
                <w:sz w:val="15"/>
              </w:rPr>
              <w:t>Ventilação mecânica, SDRA e desmame</w:t>
            </w:r>
          </w:p>
        </w:tc>
        <w:tc>
          <w:tcPr>
            <w:tcW w:type="dxa" w:w="4989"/>
            <w:vAlign w:val="center"/>
          </w:tcPr>
          <w:p>
            <w:pPr>
              <w:jc w:val="left"/>
            </w:pPr>
            <w:r/>
            <w:r>
              <w:rPr>
                <w:b w:val="0"/>
                <w:sz w:val="15"/>
              </w:rPr>
              <w:t>Núcleo da terapia intensiva; impacto direto em mortalidade, dias de VM e complicações.</w:t>
            </w:r>
          </w:p>
        </w:tc>
      </w:tr>
      <w:tr>
        <w:tc>
          <w:tcPr>
            <w:tcW w:type="dxa" w:w="1134"/>
            <w:vAlign w:val="center"/>
            <w:shd w:fill="D9EAF7"/>
          </w:tcPr>
          <w:p>
            <w:pPr>
              <w:jc w:val="left"/>
            </w:pPr>
            <w:r/>
            <w:r>
              <w:rPr>
                <w:b w:val="0"/>
                <w:sz w:val="15"/>
              </w:rPr>
              <w:t>3</w:t>
            </w:r>
          </w:p>
        </w:tc>
        <w:tc>
          <w:tcPr>
            <w:tcW w:type="dxa" w:w="2948"/>
            <w:vAlign w:val="center"/>
          </w:tcPr>
          <w:p>
            <w:pPr>
              <w:jc w:val="left"/>
            </w:pPr>
            <w:r/>
            <w:r>
              <w:rPr>
                <w:b w:val="0"/>
                <w:sz w:val="15"/>
              </w:rPr>
              <w:t>Choque circulatório e drogas vasoativas</w:t>
            </w:r>
          </w:p>
        </w:tc>
        <w:tc>
          <w:tcPr>
            <w:tcW w:type="dxa" w:w="4989"/>
            <w:vAlign w:val="center"/>
          </w:tcPr>
          <w:p>
            <w:pPr>
              <w:jc w:val="left"/>
            </w:pPr>
            <w:r/>
            <w:r>
              <w:rPr>
                <w:b w:val="0"/>
                <w:sz w:val="15"/>
              </w:rPr>
              <w:t>Essencial para estabilização do paciente crítico e uso seguro de vasopressores/inotrópicos.</w:t>
            </w:r>
          </w:p>
        </w:tc>
      </w:tr>
      <w:tr>
        <w:tc>
          <w:tcPr>
            <w:tcW w:type="dxa" w:w="1134"/>
            <w:vAlign w:val="center"/>
            <w:shd w:fill="D9EAF7"/>
          </w:tcPr>
          <w:p>
            <w:pPr>
              <w:jc w:val="left"/>
            </w:pPr>
            <w:r/>
            <w:r>
              <w:rPr>
                <w:b w:val="0"/>
                <w:sz w:val="15"/>
              </w:rPr>
              <w:t>4</w:t>
            </w:r>
          </w:p>
        </w:tc>
        <w:tc>
          <w:tcPr>
            <w:tcW w:type="dxa" w:w="2948"/>
            <w:vAlign w:val="center"/>
          </w:tcPr>
          <w:p>
            <w:pPr>
              <w:jc w:val="left"/>
            </w:pPr>
            <w:r/>
            <w:r>
              <w:rPr>
                <w:b w:val="0"/>
                <w:sz w:val="15"/>
              </w:rPr>
              <w:t>Analgesia, sedação, delirium e bundle ABCDEF</w:t>
            </w:r>
          </w:p>
        </w:tc>
        <w:tc>
          <w:tcPr>
            <w:tcW w:type="dxa" w:w="4989"/>
            <w:vAlign w:val="center"/>
          </w:tcPr>
          <w:p>
            <w:pPr>
              <w:jc w:val="left"/>
            </w:pPr>
            <w:r/>
            <w:r>
              <w:rPr>
                <w:b w:val="0"/>
                <w:sz w:val="15"/>
              </w:rPr>
              <w:t>Reduz delirium, tempo de VM, imobilidade e complicações associadas à UTI.</w:t>
            </w:r>
          </w:p>
        </w:tc>
      </w:tr>
      <w:tr>
        <w:tc>
          <w:tcPr>
            <w:tcW w:type="dxa" w:w="1134"/>
            <w:vAlign w:val="center"/>
            <w:shd w:fill="D9EAF7"/>
          </w:tcPr>
          <w:p>
            <w:pPr>
              <w:jc w:val="left"/>
            </w:pPr>
            <w:r/>
            <w:r>
              <w:rPr>
                <w:b w:val="0"/>
                <w:sz w:val="15"/>
              </w:rPr>
              <w:t>5</w:t>
            </w:r>
          </w:p>
        </w:tc>
        <w:tc>
          <w:tcPr>
            <w:tcW w:type="dxa" w:w="2948"/>
            <w:vAlign w:val="center"/>
          </w:tcPr>
          <w:p>
            <w:pPr>
              <w:jc w:val="left"/>
            </w:pPr>
            <w:r/>
            <w:r>
              <w:rPr>
                <w:b w:val="0"/>
                <w:sz w:val="15"/>
              </w:rPr>
              <w:t>Injúria renal aguda e terapia renal substitutiva</w:t>
            </w:r>
          </w:p>
        </w:tc>
        <w:tc>
          <w:tcPr>
            <w:tcW w:type="dxa" w:w="4989"/>
            <w:vAlign w:val="center"/>
          </w:tcPr>
          <w:p>
            <w:pPr>
              <w:jc w:val="left"/>
            </w:pPr>
            <w:r/>
            <w:r>
              <w:rPr>
                <w:b w:val="0"/>
                <w:sz w:val="15"/>
              </w:rPr>
              <w:t>Condição comum, grave, associada a alta mortalidade e decisões complexas.</w:t>
            </w:r>
          </w:p>
        </w:tc>
      </w:tr>
      <w:tr>
        <w:tc>
          <w:tcPr>
            <w:tcW w:type="dxa" w:w="1134"/>
            <w:vAlign w:val="center"/>
            <w:shd w:fill="D9EAF7"/>
          </w:tcPr>
          <w:p>
            <w:pPr>
              <w:jc w:val="left"/>
            </w:pPr>
            <w:r/>
            <w:r>
              <w:rPr>
                <w:b w:val="0"/>
                <w:sz w:val="15"/>
              </w:rPr>
              <w:t>6</w:t>
            </w:r>
          </w:p>
        </w:tc>
        <w:tc>
          <w:tcPr>
            <w:tcW w:type="dxa" w:w="2948"/>
            <w:vAlign w:val="center"/>
          </w:tcPr>
          <w:p>
            <w:pPr>
              <w:jc w:val="left"/>
            </w:pPr>
            <w:r/>
            <w:r>
              <w:rPr>
                <w:b w:val="0"/>
                <w:sz w:val="15"/>
              </w:rPr>
              <w:t>Antimicrobianos, controle de foco e stewardship</w:t>
            </w:r>
          </w:p>
        </w:tc>
        <w:tc>
          <w:tcPr>
            <w:tcW w:type="dxa" w:w="4989"/>
            <w:vAlign w:val="center"/>
          </w:tcPr>
          <w:p>
            <w:pPr>
              <w:jc w:val="left"/>
            </w:pPr>
            <w:r/>
            <w:r>
              <w:rPr>
                <w:b w:val="0"/>
                <w:sz w:val="15"/>
              </w:rPr>
              <w:t>Integra sepse, CCIH, resistência bacteriana, dose adequada e descalonamento.</w:t>
            </w:r>
          </w:p>
        </w:tc>
      </w:tr>
      <w:tr>
        <w:tc>
          <w:tcPr>
            <w:tcW w:type="dxa" w:w="1134"/>
            <w:vAlign w:val="center"/>
            <w:shd w:fill="D9EAF7"/>
          </w:tcPr>
          <w:p>
            <w:pPr>
              <w:jc w:val="left"/>
            </w:pPr>
            <w:r/>
            <w:r>
              <w:rPr>
                <w:b w:val="0"/>
                <w:sz w:val="15"/>
              </w:rPr>
              <w:t>7</w:t>
            </w:r>
          </w:p>
        </w:tc>
        <w:tc>
          <w:tcPr>
            <w:tcW w:type="dxa" w:w="2948"/>
            <w:vAlign w:val="center"/>
          </w:tcPr>
          <w:p>
            <w:pPr>
              <w:jc w:val="left"/>
            </w:pPr>
            <w:r/>
            <w:r>
              <w:rPr>
                <w:b w:val="0"/>
                <w:sz w:val="15"/>
              </w:rPr>
              <w:t>Nutrição, glicemia e suporte metabólico</w:t>
            </w:r>
          </w:p>
        </w:tc>
        <w:tc>
          <w:tcPr>
            <w:tcW w:type="dxa" w:w="4989"/>
            <w:vAlign w:val="center"/>
          </w:tcPr>
          <w:p>
            <w:pPr>
              <w:jc w:val="left"/>
            </w:pPr>
            <w:r/>
            <w:r>
              <w:rPr>
                <w:b w:val="0"/>
                <w:sz w:val="15"/>
              </w:rPr>
              <w:t>Afeta recuperação, infecção, cicatrização, massa muscular e segurança metabólica.</w:t>
            </w:r>
          </w:p>
        </w:tc>
      </w:tr>
      <w:tr>
        <w:tc>
          <w:tcPr>
            <w:tcW w:type="dxa" w:w="1134"/>
            <w:vAlign w:val="center"/>
            <w:shd w:fill="D9EAF7"/>
          </w:tcPr>
          <w:p>
            <w:pPr>
              <w:jc w:val="left"/>
            </w:pPr>
            <w:r/>
            <w:r>
              <w:rPr>
                <w:b w:val="0"/>
                <w:sz w:val="15"/>
              </w:rPr>
              <w:t>8</w:t>
            </w:r>
          </w:p>
        </w:tc>
        <w:tc>
          <w:tcPr>
            <w:tcW w:type="dxa" w:w="2948"/>
            <w:vAlign w:val="center"/>
          </w:tcPr>
          <w:p>
            <w:pPr>
              <w:jc w:val="left"/>
            </w:pPr>
            <w:r/>
            <w:r>
              <w:rPr>
                <w:b w:val="0"/>
                <w:sz w:val="15"/>
              </w:rPr>
              <w:t>Hemoterapia, coagulopatia e transfusão maciça</w:t>
            </w:r>
          </w:p>
        </w:tc>
        <w:tc>
          <w:tcPr>
            <w:tcW w:type="dxa" w:w="4989"/>
            <w:vAlign w:val="center"/>
          </w:tcPr>
          <w:p>
            <w:pPr>
              <w:jc w:val="left"/>
            </w:pPr>
            <w:r/>
            <w:r>
              <w:rPr>
                <w:b w:val="0"/>
                <w:sz w:val="15"/>
              </w:rPr>
              <w:t>Alta utilidade em trauma, sangramento, cirurgia, choque e reações transfusionais.</w:t>
            </w:r>
          </w:p>
        </w:tc>
      </w:tr>
      <w:tr>
        <w:tc>
          <w:tcPr>
            <w:tcW w:type="dxa" w:w="1134"/>
            <w:vAlign w:val="center"/>
            <w:shd w:fill="D9EAF7"/>
          </w:tcPr>
          <w:p>
            <w:pPr>
              <w:jc w:val="left"/>
            </w:pPr>
            <w:r/>
            <w:r>
              <w:rPr>
                <w:b w:val="0"/>
                <w:sz w:val="15"/>
              </w:rPr>
              <w:t>9</w:t>
            </w:r>
          </w:p>
        </w:tc>
        <w:tc>
          <w:tcPr>
            <w:tcW w:type="dxa" w:w="2948"/>
            <w:vAlign w:val="center"/>
          </w:tcPr>
          <w:p>
            <w:pPr>
              <w:jc w:val="left"/>
            </w:pPr>
            <w:r/>
            <w:r>
              <w:rPr>
                <w:b w:val="0"/>
                <w:sz w:val="15"/>
              </w:rPr>
              <w:t>Profilaxias, bundles e segurança diária na UTI</w:t>
            </w:r>
          </w:p>
        </w:tc>
        <w:tc>
          <w:tcPr>
            <w:tcW w:type="dxa" w:w="4989"/>
            <w:vAlign w:val="center"/>
          </w:tcPr>
          <w:p>
            <w:pPr>
              <w:jc w:val="left"/>
            </w:pPr>
            <w:r/>
            <w:r>
              <w:rPr>
                <w:b w:val="0"/>
                <w:sz w:val="15"/>
              </w:rPr>
              <w:t>Padroniza prevenção de TEV, PAV, infecção de CVC, lesão por pressão e eventos evitáveis.</w:t>
            </w:r>
          </w:p>
        </w:tc>
      </w:tr>
      <w:tr>
        <w:tc>
          <w:tcPr>
            <w:tcW w:type="dxa" w:w="1134"/>
            <w:vAlign w:val="center"/>
            <w:shd w:fill="D9EAF7"/>
          </w:tcPr>
          <w:p>
            <w:pPr>
              <w:jc w:val="left"/>
            </w:pPr>
            <w:r/>
            <w:r>
              <w:rPr>
                <w:b w:val="0"/>
                <w:sz w:val="15"/>
              </w:rPr>
              <w:t>10</w:t>
            </w:r>
          </w:p>
        </w:tc>
        <w:tc>
          <w:tcPr>
            <w:tcW w:type="dxa" w:w="2948"/>
            <w:vAlign w:val="center"/>
          </w:tcPr>
          <w:p>
            <w:pPr>
              <w:jc w:val="left"/>
            </w:pPr>
            <w:r/>
            <w:r>
              <w:rPr>
                <w:b w:val="0"/>
                <w:sz w:val="15"/>
              </w:rPr>
              <w:t>Parada cardiorrespiratória, pós-PCR e neurocrítico inicial</w:t>
            </w:r>
          </w:p>
        </w:tc>
        <w:tc>
          <w:tcPr>
            <w:tcW w:type="dxa" w:w="4989"/>
            <w:vAlign w:val="center"/>
          </w:tcPr>
          <w:p>
            <w:pPr>
              <w:jc w:val="left"/>
            </w:pPr>
            <w:r/>
            <w:r>
              <w:rPr>
                <w:b w:val="0"/>
                <w:sz w:val="15"/>
              </w:rPr>
              <w:t>Alto impacto prático; integra ACLS, pós-ROSC, temperatura, convulsões e prognóstico neurológico.</w:t>
            </w:r>
          </w:p>
        </w:tc>
      </w:tr>
    </w:tbl>
    <w:p>
      <w:pPr>
        <w:pStyle w:val="Heading1"/>
      </w:pPr>
      <w:r>
        <w:t>9. Estrutura padronizada de cada protocolo</w:t>
      </w:r>
    </w:p>
    <w:p>
      <w:r>
        <w:t>Para o livro ter unidade editorial e valor acadêmico, todos os capítulos devem seguir o mesmo padrão. Isso facilita leitura, comparação, auditoria e implementação.</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pPr>
              <w:jc w:val="left"/>
            </w:pPr>
            <w:r/>
            <w:r>
              <w:rPr>
                <w:b/>
                <w:color w:val="FFFFFF"/>
                <w:sz w:val="16"/>
              </w:rPr>
              <w:t>Seção do capítulo</w:t>
            </w:r>
          </w:p>
        </w:tc>
        <w:tc>
          <w:tcPr>
            <w:tcW w:type="dxa" w:w="6236"/>
            <w:vAlign w:val="center"/>
            <w:shd w:fill="1F4E79"/>
          </w:tcPr>
          <w:p>
            <w:pPr>
              <w:jc w:val="left"/>
            </w:pPr>
            <w:r/>
            <w:r>
              <w:rPr>
                <w:b/>
                <w:color w:val="FFFFFF"/>
                <w:sz w:val="16"/>
              </w:rPr>
              <w:t>Conteúdo esperado</w:t>
            </w:r>
          </w:p>
        </w:tc>
      </w:tr>
      <w:tr>
        <w:tc>
          <w:tcPr>
            <w:tcW w:type="dxa" w:w="2835"/>
            <w:vAlign w:val="center"/>
            <w:shd w:fill="D9EAF7"/>
          </w:tcPr>
          <w:p>
            <w:pPr>
              <w:jc w:val="left"/>
            </w:pPr>
            <w:r/>
            <w:r>
              <w:rPr>
                <w:b w:val="0"/>
                <w:sz w:val="16"/>
              </w:rPr>
              <w:t>Resumo executivo</w:t>
            </w:r>
          </w:p>
        </w:tc>
        <w:tc>
          <w:tcPr>
            <w:tcW w:type="dxa" w:w="6236"/>
            <w:vAlign w:val="center"/>
          </w:tcPr>
          <w:p>
            <w:pPr>
              <w:jc w:val="left"/>
            </w:pPr>
            <w:r/>
            <w:r>
              <w:rPr>
                <w:b w:val="0"/>
                <w:sz w:val="16"/>
              </w:rPr>
              <w:t>Síntese em até 10 linhas com mensagens-chave.</w:t>
            </w:r>
          </w:p>
        </w:tc>
      </w:tr>
      <w:tr>
        <w:tc>
          <w:tcPr>
            <w:tcW w:type="dxa" w:w="2835"/>
            <w:vAlign w:val="center"/>
            <w:shd w:fill="D9EAF7"/>
          </w:tcPr>
          <w:p>
            <w:pPr>
              <w:jc w:val="left"/>
            </w:pPr>
            <w:r/>
            <w:r>
              <w:rPr>
                <w:b w:val="0"/>
                <w:sz w:val="16"/>
              </w:rPr>
              <w:t>Objetivo</w:t>
            </w:r>
          </w:p>
        </w:tc>
        <w:tc>
          <w:tcPr>
            <w:tcW w:type="dxa" w:w="6236"/>
            <w:vAlign w:val="center"/>
          </w:tcPr>
          <w:p>
            <w:pPr>
              <w:jc w:val="left"/>
            </w:pPr>
            <w:r/>
            <w:r>
              <w:rPr>
                <w:b w:val="0"/>
                <w:sz w:val="16"/>
              </w:rPr>
              <w:t>Finalidade do protocolo e problema clínico que resolve.</w:t>
            </w:r>
          </w:p>
        </w:tc>
      </w:tr>
      <w:tr>
        <w:tc>
          <w:tcPr>
            <w:tcW w:type="dxa" w:w="2835"/>
            <w:vAlign w:val="center"/>
            <w:shd w:fill="D9EAF7"/>
          </w:tcPr>
          <w:p>
            <w:pPr>
              <w:jc w:val="left"/>
            </w:pPr>
            <w:r/>
            <w:r>
              <w:rPr>
                <w:b w:val="0"/>
                <w:sz w:val="16"/>
              </w:rPr>
              <w:t>População-alvo</w:t>
            </w:r>
          </w:p>
        </w:tc>
        <w:tc>
          <w:tcPr>
            <w:tcW w:type="dxa" w:w="6236"/>
            <w:vAlign w:val="center"/>
          </w:tcPr>
          <w:p>
            <w:pPr>
              <w:jc w:val="left"/>
            </w:pPr>
            <w:r/>
            <w:r>
              <w:rPr>
                <w:b w:val="0"/>
                <w:sz w:val="16"/>
              </w:rPr>
              <w:t>Pacientes, cenários e critérios de inclusão.</w:t>
            </w:r>
          </w:p>
        </w:tc>
      </w:tr>
      <w:tr>
        <w:tc>
          <w:tcPr>
            <w:tcW w:type="dxa" w:w="2835"/>
            <w:vAlign w:val="center"/>
            <w:shd w:fill="D9EAF7"/>
          </w:tcPr>
          <w:p>
            <w:pPr>
              <w:jc w:val="left"/>
            </w:pPr>
            <w:r/>
            <w:r>
              <w:rPr>
                <w:b w:val="0"/>
                <w:sz w:val="16"/>
              </w:rPr>
              <w:t>Exclusões/alertas</w:t>
            </w:r>
          </w:p>
        </w:tc>
        <w:tc>
          <w:tcPr>
            <w:tcW w:type="dxa" w:w="6236"/>
            <w:vAlign w:val="center"/>
          </w:tcPr>
          <w:p>
            <w:pPr>
              <w:jc w:val="left"/>
            </w:pPr>
            <w:r/>
            <w:r>
              <w:rPr>
                <w:b w:val="0"/>
                <w:sz w:val="16"/>
              </w:rPr>
              <w:t>Situações em que o protocolo não se aplica ou exige especialista.</w:t>
            </w:r>
          </w:p>
        </w:tc>
      </w:tr>
      <w:tr>
        <w:tc>
          <w:tcPr>
            <w:tcW w:type="dxa" w:w="2835"/>
            <w:vAlign w:val="center"/>
            <w:shd w:fill="D9EAF7"/>
          </w:tcPr>
          <w:p>
            <w:pPr>
              <w:jc w:val="left"/>
            </w:pPr>
            <w:r/>
            <w:r>
              <w:rPr>
                <w:b w:val="0"/>
                <w:sz w:val="16"/>
              </w:rPr>
              <w:t>Definições operacionais</w:t>
            </w:r>
          </w:p>
        </w:tc>
        <w:tc>
          <w:tcPr>
            <w:tcW w:type="dxa" w:w="6236"/>
            <w:vAlign w:val="center"/>
          </w:tcPr>
          <w:p>
            <w:pPr>
              <w:jc w:val="left"/>
            </w:pPr>
            <w:r/>
            <w:r>
              <w:rPr>
                <w:b w:val="0"/>
                <w:sz w:val="16"/>
              </w:rPr>
              <w:t>Critérios diagnósticos, escalas, limiares, termos padronizados.</w:t>
            </w:r>
          </w:p>
        </w:tc>
      </w:tr>
      <w:tr>
        <w:tc>
          <w:tcPr>
            <w:tcW w:type="dxa" w:w="2835"/>
            <w:vAlign w:val="center"/>
            <w:shd w:fill="D9EAF7"/>
          </w:tcPr>
          <w:p>
            <w:pPr>
              <w:jc w:val="left"/>
            </w:pPr>
            <w:r/>
            <w:r>
              <w:rPr>
                <w:b w:val="0"/>
                <w:sz w:val="16"/>
              </w:rPr>
              <w:t>Perguntas PICO</w:t>
            </w:r>
          </w:p>
        </w:tc>
        <w:tc>
          <w:tcPr>
            <w:tcW w:type="dxa" w:w="6236"/>
            <w:vAlign w:val="center"/>
          </w:tcPr>
          <w:p>
            <w:pPr>
              <w:jc w:val="left"/>
            </w:pPr>
            <w:r/>
            <w:r>
              <w:rPr>
                <w:b w:val="0"/>
                <w:sz w:val="16"/>
              </w:rPr>
              <w:t>Questões clínicas centrais respondidas pelo capítulo.</w:t>
            </w:r>
          </w:p>
        </w:tc>
      </w:tr>
      <w:tr>
        <w:tc>
          <w:tcPr>
            <w:tcW w:type="dxa" w:w="2835"/>
            <w:vAlign w:val="center"/>
            <w:shd w:fill="D9EAF7"/>
          </w:tcPr>
          <w:p>
            <w:pPr>
              <w:jc w:val="left"/>
            </w:pPr>
            <w:r/>
            <w:r>
              <w:rPr>
                <w:b w:val="0"/>
                <w:sz w:val="16"/>
              </w:rPr>
              <w:t>Evidência</w:t>
            </w:r>
          </w:p>
        </w:tc>
        <w:tc>
          <w:tcPr>
            <w:tcW w:type="dxa" w:w="6236"/>
            <w:vAlign w:val="center"/>
          </w:tcPr>
          <w:p>
            <w:pPr>
              <w:jc w:val="left"/>
            </w:pPr>
            <w:r/>
            <w:r>
              <w:rPr>
                <w:b w:val="0"/>
                <w:sz w:val="16"/>
              </w:rPr>
              <w:t>Diretrizes, trials, revisões e nível de evidência.</w:t>
            </w:r>
          </w:p>
        </w:tc>
      </w:tr>
      <w:tr>
        <w:tc>
          <w:tcPr>
            <w:tcW w:type="dxa" w:w="2835"/>
            <w:vAlign w:val="center"/>
            <w:shd w:fill="D9EAF7"/>
          </w:tcPr>
          <w:p>
            <w:pPr>
              <w:jc w:val="left"/>
            </w:pPr>
            <w:r/>
            <w:r>
              <w:rPr>
                <w:b w:val="0"/>
                <w:sz w:val="16"/>
              </w:rPr>
              <w:t>Fluxograma</w:t>
            </w:r>
          </w:p>
        </w:tc>
        <w:tc>
          <w:tcPr>
            <w:tcW w:type="dxa" w:w="6236"/>
            <w:vAlign w:val="center"/>
          </w:tcPr>
          <w:p>
            <w:pPr>
              <w:jc w:val="left"/>
            </w:pPr>
            <w:r/>
            <w:r>
              <w:rPr>
                <w:b w:val="0"/>
                <w:sz w:val="16"/>
              </w:rPr>
              <w:t>Algoritmo prático para decisão no plantão.</w:t>
            </w:r>
          </w:p>
        </w:tc>
      </w:tr>
      <w:tr>
        <w:tc>
          <w:tcPr>
            <w:tcW w:type="dxa" w:w="2835"/>
            <w:vAlign w:val="center"/>
            <w:shd w:fill="D9EAF7"/>
          </w:tcPr>
          <w:p>
            <w:pPr>
              <w:jc w:val="left"/>
            </w:pPr>
            <w:r/>
            <w:r>
              <w:rPr>
                <w:b w:val="0"/>
                <w:sz w:val="16"/>
              </w:rPr>
              <w:t>Primeiras 1-6 horas</w:t>
            </w:r>
          </w:p>
        </w:tc>
        <w:tc>
          <w:tcPr>
            <w:tcW w:type="dxa" w:w="6236"/>
            <w:vAlign w:val="center"/>
          </w:tcPr>
          <w:p>
            <w:pPr>
              <w:jc w:val="left"/>
            </w:pPr>
            <w:r/>
            <w:r>
              <w:rPr>
                <w:b w:val="0"/>
                <w:sz w:val="16"/>
              </w:rPr>
              <w:t>Condutas imediatas prioritárias.</w:t>
            </w:r>
          </w:p>
        </w:tc>
      </w:tr>
      <w:tr>
        <w:tc>
          <w:tcPr>
            <w:tcW w:type="dxa" w:w="2835"/>
            <w:vAlign w:val="center"/>
            <w:shd w:fill="D9EAF7"/>
          </w:tcPr>
          <w:p>
            <w:pPr>
              <w:jc w:val="left"/>
            </w:pPr>
            <w:r/>
            <w:r>
              <w:rPr>
                <w:b w:val="0"/>
                <w:sz w:val="16"/>
              </w:rPr>
              <w:t>Primeiras 24 horas</w:t>
            </w:r>
          </w:p>
        </w:tc>
        <w:tc>
          <w:tcPr>
            <w:tcW w:type="dxa" w:w="6236"/>
            <w:vAlign w:val="center"/>
          </w:tcPr>
          <w:p>
            <w:pPr>
              <w:jc w:val="left"/>
            </w:pPr>
            <w:r/>
            <w:r>
              <w:rPr>
                <w:b w:val="0"/>
                <w:sz w:val="16"/>
              </w:rPr>
              <w:t>Plano de continuidade, reavaliação e metas.</w:t>
            </w:r>
          </w:p>
        </w:tc>
      </w:tr>
      <w:tr>
        <w:tc>
          <w:tcPr>
            <w:tcW w:type="dxa" w:w="2835"/>
            <w:vAlign w:val="center"/>
            <w:shd w:fill="D9EAF7"/>
          </w:tcPr>
          <w:p>
            <w:pPr>
              <w:jc w:val="left"/>
            </w:pPr>
            <w:r/>
            <w:r>
              <w:rPr>
                <w:b w:val="0"/>
                <w:sz w:val="16"/>
              </w:rPr>
              <w:t>Prescrição sugerida</w:t>
            </w:r>
          </w:p>
        </w:tc>
        <w:tc>
          <w:tcPr>
            <w:tcW w:type="dxa" w:w="6236"/>
            <w:vAlign w:val="center"/>
          </w:tcPr>
          <w:p>
            <w:pPr>
              <w:jc w:val="left"/>
            </w:pPr>
            <w:r/>
            <w:r>
              <w:rPr>
                <w:b w:val="0"/>
                <w:sz w:val="16"/>
              </w:rPr>
              <w:t>Doses, intervalos, diluições e alertas de segurança quando apropriado.</w:t>
            </w:r>
          </w:p>
        </w:tc>
      </w:tr>
      <w:tr>
        <w:tc>
          <w:tcPr>
            <w:tcW w:type="dxa" w:w="2835"/>
            <w:vAlign w:val="center"/>
            <w:shd w:fill="D9EAF7"/>
          </w:tcPr>
          <w:p>
            <w:pPr>
              <w:jc w:val="left"/>
            </w:pPr>
            <w:r/>
            <w:r>
              <w:rPr>
                <w:b w:val="0"/>
                <w:sz w:val="16"/>
              </w:rPr>
              <w:t>Checklist</w:t>
            </w:r>
          </w:p>
        </w:tc>
        <w:tc>
          <w:tcPr>
            <w:tcW w:type="dxa" w:w="6236"/>
            <w:vAlign w:val="center"/>
          </w:tcPr>
          <w:p>
            <w:pPr>
              <w:jc w:val="left"/>
            </w:pPr>
            <w:r/>
            <w:r>
              <w:rPr>
                <w:b w:val="0"/>
                <w:sz w:val="16"/>
              </w:rPr>
              <w:t>Itens obrigatórios para reduzir omissões.</w:t>
            </w:r>
          </w:p>
        </w:tc>
      </w:tr>
      <w:tr>
        <w:tc>
          <w:tcPr>
            <w:tcW w:type="dxa" w:w="2835"/>
            <w:vAlign w:val="center"/>
            <w:shd w:fill="D9EAF7"/>
          </w:tcPr>
          <w:p>
            <w:pPr>
              <w:jc w:val="left"/>
            </w:pPr>
            <w:r/>
            <w:r>
              <w:rPr>
                <w:b w:val="0"/>
                <w:sz w:val="16"/>
              </w:rPr>
              <w:t>Erros comuns</w:t>
            </w:r>
          </w:p>
        </w:tc>
        <w:tc>
          <w:tcPr>
            <w:tcW w:type="dxa" w:w="6236"/>
            <w:vAlign w:val="center"/>
          </w:tcPr>
          <w:p>
            <w:pPr>
              <w:jc w:val="left"/>
            </w:pPr>
            <w:r/>
            <w:r>
              <w:rPr>
                <w:b w:val="0"/>
                <w:sz w:val="16"/>
              </w:rPr>
              <w:t>Falhas frequentes que o protocolo busca prevenir.</w:t>
            </w:r>
          </w:p>
        </w:tc>
      </w:tr>
      <w:tr>
        <w:tc>
          <w:tcPr>
            <w:tcW w:type="dxa" w:w="2835"/>
            <w:vAlign w:val="center"/>
            <w:shd w:fill="D9EAF7"/>
          </w:tcPr>
          <w:p>
            <w:pPr>
              <w:jc w:val="left"/>
            </w:pPr>
            <w:r/>
            <w:r>
              <w:rPr>
                <w:b w:val="0"/>
                <w:sz w:val="16"/>
              </w:rPr>
              <w:t>Quando acionar especialista</w:t>
            </w:r>
          </w:p>
        </w:tc>
        <w:tc>
          <w:tcPr>
            <w:tcW w:type="dxa" w:w="6236"/>
            <w:vAlign w:val="center"/>
          </w:tcPr>
          <w:p>
            <w:pPr>
              <w:jc w:val="left"/>
            </w:pPr>
            <w:r/>
            <w:r>
              <w:rPr>
                <w:b w:val="0"/>
                <w:sz w:val="16"/>
              </w:rPr>
              <w:t>Critérios objetivos para chamar infectologia, nefro, cirurgia, neuro etc.</w:t>
            </w:r>
          </w:p>
        </w:tc>
      </w:tr>
      <w:tr>
        <w:tc>
          <w:tcPr>
            <w:tcW w:type="dxa" w:w="2835"/>
            <w:vAlign w:val="center"/>
            <w:shd w:fill="D9EAF7"/>
          </w:tcPr>
          <w:p>
            <w:pPr>
              <w:jc w:val="left"/>
            </w:pPr>
            <w:r/>
            <w:r>
              <w:rPr>
                <w:b w:val="0"/>
                <w:sz w:val="16"/>
              </w:rPr>
              <w:t>Indicadores</w:t>
            </w:r>
          </w:p>
        </w:tc>
        <w:tc>
          <w:tcPr>
            <w:tcW w:type="dxa" w:w="6236"/>
            <w:vAlign w:val="center"/>
          </w:tcPr>
          <w:p>
            <w:pPr>
              <w:jc w:val="left"/>
            </w:pPr>
            <w:r/>
            <w:r>
              <w:rPr>
                <w:b w:val="0"/>
                <w:sz w:val="16"/>
              </w:rPr>
              <w:t>Métricas de qualidade e segurança.</w:t>
            </w:r>
          </w:p>
        </w:tc>
      </w:tr>
      <w:tr>
        <w:tc>
          <w:tcPr>
            <w:tcW w:type="dxa" w:w="2835"/>
            <w:vAlign w:val="center"/>
            <w:shd w:fill="D9EAF7"/>
          </w:tcPr>
          <w:p>
            <w:pPr>
              <w:jc w:val="left"/>
            </w:pPr>
            <w:r/>
            <w:r>
              <w:rPr>
                <w:b w:val="0"/>
                <w:sz w:val="16"/>
              </w:rPr>
              <w:t>Referências</w:t>
            </w:r>
          </w:p>
        </w:tc>
        <w:tc>
          <w:tcPr>
            <w:tcW w:type="dxa" w:w="6236"/>
            <w:vAlign w:val="center"/>
          </w:tcPr>
          <w:p>
            <w:pPr>
              <w:jc w:val="left"/>
            </w:pPr>
            <w:r/>
            <w:r>
              <w:rPr>
                <w:b w:val="0"/>
                <w:sz w:val="16"/>
              </w:rPr>
              <w:t>Fontes principais em Vancouver/ABNT.</w:t>
            </w:r>
          </w:p>
        </w:tc>
      </w:tr>
      <w:tr>
        <w:tc>
          <w:tcPr>
            <w:tcW w:type="dxa" w:w="2835"/>
            <w:vAlign w:val="center"/>
            <w:shd w:fill="D9EAF7"/>
          </w:tcPr>
          <w:p>
            <w:pPr>
              <w:jc w:val="left"/>
            </w:pPr>
            <w:r/>
            <w:r>
              <w:rPr>
                <w:b w:val="0"/>
                <w:sz w:val="16"/>
              </w:rPr>
              <w:t>Data de atualização</w:t>
            </w:r>
          </w:p>
        </w:tc>
        <w:tc>
          <w:tcPr>
            <w:tcW w:type="dxa" w:w="6236"/>
            <w:vAlign w:val="center"/>
          </w:tcPr>
          <w:p>
            <w:pPr>
              <w:jc w:val="left"/>
            </w:pPr>
            <w:r/>
            <w:r>
              <w:rPr>
                <w:b w:val="0"/>
                <w:sz w:val="16"/>
              </w:rPr>
              <w:t>Data e responsável pela última revisão.</w:t>
            </w:r>
          </w:p>
        </w:tc>
      </w:tr>
    </w:tbl>
    <w:p>
      <w:pPr>
        <w:pStyle w:val="Heading1"/>
      </w:pPr>
      <w:r>
        <w:t>10. Descrição científica dos 10 protocolos</w:t>
      </w:r>
    </w:p>
    <w:p>
      <w:pPr>
        <w:pStyle w:val="Heading2"/>
      </w:pPr>
      <w:r>
        <w:t>1. Sepse e choque séptico</w:t>
      </w:r>
    </w:p>
    <w:p>
      <w:r>
        <w:t>Protocolo voltado ao reconhecimento precoce de infecção grave, avaliação de disfunção orgânica, coleta de culturas, início oportuno de antimicrobianos, ressuscitação hemodinâmica, uso de vasopressores, controle de foco e reavaliação dinâmica da perfusão.</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Surviving Sepsis Campaign; estudos sobre fluidos balanceados, alvo de pressão arterial, vasopressores, corticoide, lactato e controle de foco.</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Em adultos com choque séptico, cristaloide balanceado reduz IRA/mortalidade em comparação com soro fisiológico? Quando iniciar noradrenalina? Quando usar hidrocortisona?</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Tempo até antimicrobiano em choque séptico; proporção de lactato reavaliado; tempo até vasopressor; documentação de controle de foco.</w:t>
            </w:r>
          </w:p>
        </w:tc>
      </w:tr>
    </w:tbl>
    <w:p>
      <w:pPr>
        <w:pStyle w:val="Heading2"/>
      </w:pPr>
      <w:r>
        <w:t>2. Ventilação mecânica, SDRA e desmame</w:t>
      </w:r>
    </w:p>
    <w:p>
      <w:r>
        <w:t>Protocolo para intubação segura, ventilação protetora, ajuste de PEEP/FiO2, manejo da SDRA, prona, bloqueio neuromuscular, critérios de ECMO, teste de respiração espontânea e extubação segura.</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Diretrizes ATS/ESICM/SCCM, ARDSNet, PROSEVA, EOLIA e literatura sobre desmame, VNI pós-extubação e oxigenoterapia de alto fluxo.</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Em SDRA moderada/grave, prona precoce reduz mortalidade? Qual estratégia de Vt e driving pressure é mais segura? Quais critérios predizem sucesso no desmame?</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Percentual de pacientes ventilados com volume corrente protetor; registro de peso predito; uso adequado de prona; taxa de reintubação.</w:t>
            </w:r>
          </w:p>
        </w:tc>
      </w:tr>
    </w:tbl>
    <w:p>
      <w:pPr>
        <w:pStyle w:val="Heading2"/>
      </w:pPr>
      <w:r>
        <w:t>3. Choque circulatório e drogas vasoativas</w:t>
      </w:r>
    </w:p>
    <w:p>
      <w:r>
        <w:t>Protocolo de classificação e manejo inicial dos principais fenótipos de choque: séptico, cardiogênico, hipovolêmico, obstrutivo e anafilático. Inclui uso seguro de noradrenalina, vasopressina, adrenalina, dobutamina e suporte guiado por perfusão.</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Diretrizes de choque, sepse, cardiologia crítica, hemodinâmica funcional, POCUS e literatura sobre lactato, tempo de enchimento capilar e perfusão periférica.</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Em choque indiferenciado, uma abordagem guiada por POCUS acelera diagnóstico e conduta? Qual vasopressor inicial por fenótipo? Quando associar vasopressina ou inotrópico?</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Tempo até vasopressor em choque persistente; documentação do fenótipo de choque; reavaliação de perfusão; uso de acesso seguro para DVA.</w:t>
            </w:r>
          </w:p>
        </w:tc>
      </w:tr>
    </w:tbl>
    <w:p>
      <w:pPr>
        <w:pStyle w:val="Heading2"/>
      </w:pPr>
      <w:r>
        <w:t>4. Analgesia, sedação, delirium e bundle ABCDEF</w:t>
      </w:r>
    </w:p>
    <w:p>
      <w:r>
        <w:t>Protocolo centrado em analgesia primeiro, alvo de RASS, redução de benzodiazepínicos, avaliação de delirium, interrupção diária de sedação, teste respiratório, mobilização precoce, sono e participação familiar.</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PADIS/SCCM, bundle ABCDEF, estudos sobre dexmedetomidina, propofol, benzodiazepínicos, delirium e mobilização precoce.</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Em pacientes críticos ventilados, sedação leve reduz tempo de VM? O bundle ABCDEF reduz delirium e dias de UTI? Como monitorar dor e delirium em pacientes não comunicantes?</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Registro diário de RASS, dor e CAM-ICU; percentual de pacientes com interrupção diária avaliada; mobilização precoce registrada.</w:t>
            </w:r>
          </w:p>
        </w:tc>
      </w:tr>
    </w:tbl>
    <w:p>
      <w:pPr>
        <w:pStyle w:val="Heading2"/>
      </w:pPr>
      <w:r>
        <w:t>5. Injúria renal aguda e terapia renal substitutiva</w:t>
      </w:r>
    </w:p>
    <w:p>
      <w:r>
        <w:t>Protocolo para rastreio KDIGO, prevenção de nefrotoxicidade, ajuste de doses, otimização hemodinâmica, indicações de terapia renal substitutiva, escolha entre métodos e manejo de eletrólitos/acidose.</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KDIGO, diretrizes de nefrologia crítica, estudos AKIKI, ELAIN, STARRT-AKI e literatura sobre CRRT/intermitente.</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Em IRA grave sem emergência dialítica, início precoce de TRS melhora desfechos? Em choque, CRRT é preferível à hemodiálise intermitente? Como ajustar antimicrobianos?</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Registro de estágio KDIGO; revisão diária de nefrotóxicos; tempo até nefrologia quando indicado; indicação documentada de TRS.</w:t>
            </w:r>
          </w:p>
        </w:tc>
      </w:tr>
    </w:tbl>
    <w:p>
      <w:pPr>
        <w:pStyle w:val="Heading2"/>
      </w:pPr>
      <w:r>
        <w:t>6. Antimicrobianos, controle de foco e stewardship</w:t>
      </w:r>
    </w:p>
    <w:p>
      <w:r>
        <w:t>Protocolo para escolha empírica racional, coleta de culturas, dose otimizada, ajuste por função renal/CRRT, reavaliação em 48-72h, descalonamento, duração de tratamento e articulação com CCIH.</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IDSA, SBI, Surviving Sepsis, protocolos CCIH locais, PK/PD de antimicrobianos e literatura sobre stewardship.</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Em choque séptico, atraso do antibiótico piora mortalidade? Infusão prolongada de beta-lactâmicos melhora alvo PK/PD? Procalcitonina ajuda a reduzir duração?</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Tempo até antibiótico; culturas antes do antibiótico quando possível; descalonamento em 72h; adequação de dose à função renal.</w:t>
            </w:r>
          </w:p>
        </w:tc>
      </w:tr>
    </w:tbl>
    <w:p>
      <w:pPr>
        <w:pStyle w:val="Heading2"/>
      </w:pPr>
      <w:r>
        <w:t>7. Nutrição, glicemia e suporte metabólico</w:t>
      </w:r>
    </w:p>
    <w:p>
      <w:r>
        <w:t>Protocolo de triagem nutricional, início de dieta enteral, metas proteico-calóricas, síndrome de realimentação, nutrição no choque, nutrição parenteral, controle glicêmico e prevenção de hipoglicemia.</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SCCM/ASPEN, ESPEN, ADA Standards of Care e literatura sobre nutrição precoce, proteína, insulina e glicemia em UTI.</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Em pacientes críticos, dieta enteral precoce reduz infecção? Qual alvo glicêmico reduz hipoglicemia e complicações? Quando iniciar nutrição parenteral?</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Tempo até início de dieta enteral; percentual de meta proteica atingida; episódios de hipoglicemia; avaliação de risco de realimentação.</w:t>
            </w:r>
          </w:p>
        </w:tc>
      </w:tr>
    </w:tbl>
    <w:p>
      <w:pPr>
        <w:pStyle w:val="Heading2"/>
      </w:pPr>
      <w:r>
        <w:t>8. Hemoterapia, coagulopatia e transfusão maciça</w:t>
      </w:r>
    </w:p>
    <w:p>
      <w:r>
        <w:t>Protocolo para transfusão racional de hemácias, plaquetas, plasma e crioprecipitado; manejo de coagulopatia; transfusão maciça; reversão de anticoagulantes; reação transfusional e metas em sangramento ativo.</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AABB, diretrizes de trauma/hemorragia, literatura sobre estratégia restritiva, fibrinogênio, crioprecipitado, ácido tranexâmico e razão CH:PFC:plaquetas.</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Em paciente crítico estável, estratégia restritiva é segura? Em hemorragia maciça, qual razão transfusional? Qual alvo de fibrinogênio no sangramento ativo?</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Adequação ao limiar transfusional; tempo de ativação do protocolo de transfusão maciça; fibrinogênio dosado; reação transfusional notificada.</w:t>
            </w:r>
          </w:p>
        </w:tc>
      </w:tr>
    </w:tbl>
    <w:p>
      <w:pPr>
        <w:pStyle w:val="Heading2"/>
      </w:pPr>
      <w:r>
        <w:t>9. Profilaxias, bundles e segurança diária na UTI</w:t>
      </w:r>
    </w:p>
    <w:p>
      <w:r>
        <w:t>Protocolo diário de prevenção de eventos evitáveis: TEV, úlcera de estresse, PAV, infecção de corrente sanguínea associada a CVC, infecção urinária associada a SVD, lesão por pressão, quedas, reconciliação medicamentosa e descalonamento de dispositivos.</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ASH, CDC, IHI, bundles de segurança, FAST HUG BID e recomendações institucionais de qualidade.</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Em pacientes críticos, profilaxia farmacológica de TEV reduz eventos sem aumentar sangramento? Checklists diários reduzem eventos adversos? Quando suspender IBP profilático?</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Profilaxia TEV adequada; dias de CVC/SVD evitáveis; cabeceira elevada; bundle PAV; lesão por pressão adquirida na UTI.</w:t>
            </w:r>
          </w:p>
        </w:tc>
      </w:tr>
    </w:tbl>
    <w:p>
      <w:pPr>
        <w:pStyle w:val="Heading2"/>
      </w:pPr>
      <w:r>
        <w:t>10. Parada cardiorrespiratória, pós-PCR e neurocrítico inicial</w:t>
      </w:r>
    </w:p>
    <w:p>
      <w:r>
        <w:t>Protocolo para PCR intra-hospitalar, organização de equipe, causas reversíveis, cuidados pós-ROSC, ventilação/oxigenação, controle de temperatura, convulsão/status epilepticus, hipertensão intracraniana e prognóstico neurológico inicial.</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1F4E79"/>
          </w:tcPr>
          <w:p>
            <w:pPr>
              <w:jc w:val="left"/>
            </w:pPr>
            <w:r/>
            <w:r>
              <w:rPr>
                <w:b/>
                <w:color w:val="FFFFFF"/>
                <w:sz w:val="16"/>
              </w:rPr>
              <w:t>Eixo</w:t>
            </w:r>
          </w:p>
        </w:tc>
        <w:tc>
          <w:tcPr>
            <w:tcW w:type="dxa" w:w="6690"/>
            <w:vAlign w:val="center"/>
            <w:shd w:fill="1F4E79"/>
          </w:tcPr>
          <w:p>
            <w:pPr>
              <w:jc w:val="left"/>
            </w:pPr>
            <w:r/>
            <w:r>
              <w:rPr>
                <w:b/>
                <w:color w:val="FFFFFF"/>
                <w:sz w:val="16"/>
              </w:rPr>
              <w:t>Descrição</w:t>
            </w:r>
          </w:p>
        </w:tc>
      </w:tr>
      <w:tr>
        <w:tc>
          <w:tcPr>
            <w:tcW w:type="dxa" w:w="2381"/>
            <w:vAlign w:val="center"/>
            <w:shd w:fill="D9EAF7"/>
          </w:tcPr>
          <w:p>
            <w:pPr>
              <w:jc w:val="left"/>
            </w:pPr>
            <w:r/>
            <w:r>
              <w:rPr>
                <w:b w:val="0"/>
                <w:sz w:val="16"/>
              </w:rPr>
              <w:t>Base científica inicial</w:t>
            </w:r>
          </w:p>
        </w:tc>
        <w:tc>
          <w:tcPr>
            <w:tcW w:type="dxa" w:w="6690"/>
            <w:vAlign w:val="center"/>
          </w:tcPr>
          <w:p>
            <w:pPr>
              <w:jc w:val="left"/>
            </w:pPr>
            <w:r/>
            <w:r>
              <w:rPr>
                <w:b w:val="0"/>
                <w:sz w:val="16"/>
              </w:rPr>
              <w:t>AHA/ILCOR, Neurocritical Care Society, diretrizes de status epilepticus, TTM2 e literatura sobre pós-PCR e prognosticação multimodal.</w:t>
            </w:r>
          </w:p>
        </w:tc>
      </w:tr>
      <w:tr>
        <w:tc>
          <w:tcPr>
            <w:tcW w:type="dxa" w:w="2381"/>
            <w:vAlign w:val="center"/>
            <w:shd w:fill="D9EAF7"/>
          </w:tcPr>
          <w:p>
            <w:pPr>
              <w:jc w:val="left"/>
            </w:pPr>
            <w:r/>
            <w:r>
              <w:rPr>
                <w:b w:val="0"/>
                <w:sz w:val="16"/>
              </w:rPr>
              <w:t>Perguntas PICO possíveis</w:t>
            </w:r>
          </w:p>
        </w:tc>
        <w:tc>
          <w:tcPr>
            <w:tcW w:type="dxa" w:w="6690"/>
            <w:vAlign w:val="center"/>
          </w:tcPr>
          <w:p>
            <w:pPr>
              <w:jc w:val="left"/>
            </w:pPr>
            <w:r/>
            <w:r>
              <w:rPr>
                <w:b w:val="0"/>
                <w:sz w:val="16"/>
              </w:rPr>
              <w:t>Após ROSC, qual alvo de temperatura é recomendado? Como evitar hiperóxia/hipocapnia? Quando iniciar monitorização neurológica e investigar convulsão?</w:t>
            </w:r>
          </w:p>
        </w:tc>
      </w:tr>
      <w:tr>
        <w:tc>
          <w:tcPr>
            <w:tcW w:type="dxa" w:w="2381"/>
            <w:vAlign w:val="center"/>
            <w:shd w:fill="D9EAF7"/>
          </w:tcPr>
          <w:p>
            <w:pPr>
              <w:jc w:val="left"/>
            </w:pPr>
            <w:r/>
            <w:r>
              <w:rPr>
                <w:b w:val="0"/>
                <w:sz w:val="16"/>
              </w:rPr>
              <w:t>Indicadores sugeridos</w:t>
            </w:r>
          </w:p>
        </w:tc>
        <w:tc>
          <w:tcPr>
            <w:tcW w:type="dxa" w:w="6690"/>
            <w:vAlign w:val="center"/>
          </w:tcPr>
          <w:p>
            <w:pPr>
              <w:jc w:val="left"/>
            </w:pPr>
            <w:r/>
            <w:r>
              <w:rPr>
                <w:b w:val="0"/>
                <w:sz w:val="16"/>
              </w:rPr>
              <w:t>Registro pós-ROSC completo; controle de temperatura; gasometria/ventilação adequada; investigação de causa reversível; plano neurológico documentado.</w:t>
            </w:r>
          </w:p>
        </w:tc>
      </w:tr>
    </w:tbl>
    <w:p>
      <w:pPr>
        <w:pStyle w:val="Heading1"/>
      </w:pPr>
      <w:r>
        <w:t>11. Validação por especialistas e critérios de consenso</w:t>
      </w:r>
    </w:p>
    <w:p>
      <w:r>
        <w:t>A validação é o elemento que mais fortalece o projeto como TCC publicável. O modelo sugerido é Delphi modificado, em duas rodadas, com participação de especialistas convidados. Cada recomendação do protocolo deve ser avaliada quanto à clareza, relevância, aplicabilidade e concordância científica.</w:t>
      </w:r>
    </w:p>
    <w:p>
      <w:pPr>
        <w:pStyle w:val="Heading2"/>
      </w:pPr>
      <w:r>
        <w:t>11.1. Perfil dos avaliadores</w:t>
      </w:r>
    </w:p>
    <w:p>
      <w:pPr>
        <w:pStyle w:val="ListBullet"/>
      </w:pPr>
      <w:r>
        <w:rPr>
          <w:sz w:val="21"/>
        </w:rPr>
        <w:t>5 a 15 médicos intensivistas.</w:t>
      </w:r>
    </w:p>
    <w:p>
      <w:pPr>
        <w:pStyle w:val="ListBullet"/>
      </w:pPr>
      <w:r>
        <w:rPr>
          <w:sz w:val="21"/>
        </w:rPr>
        <w:t>Enfermeiro intensivista.</w:t>
      </w:r>
    </w:p>
    <w:p>
      <w:pPr>
        <w:pStyle w:val="ListBullet"/>
      </w:pPr>
      <w:r>
        <w:rPr>
          <w:sz w:val="21"/>
        </w:rPr>
        <w:t>Fisioterapeuta respiratório.</w:t>
      </w:r>
    </w:p>
    <w:p>
      <w:pPr>
        <w:pStyle w:val="ListBullet"/>
      </w:pPr>
      <w:r>
        <w:rPr>
          <w:sz w:val="21"/>
        </w:rPr>
        <w:t>Farmacêutico clínico.</w:t>
      </w:r>
    </w:p>
    <w:p>
      <w:pPr>
        <w:pStyle w:val="ListBullet"/>
      </w:pPr>
      <w:r>
        <w:rPr>
          <w:sz w:val="21"/>
        </w:rPr>
        <w:t>Nutricionista clínica.</w:t>
      </w:r>
    </w:p>
    <w:p>
      <w:pPr>
        <w:pStyle w:val="ListBullet"/>
      </w:pPr>
      <w:r>
        <w:rPr>
          <w:sz w:val="21"/>
        </w:rPr>
        <w:t>Especialistas convidados por capítulo: infectologista, nefrologista, neurologista, hematologista, cirurgião/trauma, cardiologista etc.</w:t>
      </w:r>
    </w:p>
    <w:p>
      <w:pPr>
        <w:pStyle w:val="Heading2"/>
      </w:pPr>
      <w:r>
        <w:t>11.2. Escala de julgamento</w:t>
      </w:r>
    </w:p>
    <w:tbl>
      <w:tblPr>
        <w:tblStyle w:val="TableGrid"/>
        <w:tblW w:type="auto" w:w="0"/>
        <w:jc w:val="center"/>
        <w:tblLook w:firstColumn="1" w:firstRow="1" w:lastColumn="0" w:lastRow="0" w:noHBand="0" w:noVBand="1" w:val="04A0"/>
      </w:tblPr>
      <w:tblGrid>
        <w:gridCol w:w="5100"/>
        <w:gridCol w:w="5100"/>
      </w:tblGrid>
      <w:tr>
        <w:tc>
          <w:tcPr>
            <w:tcW w:type="dxa" w:w="1701"/>
            <w:vAlign w:val="center"/>
            <w:shd w:fill="1F4E79"/>
          </w:tcPr>
          <w:p>
            <w:pPr>
              <w:jc w:val="left"/>
            </w:pPr>
            <w:r/>
            <w:r>
              <w:rPr>
                <w:b/>
                <w:color w:val="FFFFFF"/>
                <w:sz w:val="17"/>
              </w:rPr>
              <w:t>Nota</w:t>
            </w:r>
          </w:p>
        </w:tc>
        <w:tc>
          <w:tcPr>
            <w:tcW w:type="dxa" w:w="7370"/>
            <w:vAlign w:val="center"/>
            <w:shd w:fill="1F4E79"/>
          </w:tcPr>
          <w:p>
            <w:pPr>
              <w:jc w:val="left"/>
            </w:pPr>
            <w:r/>
            <w:r>
              <w:rPr>
                <w:b/>
                <w:color w:val="FFFFFF"/>
                <w:sz w:val="17"/>
              </w:rPr>
              <w:t>Interpretação</w:t>
            </w:r>
          </w:p>
        </w:tc>
      </w:tr>
      <w:tr>
        <w:tc>
          <w:tcPr>
            <w:tcW w:type="dxa" w:w="1701"/>
            <w:vAlign w:val="center"/>
            <w:shd w:fill="D9EAF7"/>
          </w:tcPr>
          <w:p>
            <w:pPr>
              <w:jc w:val="left"/>
            </w:pPr>
            <w:r/>
            <w:r>
              <w:rPr>
                <w:b w:val="0"/>
                <w:sz w:val="17"/>
              </w:rPr>
              <w:t>1</w:t>
            </w:r>
          </w:p>
        </w:tc>
        <w:tc>
          <w:tcPr>
            <w:tcW w:type="dxa" w:w="7370"/>
            <w:vAlign w:val="center"/>
          </w:tcPr>
          <w:p>
            <w:pPr>
              <w:jc w:val="left"/>
            </w:pPr>
            <w:r/>
            <w:r>
              <w:rPr>
                <w:b w:val="0"/>
                <w:sz w:val="17"/>
              </w:rPr>
              <w:t>Discordo totalmente.</w:t>
            </w:r>
          </w:p>
        </w:tc>
      </w:tr>
      <w:tr>
        <w:tc>
          <w:tcPr>
            <w:tcW w:type="dxa" w:w="1701"/>
            <w:vAlign w:val="center"/>
            <w:shd w:fill="D9EAF7"/>
          </w:tcPr>
          <w:p>
            <w:pPr>
              <w:jc w:val="left"/>
            </w:pPr>
            <w:r/>
            <w:r>
              <w:rPr>
                <w:b w:val="0"/>
                <w:sz w:val="17"/>
              </w:rPr>
              <w:t>2</w:t>
            </w:r>
          </w:p>
        </w:tc>
        <w:tc>
          <w:tcPr>
            <w:tcW w:type="dxa" w:w="7370"/>
            <w:vAlign w:val="center"/>
          </w:tcPr>
          <w:p>
            <w:pPr>
              <w:jc w:val="left"/>
            </w:pPr>
            <w:r/>
            <w:r>
              <w:rPr>
                <w:b w:val="0"/>
                <w:sz w:val="17"/>
              </w:rPr>
              <w:t>Discordo parcialmente.</w:t>
            </w:r>
          </w:p>
        </w:tc>
      </w:tr>
      <w:tr>
        <w:tc>
          <w:tcPr>
            <w:tcW w:type="dxa" w:w="1701"/>
            <w:vAlign w:val="center"/>
            <w:shd w:fill="D9EAF7"/>
          </w:tcPr>
          <w:p>
            <w:pPr>
              <w:jc w:val="left"/>
            </w:pPr>
            <w:r/>
            <w:r>
              <w:rPr>
                <w:b w:val="0"/>
                <w:sz w:val="17"/>
              </w:rPr>
              <w:t>3</w:t>
            </w:r>
          </w:p>
        </w:tc>
        <w:tc>
          <w:tcPr>
            <w:tcW w:type="dxa" w:w="7370"/>
            <w:vAlign w:val="center"/>
          </w:tcPr>
          <w:p>
            <w:pPr>
              <w:jc w:val="left"/>
            </w:pPr>
            <w:r/>
            <w:r>
              <w:rPr>
                <w:b w:val="0"/>
                <w:sz w:val="17"/>
              </w:rPr>
              <w:t>Neutro ou indeciso.</w:t>
            </w:r>
          </w:p>
        </w:tc>
      </w:tr>
      <w:tr>
        <w:tc>
          <w:tcPr>
            <w:tcW w:type="dxa" w:w="1701"/>
            <w:vAlign w:val="center"/>
            <w:shd w:fill="D9EAF7"/>
          </w:tcPr>
          <w:p>
            <w:pPr>
              <w:jc w:val="left"/>
            </w:pPr>
            <w:r/>
            <w:r>
              <w:rPr>
                <w:b w:val="0"/>
                <w:sz w:val="17"/>
              </w:rPr>
              <w:t>4</w:t>
            </w:r>
          </w:p>
        </w:tc>
        <w:tc>
          <w:tcPr>
            <w:tcW w:type="dxa" w:w="7370"/>
            <w:vAlign w:val="center"/>
          </w:tcPr>
          <w:p>
            <w:pPr>
              <w:jc w:val="left"/>
            </w:pPr>
            <w:r/>
            <w:r>
              <w:rPr>
                <w:b w:val="0"/>
                <w:sz w:val="17"/>
              </w:rPr>
              <w:t>Concordo.</w:t>
            </w:r>
          </w:p>
        </w:tc>
      </w:tr>
      <w:tr>
        <w:tc>
          <w:tcPr>
            <w:tcW w:type="dxa" w:w="1701"/>
            <w:vAlign w:val="center"/>
            <w:shd w:fill="D9EAF7"/>
          </w:tcPr>
          <w:p>
            <w:pPr>
              <w:jc w:val="left"/>
            </w:pPr>
            <w:r/>
            <w:r>
              <w:rPr>
                <w:b w:val="0"/>
                <w:sz w:val="17"/>
              </w:rPr>
              <w:t>5</w:t>
            </w:r>
          </w:p>
        </w:tc>
        <w:tc>
          <w:tcPr>
            <w:tcW w:type="dxa" w:w="7370"/>
            <w:vAlign w:val="center"/>
          </w:tcPr>
          <w:p>
            <w:pPr>
              <w:jc w:val="left"/>
            </w:pPr>
            <w:r/>
            <w:r>
              <w:rPr>
                <w:b w:val="0"/>
                <w:sz w:val="17"/>
              </w:rPr>
              <w:t>Concordo totalmente.</w:t>
            </w:r>
          </w:p>
        </w:tc>
      </w:tr>
    </w:tbl>
    <w:p>
      <w:pPr>
        <w:pStyle w:val="Heading2"/>
      </w:pPr>
      <w:r>
        <w:t>11.3. Critério de consenso</w:t>
      </w:r>
    </w:p>
    <w:p>
      <w:r>
        <w:t>Sugestão: considerar uma recomendação aprovada quando pelo menos 80% dos avaliadores atribuírem nota 4 ou 5. Recomendações abaixo desse limiar devem ser revisadas e reenviadas para nova rodada.</w:t>
      </w:r>
    </w:p>
    <w:p>
      <w:pPr>
        <w:pStyle w:val="Heading2"/>
      </w:pPr>
      <w:r>
        <w:t>11.4. Produtos da validação</w:t>
      </w:r>
    </w:p>
    <w:p>
      <w:pPr>
        <w:pStyle w:val="ListBullet"/>
      </w:pPr>
      <w:r>
        <w:rPr>
          <w:sz w:val="21"/>
        </w:rPr>
        <w:t>Tabela com pontuação média por recomendação.</w:t>
      </w:r>
    </w:p>
    <w:p>
      <w:pPr>
        <w:pStyle w:val="ListBullet"/>
      </w:pPr>
      <w:r>
        <w:rPr>
          <w:sz w:val="21"/>
        </w:rPr>
        <w:t>Percentual de concordância.</w:t>
      </w:r>
    </w:p>
    <w:p>
      <w:pPr>
        <w:pStyle w:val="ListBullet"/>
      </w:pPr>
      <w:r>
        <w:rPr>
          <w:sz w:val="21"/>
        </w:rPr>
        <w:t>Comentários qualitativos dos especialistas.</w:t>
      </w:r>
    </w:p>
    <w:p>
      <w:pPr>
        <w:pStyle w:val="ListBullet"/>
      </w:pPr>
      <w:r>
        <w:rPr>
          <w:sz w:val="21"/>
        </w:rPr>
        <w:t>Versão revisada após cada rodada.</w:t>
      </w:r>
    </w:p>
    <w:p>
      <w:pPr>
        <w:pStyle w:val="ListBullet"/>
      </w:pPr>
      <w:r>
        <w:rPr>
          <w:sz w:val="21"/>
        </w:rPr>
        <w:t>Registro de modificações realizadas.</w:t>
      </w:r>
    </w:p>
    <w:p>
      <w:pPr>
        <w:pStyle w:val="ListBullet"/>
      </w:pPr>
      <w:r>
        <w:rPr>
          <w:sz w:val="21"/>
        </w:rPr>
        <w:t>Apêndice com instrumento de avaliação.</w:t>
      </w:r>
    </w:p>
    <w:p>
      <w:pPr>
        <w:pStyle w:val="Heading1"/>
      </w:pPr>
      <w:r>
        <w:t>12. Autoria, contribuição individual e governança</w:t>
      </w:r>
    </w:p>
    <w:p>
      <w:r>
        <w:t>Em TCC coletivo, a autoria precisa ser transparente. Cada residente deve ter responsabilidade definida por capítulo, seção, busca bibliográfica, matriz de evidências, fluxogramas, validação ou redação final. Recomenda-se usar uma matriz CRediT adaptada.</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pPr>
              <w:jc w:val="left"/>
            </w:pPr>
            <w:r/>
            <w:r>
              <w:rPr>
                <w:b/>
                <w:color w:val="FFFFFF"/>
                <w:sz w:val="16"/>
              </w:rPr>
              <w:t>Papel</w:t>
            </w:r>
          </w:p>
        </w:tc>
        <w:tc>
          <w:tcPr>
            <w:tcW w:type="dxa" w:w="6236"/>
            <w:vAlign w:val="center"/>
            <w:shd w:fill="1F4E79"/>
          </w:tcPr>
          <w:p>
            <w:pPr>
              <w:jc w:val="left"/>
            </w:pPr>
            <w:r/>
            <w:r>
              <w:rPr>
                <w:b/>
                <w:color w:val="FFFFFF"/>
                <w:sz w:val="16"/>
              </w:rPr>
              <w:t>Responsabilidade</w:t>
            </w:r>
          </w:p>
        </w:tc>
      </w:tr>
      <w:tr>
        <w:tc>
          <w:tcPr>
            <w:tcW w:type="dxa" w:w="2835"/>
            <w:vAlign w:val="center"/>
            <w:shd w:fill="D9EAF7"/>
          </w:tcPr>
          <w:p>
            <w:pPr>
              <w:jc w:val="left"/>
            </w:pPr>
            <w:r/>
            <w:r>
              <w:rPr>
                <w:b w:val="0"/>
                <w:sz w:val="16"/>
              </w:rPr>
              <w:t>Orientador principal</w:t>
            </w:r>
          </w:p>
        </w:tc>
        <w:tc>
          <w:tcPr>
            <w:tcW w:type="dxa" w:w="6236"/>
            <w:vAlign w:val="center"/>
          </w:tcPr>
          <w:p>
            <w:pPr>
              <w:jc w:val="left"/>
            </w:pPr>
            <w:r/>
            <w:r>
              <w:rPr>
                <w:b w:val="0"/>
                <w:sz w:val="16"/>
              </w:rPr>
              <w:t>Supervisão científica, clínica e institucional.</w:t>
            </w:r>
          </w:p>
        </w:tc>
      </w:tr>
      <w:tr>
        <w:tc>
          <w:tcPr>
            <w:tcW w:type="dxa" w:w="2835"/>
            <w:vAlign w:val="center"/>
            <w:shd w:fill="D9EAF7"/>
          </w:tcPr>
          <w:p>
            <w:pPr>
              <w:jc w:val="left"/>
            </w:pPr>
            <w:r/>
            <w:r>
              <w:rPr>
                <w:b w:val="0"/>
                <w:sz w:val="16"/>
              </w:rPr>
              <w:t>Coorientador metodológico</w:t>
            </w:r>
          </w:p>
        </w:tc>
        <w:tc>
          <w:tcPr>
            <w:tcW w:type="dxa" w:w="6236"/>
            <w:vAlign w:val="center"/>
          </w:tcPr>
          <w:p>
            <w:pPr>
              <w:jc w:val="left"/>
            </w:pPr>
            <w:r/>
            <w:r>
              <w:rPr>
                <w:b w:val="0"/>
                <w:sz w:val="16"/>
              </w:rPr>
              <w:t>Apoio em desenho do estudo, busca, validação e análise.</w:t>
            </w:r>
          </w:p>
        </w:tc>
      </w:tr>
      <w:tr>
        <w:tc>
          <w:tcPr>
            <w:tcW w:type="dxa" w:w="2835"/>
            <w:vAlign w:val="center"/>
            <w:shd w:fill="D9EAF7"/>
          </w:tcPr>
          <w:p>
            <w:pPr>
              <w:jc w:val="left"/>
            </w:pPr>
            <w:r/>
            <w:r>
              <w:rPr>
                <w:b w:val="0"/>
                <w:sz w:val="16"/>
              </w:rPr>
              <w:t>Coordenador residente</w:t>
            </w:r>
          </w:p>
        </w:tc>
        <w:tc>
          <w:tcPr>
            <w:tcW w:type="dxa" w:w="6236"/>
            <w:vAlign w:val="center"/>
          </w:tcPr>
          <w:p>
            <w:pPr>
              <w:jc w:val="left"/>
            </w:pPr>
            <w:r/>
            <w:r>
              <w:rPr>
                <w:b w:val="0"/>
                <w:sz w:val="16"/>
              </w:rPr>
              <w:t>Cronograma, reuniões, controle de versões e integração dos capítulos.</w:t>
            </w:r>
          </w:p>
        </w:tc>
      </w:tr>
      <w:tr>
        <w:tc>
          <w:tcPr>
            <w:tcW w:type="dxa" w:w="2835"/>
            <w:vAlign w:val="center"/>
            <w:shd w:fill="D9EAF7"/>
          </w:tcPr>
          <w:p>
            <w:pPr>
              <w:jc w:val="left"/>
            </w:pPr>
            <w:r/>
            <w:r>
              <w:rPr>
                <w:b w:val="0"/>
                <w:sz w:val="16"/>
              </w:rPr>
              <w:t>Autor de capítulo</w:t>
            </w:r>
          </w:p>
        </w:tc>
        <w:tc>
          <w:tcPr>
            <w:tcW w:type="dxa" w:w="6236"/>
            <w:vAlign w:val="center"/>
          </w:tcPr>
          <w:p>
            <w:pPr>
              <w:jc w:val="left"/>
            </w:pPr>
            <w:r/>
            <w:r>
              <w:rPr>
                <w:b w:val="0"/>
                <w:sz w:val="16"/>
              </w:rPr>
              <w:t>Busca bibliográfica, síntese, redação e resposta aos revisores.</w:t>
            </w:r>
          </w:p>
        </w:tc>
      </w:tr>
      <w:tr>
        <w:tc>
          <w:tcPr>
            <w:tcW w:type="dxa" w:w="2835"/>
            <w:vAlign w:val="center"/>
            <w:shd w:fill="D9EAF7"/>
          </w:tcPr>
          <w:p>
            <w:pPr>
              <w:jc w:val="left"/>
            </w:pPr>
            <w:r/>
            <w:r>
              <w:rPr>
                <w:b w:val="0"/>
                <w:sz w:val="16"/>
              </w:rPr>
              <w:t>Revisor clínico</w:t>
            </w:r>
          </w:p>
        </w:tc>
        <w:tc>
          <w:tcPr>
            <w:tcW w:type="dxa" w:w="6236"/>
            <w:vAlign w:val="center"/>
          </w:tcPr>
          <w:p>
            <w:pPr>
              <w:jc w:val="left"/>
            </w:pPr>
            <w:r/>
            <w:r>
              <w:rPr>
                <w:b w:val="0"/>
                <w:sz w:val="16"/>
              </w:rPr>
              <w:t>Avaliação de acurácia, aplicabilidade e segurança.</w:t>
            </w:r>
          </w:p>
        </w:tc>
      </w:tr>
      <w:tr>
        <w:tc>
          <w:tcPr>
            <w:tcW w:type="dxa" w:w="2835"/>
            <w:vAlign w:val="center"/>
            <w:shd w:fill="D9EAF7"/>
          </w:tcPr>
          <w:p>
            <w:pPr>
              <w:jc w:val="left"/>
            </w:pPr>
            <w:r/>
            <w:r>
              <w:rPr>
                <w:b w:val="0"/>
                <w:sz w:val="16"/>
              </w:rPr>
              <w:t>Revisor multiprofissional</w:t>
            </w:r>
          </w:p>
        </w:tc>
        <w:tc>
          <w:tcPr>
            <w:tcW w:type="dxa" w:w="6236"/>
            <w:vAlign w:val="center"/>
          </w:tcPr>
          <w:p>
            <w:pPr>
              <w:jc w:val="left"/>
            </w:pPr>
            <w:r/>
            <w:r>
              <w:rPr>
                <w:b w:val="0"/>
                <w:sz w:val="16"/>
              </w:rPr>
              <w:t>Adequação dos fluxos à prática da equipe.</w:t>
            </w:r>
          </w:p>
        </w:tc>
      </w:tr>
      <w:tr>
        <w:tc>
          <w:tcPr>
            <w:tcW w:type="dxa" w:w="2835"/>
            <w:vAlign w:val="center"/>
            <w:shd w:fill="D9EAF7"/>
          </w:tcPr>
          <w:p>
            <w:pPr>
              <w:jc w:val="left"/>
            </w:pPr>
            <w:r/>
            <w:r>
              <w:rPr>
                <w:b w:val="0"/>
                <w:sz w:val="16"/>
              </w:rPr>
              <w:t>Editor final</w:t>
            </w:r>
          </w:p>
        </w:tc>
        <w:tc>
          <w:tcPr>
            <w:tcW w:type="dxa" w:w="6236"/>
            <w:vAlign w:val="center"/>
          </w:tcPr>
          <w:p>
            <w:pPr>
              <w:jc w:val="left"/>
            </w:pPr>
            <w:r/>
            <w:r>
              <w:rPr>
                <w:b w:val="0"/>
                <w:sz w:val="16"/>
              </w:rPr>
              <w:t>Padronização de linguagem, tabelas, referências e diagramação.</w:t>
            </w:r>
          </w:p>
        </w:tc>
      </w:tr>
    </w:tbl>
    <w:p>
      <w:pPr>
        <w:pStyle w:val="Heading2"/>
      </w:pPr>
      <w:r>
        <w:t>12.1. Regras de autoria sugeridas</w:t>
      </w:r>
    </w:p>
    <w:p>
      <w:pPr>
        <w:pStyle w:val="ListBullet"/>
      </w:pPr>
      <w:r>
        <w:rPr>
          <w:sz w:val="21"/>
        </w:rPr>
        <w:t>Todos os autores devem ter contribuição substancial documentada.</w:t>
      </w:r>
    </w:p>
    <w:p>
      <w:pPr>
        <w:pStyle w:val="ListBullet"/>
      </w:pPr>
      <w:r>
        <w:rPr>
          <w:sz w:val="21"/>
        </w:rPr>
        <w:t>Cada residente deve apresentar individualmente seu capítulo ou parte do método na defesa.</w:t>
      </w:r>
    </w:p>
    <w:p>
      <w:pPr>
        <w:pStyle w:val="ListBullet"/>
      </w:pPr>
      <w:r>
        <w:rPr>
          <w:sz w:val="21"/>
        </w:rPr>
        <w:t>A ordem de autoria deve ser combinada previamente e aprovada pelo grupo/orientador.</w:t>
      </w:r>
    </w:p>
    <w:p>
      <w:pPr>
        <w:pStyle w:val="ListBullet"/>
      </w:pPr>
      <w:r>
        <w:rPr>
          <w:sz w:val="21"/>
        </w:rPr>
        <w:t>O orientador deve revisar conflitos de interesse e permissões de uso de figuras/tabelas.</w:t>
      </w:r>
    </w:p>
    <w:p>
      <w:pPr>
        <w:pStyle w:val="ListBullet"/>
      </w:pPr>
      <w:r>
        <w:rPr>
          <w:sz w:val="21"/>
        </w:rPr>
        <w:t>Materiais protegidos por copyright não devem ser reproduzidos sem autorização.</w:t>
      </w:r>
    </w:p>
    <w:p>
      <w:pPr>
        <w:pStyle w:val="Heading1"/>
      </w:pPr>
      <w:r>
        <w:t>13. Cronograma de 12 meses</w:t>
      </w:r>
    </w:p>
    <w:tbl>
      <w:tblPr>
        <w:tblStyle w:val="TableGrid"/>
        <w:tblW w:type="auto" w:w="0"/>
        <w:jc w:val="center"/>
        <w:tblLook w:firstColumn="1" w:firstRow="1" w:lastColumn="0" w:lastRow="0" w:noHBand="0" w:noVBand="1" w:val="04A0"/>
      </w:tblPr>
      <w:tblGrid>
        <w:gridCol w:w="3400"/>
        <w:gridCol w:w="3400"/>
        <w:gridCol w:w="3400"/>
      </w:tblGrid>
      <w:tr>
        <w:tc>
          <w:tcPr>
            <w:tcW w:type="dxa" w:w="964"/>
            <w:vAlign w:val="center"/>
            <w:shd w:fill="1F4E79"/>
          </w:tcPr>
          <w:p>
            <w:pPr>
              <w:jc w:val="left"/>
            </w:pPr>
            <w:r/>
            <w:r>
              <w:rPr>
                <w:b/>
                <w:color w:val="FFFFFF"/>
                <w:sz w:val="15"/>
              </w:rPr>
              <w:t>Mês</w:t>
            </w:r>
          </w:p>
        </w:tc>
        <w:tc>
          <w:tcPr>
            <w:tcW w:type="dxa" w:w="3969"/>
            <w:vAlign w:val="center"/>
            <w:shd w:fill="1F4E79"/>
          </w:tcPr>
          <w:p>
            <w:pPr>
              <w:jc w:val="left"/>
            </w:pPr>
            <w:r/>
            <w:r>
              <w:rPr>
                <w:b/>
                <w:color w:val="FFFFFF"/>
                <w:sz w:val="15"/>
              </w:rPr>
              <w:t>Atividade principal</w:t>
            </w:r>
          </w:p>
        </w:tc>
        <w:tc>
          <w:tcPr>
            <w:tcW w:type="dxa" w:w="4139"/>
            <w:vAlign w:val="center"/>
            <w:shd w:fill="1F4E79"/>
          </w:tcPr>
          <w:p>
            <w:pPr>
              <w:jc w:val="left"/>
            </w:pPr>
            <w:r/>
            <w:r>
              <w:rPr>
                <w:b/>
                <w:color w:val="FFFFFF"/>
                <w:sz w:val="15"/>
              </w:rPr>
              <w:t>Entrega</w:t>
            </w:r>
          </w:p>
        </w:tc>
      </w:tr>
      <w:tr>
        <w:tc>
          <w:tcPr>
            <w:tcW w:type="dxa" w:w="964"/>
            <w:vAlign w:val="center"/>
            <w:shd w:fill="D9EAF7"/>
          </w:tcPr>
          <w:p>
            <w:pPr>
              <w:jc w:val="left"/>
            </w:pPr>
            <w:r/>
            <w:r>
              <w:rPr>
                <w:b w:val="0"/>
                <w:sz w:val="15"/>
              </w:rPr>
              <w:t>1</w:t>
            </w:r>
          </w:p>
        </w:tc>
        <w:tc>
          <w:tcPr>
            <w:tcW w:type="dxa" w:w="3969"/>
            <w:vAlign w:val="center"/>
          </w:tcPr>
          <w:p>
            <w:pPr>
              <w:jc w:val="left"/>
            </w:pPr>
            <w:r/>
            <w:r>
              <w:rPr>
                <w:b w:val="0"/>
                <w:sz w:val="15"/>
              </w:rPr>
              <w:t>Submissão e aprovação pela COREME; definição do orientador.</w:t>
            </w:r>
          </w:p>
        </w:tc>
        <w:tc>
          <w:tcPr>
            <w:tcW w:type="dxa" w:w="4139"/>
            <w:vAlign w:val="center"/>
          </w:tcPr>
          <w:p>
            <w:pPr>
              <w:jc w:val="left"/>
            </w:pPr>
            <w:r/>
            <w:r>
              <w:rPr>
                <w:b w:val="0"/>
                <w:sz w:val="15"/>
              </w:rPr>
              <w:t>Projeto autorizado e equipe definida.</w:t>
            </w:r>
          </w:p>
        </w:tc>
      </w:tr>
      <w:tr>
        <w:tc>
          <w:tcPr>
            <w:tcW w:type="dxa" w:w="964"/>
            <w:vAlign w:val="center"/>
            <w:shd w:fill="D9EAF7"/>
          </w:tcPr>
          <w:p>
            <w:pPr>
              <w:jc w:val="left"/>
            </w:pPr>
            <w:r/>
            <w:r>
              <w:rPr>
                <w:b w:val="0"/>
                <w:sz w:val="15"/>
              </w:rPr>
              <w:t>2</w:t>
            </w:r>
          </w:p>
        </w:tc>
        <w:tc>
          <w:tcPr>
            <w:tcW w:type="dxa" w:w="3969"/>
            <w:vAlign w:val="center"/>
          </w:tcPr>
          <w:p>
            <w:pPr>
              <w:jc w:val="left"/>
            </w:pPr>
            <w:r/>
            <w:r>
              <w:rPr>
                <w:b w:val="0"/>
                <w:sz w:val="15"/>
              </w:rPr>
              <w:t>Escolha dos temas e distribuição dos capítulos.</w:t>
            </w:r>
          </w:p>
        </w:tc>
        <w:tc>
          <w:tcPr>
            <w:tcW w:type="dxa" w:w="4139"/>
            <w:vAlign w:val="center"/>
          </w:tcPr>
          <w:p>
            <w:pPr>
              <w:jc w:val="left"/>
            </w:pPr>
            <w:r/>
            <w:r>
              <w:rPr>
                <w:b w:val="0"/>
                <w:sz w:val="15"/>
              </w:rPr>
              <w:t>Matriz de responsabilidades.</w:t>
            </w:r>
          </w:p>
        </w:tc>
      </w:tr>
      <w:tr>
        <w:tc>
          <w:tcPr>
            <w:tcW w:type="dxa" w:w="964"/>
            <w:vAlign w:val="center"/>
            <w:shd w:fill="D9EAF7"/>
          </w:tcPr>
          <w:p>
            <w:pPr>
              <w:jc w:val="left"/>
            </w:pPr>
            <w:r/>
            <w:r>
              <w:rPr>
                <w:b w:val="0"/>
                <w:sz w:val="15"/>
              </w:rPr>
              <w:t>3</w:t>
            </w:r>
          </w:p>
        </w:tc>
        <w:tc>
          <w:tcPr>
            <w:tcW w:type="dxa" w:w="3969"/>
            <w:vAlign w:val="center"/>
          </w:tcPr>
          <w:p>
            <w:pPr>
              <w:jc w:val="left"/>
            </w:pPr>
            <w:r/>
            <w:r>
              <w:rPr>
                <w:b w:val="0"/>
                <w:sz w:val="15"/>
              </w:rPr>
              <w:t>Perguntas PICO e estratégia de busca.</w:t>
            </w:r>
          </w:p>
        </w:tc>
        <w:tc>
          <w:tcPr>
            <w:tcW w:type="dxa" w:w="4139"/>
            <w:vAlign w:val="center"/>
          </w:tcPr>
          <w:p>
            <w:pPr>
              <w:jc w:val="left"/>
            </w:pPr>
            <w:r/>
            <w:r>
              <w:rPr>
                <w:b w:val="0"/>
                <w:sz w:val="15"/>
              </w:rPr>
              <w:t>Plano de busca por capítulo.</w:t>
            </w:r>
          </w:p>
        </w:tc>
      </w:tr>
      <w:tr>
        <w:tc>
          <w:tcPr>
            <w:tcW w:type="dxa" w:w="964"/>
            <w:vAlign w:val="center"/>
            <w:shd w:fill="D9EAF7"/>
          </w:tcPr>
          <w:p>
            <w:pPr>
              <w:jc w:val="left"/>
            </w:pPr>
            <w:r/>
            <w:r>
              <w:rPr>
                <w:b w:val="0"/>
                <w:sz w:val="15"/>
              </w:rPr>
              <w:t>4</w:t>
            </w:r>
          </w:p>
        </w:tc>
        <w:tc>
          <w:tcPr>
            <w:tcW w:type="dxa" w:w="3969"/>
            <w:vAlign w:val="center"/>
          </w:tcPr>
          <w:p>
            <w:pPr>
              <w:jc w:val="left"/>
            </w:pPr>
            <w:r/>
            <w:r>
              <w:rPr>
                <w:b w:val="0"/>
                <w:sz w:val="15"/>
              </w:rPr>
              <w:t>Revisão bibliográfica e seleção das evidências.</w:t>
            </w:r>
          </w:p>
        </w:tc>
        <w:tc>
          <w:tcPr>
            <w:tcW w:type="dxa" w:w="4139"/>
            <w:vAlign w:val="center"/>
          </w:tcPr>
          <w:p>
            <w:pPr>
              <w:jc w:val="left"/>
            </w:pPr>
            <w:r/>
            <w:r>
              <w:rPr>
                <w:b w:val="0"/>
                <w:sz w:val="15"/>
              </w:rPr>
              <w:t>Tabela de evidências preliminar.</w:t>
            </w:r>
          </w:p>
        </w:tc>
      </w:tr>
      <w:tr>
        <w:tc>
          <w:tcPr>
            <w:tcW w:type="dxa" w:w="964"/>
            <w:vAlign w:val="center"/>
            <w:shd w:fill="D9EAF7"/>
          </w:tcPr>
          <w:p>
            <w:pPr>
              <w:jc w:val="left"/>
            </w:pPr>
            <w:r/>
            <w:r>
              <w:rPr>
                <w:b w:val="0"/>
                <w:sz w:val="15"/>
              </w:rPr>
              <w:t>5</w:t>
            </w:r>
          </w:p>
        </w:tc>
        <w:tc>
          <w:tcPr>
            <w:tcW w:type="dxa" w:w="3969"/>
            <w:vAlign w:val="center"/>
          </w:tcPr>
          <w:p>
            <w:pPr>
              <w:jc w:val="left"/>
            </w:pPr>
            <w:r/>
            <w:r>
              <w:rPr>
                <w:b w:val="0"/>
                <w:sz w:val="15"/>
              </w:rPr>
              <w:t>Redação inicial dos protocolos.</w:t>
            </w:r>
          </w:p>
        </w:tc>
        <w:tc>
          <w:tcPr>
            <w:tcW w:type="dxa" w:w="4139"/>
            <w:vAlign w:val="center"/>
          </w:tcPr>
          <w:p>
            <w:pPr>
              <w:jc w:val="left"/>
            </w:pPr>
            <w:r/>
            <w:r>
              <w:rPr>
                <w:b w:val="0"/>
                <w:sz w:val="15"/>
              </w:rPr>
              <w:t>Versão 1 dos capítulos.</w:t>
            </w:r>
          </w:p>
        </w:tc>
      </w:tr>
      <w:tr>
        <w:tc>
          <w:tcPr>
            <w:tcW w:type="dxa" w:w="964"/>
            <w:vAlign w:val="center"/>
            <w:shd w:fill="D9EAF7"/>
          </w:tcPr>
          <w:p>
            <w:pPr>
              <w:jc w:val="left"/>
            </w:pPr>
            <w:r/>
            <w:r>
              <w:rPr>
                <w:b w:val="0"/>
                <w:sz w:val="15"/>
              </w:rPr>
              <w:t>6</w:t>
            </w:r>
          </w:p>
        </w:tc>
        <w:tc>
          <w:tcPr>
            <w:tcW w:type="dxa" w:w="3969"/>
            <w:vAlign w:val="center"/>
          </w:tcPr>
          <w:p>
            <w:pPr>
              <w:jc w:val="left"/>
            </w:pPr>
            <w:r/>
            <w:r>
              <w:rPr>
                <w:b w:val="0"/>
                <w:sz w:val="15"/>
              </w:rPr>
              <w:t>Revisão interna e adaptação local.</w:t>
            </w:r>
          </w:p>
        </w:tc>
        <w:tc>
          <w:tcPr>
            <w:tcW w:type="dxa" w:w="4139"/>
            <w:vAlign w:val="center"/>
          </w:tcPr>
          <w:p>
            <w:pPr>
              <w:jc w:val="left"/>
            </w:pPr>
            <w:r/>
            <w:r>
              <w:rPr>
                <w:b w:val="0"/>
                <w:sz w:val="15"/>
              </w:rPr>
              <w:t>Versão 2 com fluxos institucionais.</w:t>
            </w:r>
          </w:p>
        </w:tc>
      </w:tr>
      <w:tr>
        <w:tc>
          <w:tcPr>
            <w:tcW w:type="dxa" w:w="964"/>
            <w:vAlign w:val="center"/>
            <w:shd w:fill="D9EAF7"/>
          </w:tcPr>
          <w:p>
            <w:pPr>
              <w:jc w:val="left"/>
            </w:pPr>
            <w:r/>
            <w:r>
              <w:rPr>
                <w:b w:val="0"/>
                <w:sz w:val="15"/>
              </w:rPr>
              <w:t>7</w:t>
            </w:r>
          </w:p>
        </w:tc>
        <w:tc>
          <w:tcPr>
            <w:tcW w:type="dxa" w:w="3969"/>
            <w:vAlign w:val="center"/>
          </w:tcPr>
          <w:p>
            <w:pPr>
              <w:jc w:val="left"/>
            </w:pPr>
            <w:r/>
            <w:r>
              <w:rPr>
                <w:b w:val="0"/>
                <w:sz w:val="15"/>
              </w:rPr>
              <w:t>Padronização editorial e preparação do instrumento Delphi.</w:t>
            </w:r>
          </w:p>
        </w:tc>
        <w:tc>
          <w:tcPr>
            <w:tcW w:type="dxa" w:w="4139"/>
            <w:vAlign w:val="center"/>
          </w:tcPr>
          <w:p>
            <w:pPr>
              <w:jc w:val="left"/>
            </w:pPr>
            <w:r/>
            <w:r>
              <w:rPr>
                <w:b w:val="0"/>
                <w:sz w:val="15"/>
              </w:rPr>
              <w:t>Livro preliminar e formulário de validação.</w:t>
            </w:r>
          </w:p>
        </w:tc>
      </w:tr>
      <w:tr>
        <w:tc>
          <w:tcPr>
            <w:tcW w:type="dxa" w:w="964"/>
            <w:vAlign w:val="center"/>
            <w:shd w:fill="D9EAF7"/>
          </w:tcPr>
          <w:p>
            <w:pPr>
              <w:jc w:val="left"/>
            </w:pPr>
            <w:r/>
            <w:r>
              <w:rPr>
                <w:b w:val="0"/>
                <w:sz w:val="15"/>
              </w:rPr>
              <w:t>8</w:t>
            </w:r>
          </w:p>
        </w:tc>
        <w:tc>
          <w:tcPr>
            <w:tcW w:type="dxa" w:w="3969"/>
            <w:vAlign w:val="center"/>
          </w:tcPr>
          <w:p>
            <w:pPr>
              <w:jc w:val="left"/>
            </w:pPr>
            <w:r/>
            <w:r>
              <w:rPr>
                <w:b w:val="0"/>
                <w:sz w:val="15"/>
              </w:rPr>
              <w:t>Delphi/painel de especialistas - rodada 1.</w:t>
            </w:r>
          </w:p>
        </w:tc>
        <w:tc>
          <w:tcPr>
            <w:tcW w:type="dxa" w:w="4139"/>
            <w:vAlign w:val="center"/>
          </w:tcPr>
          <w:p>
            <w:pPr>
              <w:jc w:val="left"/>
            </w:pPr>
            <w:r/>
            <w:r>
              <w:rPr>
                <w:b w:val="0"/>
                <w:sz w:val="15"/>
              </w:rPr>
              <w:t>Relatório de concordância e comentários.</w:t>
            </w:r>
          </w:p>
        </w:tc>
      </w:tr>
      <w:tr>
        <w:tc>
          <w:tcPr>
            <w:tcW w:type="dxa" w:w="964"/>
            <w:vAlign w:val="center"/>
            <w:shd w:fill="D9EAF7"/>
          </w:tcPr>
          <w:p>
            <w:pPr>
              <w:jc w:val="left"/>
            </w:pPr>
            <w:r/>
            <w:r>
              <w:rPr>
                <w:b w:val="0"/>
                <w:sz w:val="15"/>
              </w:rPr>
              <w:t>9</w:t>
            </w:r>
          </w:p>
        </w:tc>
        <w:tc>
          <w:tcPr>
            <w:tcW w:type="dxa" w:w="3969"/>
            <w:vAlign w:val="center"/>
          </w:tcPr>
          <w:p>
            <w:pPr>
              <w:jc w:val="left"/>
            </w:pPr>
            <w:r/>
            <w:r>
              <w:rPr>
                <w:b w:val="0"/>
                <w:sz w:val="15"/>
              </w:rPr>
              <w:t>Revisões após rodada 1.</w:t>
            </w:r>
          </w:p>
        </w:tc>
        <w:tc>
          <w:tcPr>
            <w:tcW w:type="dxa" w:w="4139"/>
            <w:vAlign w:val="center"/>
          </w:tcPr>
          <w:p>
            <w:pPr>
              <w:jc w:val="left"/>
            </w:pPr>
            <w:r/>
            <w:r>
              <w:rPr>
                <w:b w:val="0"/>
                <w:sz w:val="15"/>
              </w:rPr>
              <w:t>Versão 3 dos protocolos.</w:t>
            </w:r>
          </w:p>
        </w:tc>
      </w:tr>
      <w:tr>
        <w:tc>
          <w:tcPr>
            <w:tcW w:type="dxa" w:w="964"/>
            <w:vAlign w:val="center"/>
            <w:shd w:fill="D9EAF7"/>
          </w:tcPr>
          <w:p>
            <w:pPr>
              <w:jc w:val="left"/>
            </w:pPr>
            <w:r/>
            <w:r>
              <w:rPr>
                <w:b w:val="0"/>
                <w:sz w:val="15"/>
              </w:rPr>
              <w:t>10</w:t>
            </w:r>
          </w:p>
        </w:tc>
        <w:tc>
          <w:tcPr>
            <w:tcW w:type="dxa" w:w="3969"/>
            <w:vAlign w:val="center"/>
          </w:tcPr>
          <w:p>
            <w:pPr>
              <w:jc w:val="left"/>
            </w:pPr>
            <w:r/>
            <w:r>
              <w:rPr>
                <w:b w:val="0"/>
                <w:sz w:val="15"/>
              </w:rPr>
              <w:t>Delphi/painel - rodada 2.</w:t>
            </w:r>
          </w:p>
        </w:tc>
        <w:tc>
          <w:tcPr>
            <w:tcW w:type="dxa" w:w="4139"/>
            <w:vAlign w:val="center"/>
          </w:tcPr>
          <w:p>
            <w:pPr>
              <w:jc w:val="left"/>
            </w:pPr>
            <w:r/>
            <w:r>
              <w:rPr>
                <w:b w:val="0"/>
                <w:sz w:val="15"/>
              </w:rPr>
              <w:t>Consenso final e recomendações aprovadas.</w:t>
            </w:r>
          </w:p>
        </w:tc>
      </w:tr>
      <w:tr>
        <w:tc>
          <w:tcPr>
            <w:tcW w:type="dxa" w:w="964"/>
            <w:vAlign w:val="center"/>
            <w:shd w:fill="D9EAF7"/>
          </w:tcPr>
          <w:p>
            <w:pPr>
              <w:jc w:val="left"/>
            </w:pPr>
            <w:r/>
            <w:r>
              <w:rPr>
                <w:b w:val="0"/>
                <w:sz w:val="15"/>
              </w:rPr>
              <w:t>11</w:t>
            </w:r>
          </w:p>
        </w:tc>
        <w:tc>
          <w:tcPr>
            <w:tcW w:type="dxa" w:w="3969"/>
            <w:vAlign w:val="center"/>
          </w:tcPr>
          <w:p>
            <w:pPr>
              <w:jc w:val="left"/>
            </w:pPr>
            <w:r/>
            <w:r>
              <w:rPr>
                <w:b w:val="0"/>
                <w:sz w:val="15"/>
              </w:rPr>
              <w:t>Diagramação, normalização de referências, ISBN e preparo da defesa.</w:t>
            </w:r>
          </w:p>
        </w:tc>
        <w:tc>
          <w:tcPr>
            <w:tcW w:type="dxa" w:w="4139"/>
            <w:vAlign w:val="center"/>
          </w:tcPr>
          <w:p>
            <w:pPr>
              <w:jc w:val="left"/>
            </w:pPr>
            <w:r/>
            <w:r>
              <w:rPr>
                <w:b w:val="0"/>
                <w:sz w:val="15"/>
              </w:rPr>
              <w:t>Livro final e TCC escrito.</w:t>
            </w:r>
          </w:p>
        </w:tc>
      </w:tr>
      <w:tr>
        <w:tc>
          <w:tcPr>
            <w:tcW w:type="dxa" w:w="964"/>
            <w:vAlign w:val="center"/>
            <w:shd w:fill="D9EAF7"/>
          </w:tcPr>
          <w:p>
            <w:pPr>
              <w:jc w:val="left"/>
            </w:pPr>
            <w:r/>
            <w:r>
              <w:rPr>
                <w:b w:val="0"/>
                <w:sz w:val="15"/>
              </w:rPr>
              <w:t>12</w:t>
            </w:r>
          </w:p>
        </w:tc>
        <w:tc>
          <w:tcPr>
            <w:tcW w:type="dxa" w:w="3969"/>
            <w:vAlign w:val="center"/>
          </w:tcPr>
          <w:p>
            <w:pPr>
              <w:jc w:val="left"/>
            </w:pPr>
            <w:r/>
            <w:r>
              <w:rPr>
                <w:b w:val="0"/>
                <w:sz w:val="15"/>
              </w:rPr>
              <w:t>Defesa, ajustes finais e submissão editorial/científica.</w:t>
            </w:r>
          </w:p>
        </w:tc>
        <w:tc>
          <w:tcPr>
            <w:tcW w:type="dxa" w:w="4139"/>
            <w:vAlign w:val="center"/>
          </w:tcPr>
          <w:p>
            <w:pPr>
              <w:jc w:val="left"/>
            </w:pPr>
            <w:r/>
            <w:r>
              <w:rPr>
                <w:b w:val="0"/>
                <w:sz w:val="15"/>
              </w:rPr>
              <w:t>TCC defendido, livro publicado/submetido e artigo derivado.</w:t>
            </w:r>
          </w:p>
        </w:tc>
      </w:tr>
    </w:tbl>
    <w:p>
      <w:pPr>
        <w:pStyle w:val="Heading1"/>
      </w:pPr>
      <w:r>
        <w:t>14. Plano de publicação e produtos derivados</w:t>
      </w:r>
    </w:p>
    <w:p>
      <w:pPr>
        <w:pStyle w:val="Heading2"/>
      </w:pPr>
      <w:r>
        <w:t>14.1. Livro técnico-científico</w:t>
      </w:r>
    </w:p>
    <w:p>
      <w:pPr>
        <w:pStyle w:val="ListBullet"/>
      </w:pPr>
      <w:r>
        <w:rPr>
          <w:sz w:val="21"/>
        </w:rPr>
        <w:t>Publicação com ISBN.</w:t>
      </w:r>
    </w:p>
    <w:p>
      <w:pPr>
        <w:pStyle w:val="ListBullet"/>
      </w:pPr>
      <w:r>
        <w:rPr>
          <w:sz w:val="21"/>
        </w:rPr>
        <w:t>Ficha catalográfica.</w:t>
      </w:r>
    </w:p>
    <w:p>
      <w:pPr>
        <w:pStyle w:val="ListBullet"/>
      </w:pPr>
      <w:r>
        <w:rPr>
          <w:sz w:val="21"/>
        </w:rPr>
        <w:t>Conselho editorial ou revisores externos.</w:t>
      </w:r>
    </w:p>
    <w:p>
      <w:pPr>
        <w:pStyle w:val="ListBullet"/>
      </w:pPr>
      <w:r>
        <w:rPr>
          <w:sz w:val="21"/>
        </w:rPr>
        <w:t>Prefácio do supervisor/coordenador da residência.</w:t>
      </w:r>
    </w:p>
    <w:p>
      <w:pPr>
        <w:pStyle w:val="ListBullet"/>
      </w:pPr>
      <w:r>
        <w:rPr>
          <w:sz w:val="21"/>
        </w:rPr>
        <w:t>Declaração de conflitos de interesse.</w:t>
      </w:r>
    </w:p>
    <w:p>
      <w:pPr>
        <w:pStyle w:val="ListBullet"/>
      </w:pPr>
      <w:r>
        <w:rPr>
          <w:sz w:val="21"/>
        </w:rPr>
        <w:t>Data de atualização por capítulo.</w:t>
      </w:r>
    </w:p>
    <w:p>
      <w:pPr>
        <w:pStyle w:val="ListBullet"/>
      </w:pPr>
      <w:r>
        <w:rPr>
          <w:sz w:val="21"/>
        </w:rPr>
        <w:t>QR codes para fluxogramas e materiais digitais, se permitido.</w:t>
      </w:r>
    </w:p>
    <w:p>
      <w:pPr>
        <w:pStyle w:val="ListBullet"/>
      </w:pPr>
      <w:r>
        <w:rPr>
          <w:sz w:val="21"/>
        </w:rPr>
        <w:t>Versão impressa e versão digital institucional.</w:t>
      </w:r>
    </w:p>
    <w:p>
      <w:pPr>
        <w:pStyle w:val="Heading2"/>
      </w:pPr>
      <w:r>
        <w:t>14.2. Artigo científico derivado</w:t>
      </w:r>
    </w:p>
    <w:p>
      <w:r>
        <w:t>O artigo mais publicável não precisa reproduzir os 10 protocolos completos. Ele pode focar no método de desenvolvimento e validação do compêndio, apresentando resultados do Delphi, grau de concordância, principais mudanças após revisão e potencial de implementação.</w:t>
      </w:r>
    </w:p>
    <w:tbl>
      <w:tblPr>
        <w:tblW w:type="auto" w:w="0"/>
        <w:jc w:val="center"/>
        <w:tblLayout w:type="autofit"/>
        <w:tblLook w:firstColumn="1" w:firstRow="1" w:lastColumn="0" w:lastRow="0" w:noHBand="0" w:noVBand="1" w:val="04A0"/>
      </w:tblPr>
      <w:tblGrid>
        <w:gridCol w:w="10200"/>
      </w:tblGrid>
      <w:tr>
        <w:tc>
          <w:tcPr>
            <w:tcW w:type="dxa" w:w="10200"/>
            <w:shd w:fill="EAF2F8"/>
          </w:tcPr>
          <w:p>
            <w:r>
              <w:rPr>
                <w:b/>
                <w:color w:val="1F4E79"/>
                <w:sz w:val="21"/>
              </w:rPr>
              <w:t>Título de artigo sugerido</w:t>
            </w:r>
          </w:p>
          <w:p>
            <w:r>
              <w:rPr>
                <w:sz w:val="20"/>
              </w:rPr>
              <w:t>Desenvolvimento e validação de um compêndio de protocolos assistenciais para UTI adulto em programa de residência médica: estudo metodológico.</w:t>
            </w:r>
          </w:p>
        </w:tc>
      </w:tr>
    </w:tbl>
    <w:p>
      <w:pPr>
        <w:pStyle w:val="Heading2"/>
      </w:pPr>
      <w:r>
        <w:t>14.3. Produtos educacionais adicionais</w:t>
      </w:r>
    </w:p>
    <w:p>
      <w:pPr>
        <w:pStyle w:val="ListBullet"/>
      </w:pPr>
      <w:r>
        <w:rPr>
          <w:sz w:val="21"/>
        </w:rPr>
        <w:t>Versão pocket de plantão com 10 fluxogramas.</w:t>
      </w:r>
    </w:p>
    <w:p>
      <w:pPr>
        <w:pStyle w:val="ListBullet"/>
      </w:pPr>
      <w:r>
        <w:rPr>
          <w:sz w:val="21"/>
        </w:rPr>
        <w:t>Cartões rápidos para residentes e equipe multiprofissional.</w:t>
      </w:r>
    </w:p>
    <w:p>
      <w:pPr>
        <w:pStyle w:val="ListBullet"/>
      </w:pPr>
      <w:r>
        <w:rPr>
          <w:sz w:val="21"/>
        </w:rPr>
        <w:t>Dashboard visual 9:16 para celular.</w:t>
      </w:r>
    </w:p>
    <w:p>
      <w:pPr>
        <w:pStyle w:val="ListBullet"/>
      </w:pPr>
      <w:r>
        <w:rPr>
          <w:sz w:val="21"/>
        </w:rPr>
        <w:t>Site estático em modo leitor com protocolos atualizáveis.</w:t>
      </w:r>
    </w:p>
    <w:p>
      <w:pPr>
        <w:pStyle w:val="ListBullet"/>
      </w:pPr>
      <w:r>
        <w:rPr>
          <w:sz w:val="21"/>
        </w:rPr>
        <w:t>Banco de questões derivado dos protocolos para ensino da residência.</w:t>
      </w:r>
    </w:p>
    <w:p>
      <w:pPr>
        <w:pStyle w:val="ListBullet"/>
      </w:pPr>
      <w:r>
        <w:rPr>
          <w:sz w:val="21"/>
        </w:rPr>
        <w:t>Aulas curtas por capítulo e simulações clínicas.</w:t>
      </w:r>
    </w:p>
    <w:p>
      <w:pPr>
        <w:pStyle w:val="Heading1"/>
      </w:pPr>
      <w:r>
        <w:t>15. Riscos, limites e estratégias de mitigação</w:t>
      </w:r>
    </w:p>
    <w:tbl>
      <w:tblPr>
        <w:tblStyle w:val="TableGrid"/>
        <w:tblW w:type="auto" w:w="0"/>
        <w:jc w:val="center"/>
        <w:tblLook w:firstColumn="1" w:firstRow="1" w:lastColumn="0" w:lastRow="0" w:noHBand="0" w:noVBand="1" w:val="04A0"/>
      </w:tblPr>
      <w:tblGrid>
        <w:gridCol w:w="3400"/>
        <w:gridCol w:w="3400"/>
        <w:gridCol w:w="3400"/>
      </w:tblGrid>
      <w:tr>
        <w:tc>
          <w:tcPr>
            <w:tcW w:type="dxa" w:w="2551"/>
            <w:vAlign w:val="center"/>
            <w:shd w:fill="1F4E79"/>
          </w:tcPr>
          <w:p>
            <w:pPr>
              <w:jc w:val="left"/>
            </w:pPr>
            <w:r/>
            <w:r>
              <w:rPr>
                <w:b/>
                <w:color w:val="FFFFFF"/>
                <w:sz w:val="15"/>
              </w:rPr>
              <w:t>Risco</w:t>
            </w:r>
          </w:p>
        </w:tc>
        <w:tc>
          <w:tcPr>
            <w:tcW w:type="dxa" w:w="1814"/>
            <w:vAlign w:val="center"/>
            <w:shd w:fill="1F4E79"/>
          </w:tcPr>
          <w:p>
            <w:pPr>
              <w:jc w:val="left"/>
            </w:pPr>
            <w:r/>
            <w:r>
              <w:rPr>
                <w:b/>
                <w:color w:val="FFFFFF"/>
                <w:sz w:val="15"/>
              </w:rPr>
              <w:t>Impacto</w:t>
            </w:r>
          </w:p>
        </w:tc>
        <w:tc>
          <w:tcPr>
            <w:tcW w:type="dxa" w:w="4706"/>
            <w:vAlign w:val="center"/>
            <w:shd w:fill="1F4E79"/>
          </w:tcPr>
          <w:p>
            <w:pPr>
              <w:jc w:val="left"/>
            </w:pPr>
            <w:r/>
            <w:r>
              <w:rPr>
                <w:b/>
                <w:color w:val="FFFFFF"/>
                <w:sz w:val="15"/>
              </w:rPr>
              <w:t>Mitigação</w:t>
            </w:r>
          </w:p>
        </w:tc>
      </w:tr>
      <w:tr>
        <w:tc>
          <w:tcPr>
            <w:tcW w:type="dxa" w:w="2551"/>
            <w:vAlign w:val="center"/>
            <w:shd w:fill="D9EAF7"/>
          </w:tcPr>
          <w:p>
            <w:pPr>
              <w:jc w:val="left"/>
            </w:pPr>
            <w:r/>
            <w:r>
              <w:rPr>
                <w:b w:val="0"/>
                <w:sz w:val="15"/>
              </w:rPr>
              <w:t>COREME não aceitar TCC coletivo</w:t>
            </w:r>
          </w:p>
        </w:tc>
        <w:tc>
          <w:tcPr>
            <w:tcW w:type="dxa" w:w="1814"/>
            <w:vAlign w:val="center"/>
          </w:tcPr>
          <w:p>
            <w:pPr>
              <w:jc w:val="left"/>
            </w:pPr>
            <w:r/>
            <w:r>
              <w:rPr>
                <w:b w:val="0"/>
                <w:sz w:val="15"/>
              </w:rPr>
              <w:t>Alto</w:t>
            </w:r>
          </w:p>
        </w:tc>
        <w:tc>
          <w:tcPr>
            <w:tcW w:type="dxa" w:w="4706"/>
            <w:vAlign w:val="center"/>
          </w:tcPr>
          <w:p>
            <w:pPr>
              <w:jc w:val="left"/>
            </w:pPr>
            <w:r/>
            <w:r>
              <w:rPr>
                <w:b w:val="0"/>
                <w:sz w:val="15"/>
              </w:rPr>
              <w:t>Aprovar previamente; dividir em capítulos individualizados; manter produto coletivo como guarda-chuva.</w:t>
            </w:r>
          </w:p>
        </w:tc>
      </w:tr>
      <w:tr>
        <w:tc>
          <w:tcPr>
            <w:tcW w:type="dxa" w:w="2551"/>
            <w:vAlign w:val="center"/>
            <w:shd w:fill="D9EAF7"/>
          </w:tcPr>
          <w:p>
            <w:pPr>
              <w:jc w:val="left"/>
            </w:pPr>
            <w:r/>
            <w:r>
              <w:rPr>
                <w:b w:val="0"/>
                <w:sz w:val="15"/>
              </w:rPr>
              <w:t>Livro parecer apostila sem método</w:t>
            </w:r>
          </w:p>
        </w:tc>
        <w:tc>
          <w:tcPr>
            <w:tcW w:type="dxa" w:w="1814"/>
            <w:vAlign w:val="center"/>
          </w:tcPr>
          <w:p>
            <w:pPr>
              <w:jc w:val="left"/>
            </w:pPr>
            <w:r/>
            <w:r>
              <w:rPr>
                <w:b w:val="0"/>
                <w:sz w:val="15"/>
              </w:rPr>
              <w:t>Alto</w:t>
            </w:r>
          </w:p>
        </w:tc>
        <w:tc>
          <w:tcPr>
            <w:tcW w:type="dxa" w:w="4706"/>
            <w:vAlign w:val="center"/>
          </w:tcPr>
          <w:p>
            <w:pPr>
              <w:jc w:val="left"/>
            </w:pPr>
            <w:r/>
            <w:r>
              <w:rPr>
                <w:b w:val="0"/>
                <w:sz w:val="15"/>
              </w:rPr>
              <w:t>Usar desenho metodológico, PICO, busca rastreável, validação e referências.</w:t>
            </w:r>
          </w:p>
        </w:tc>
      </w:tr>
      <w:tr>
        <w:tc>
          <w:tcPr>
            <w:tcW w:type="dxa" w:w="2551"/>
            <w:vAlign w:val="center"/>
            <w:shd w:fill="D9EAF7"/>
          </w:tcPr>
          <w:p>
            <w:pPr>
              <w:jc w:val="left"/>
            </w:pPr>
            <w:r/>
            <w:r>
              <w:rPr>
                <w:b w:val="0"/>
                <w:sz w:val="15"/>
              </w:rPr>
              <w:t>Uso indevido do UpToDate</w:t>
            </w:r>
          </w:p>
        </w:tc>
        <w:tc>
          <w:tcPr>
            <w:tcW w:type="dxa" w:w="1814"/>
            <w:vAlign w:val="center"/>
          </w:tcPr>
          <w:p>
            <w:pPr>
              <w:jc w:val="left"/>
            </w:pPr>
            <w:r/>
            <w:r>
              <w:rPr>
                <w:b w:val="0"/>
                <w:sz w:val="15"/>
              </w:rPr>
              <w:t>Alto</w:t>
            </w:r>
          </w:p>
        </w:tc>
        <w:tc>
          <w:tcPr>
            <w:tcW w:type="dxa" w:w="4706"/>
            <w:vAlign w:val="center"/>
          </w:tcPr>
          <w:p>
            <w:pPr>
              <w:jc w:val="left"/>
            </w:pPr>
            <w:r/>
            <w:r>
              <w:rPr>
                <w:b w:val="0"/>
                <w:sz w:val="15"/>
              </w:rPr>
              <w:t>Usar apenas como fonte orientadora; não copiar; citar diretrizes e artigos originais.</w:t>
            </w:r>
          </w:p>
        </w:tc>
      </w:tr>
      <w:tr>
        <w:tc>
          <w:tcPr>
            <w:tcW w:type="dxa" w:w="2551"/>
            <w:vAlign w:val="center"/>
            <w:shd w:fill="D9EAF7"/>
          </w:tcPr>
          <w:p>
            <w:pPr>
              <w:jc w:val="left"/>
            </w:pPr>
            <w:r/>
            <w:r>
              <w:rPr>
                <w:b w:val="0"/>
                <w:sz w:val="15"/>
              </w:rPr>
              <w:t>Falta de validação externa</w:t>
            </w:r>
          </w:p>
        </w:tc>
        <w:tc>
          <w:tcPr>
            <w:tcW w:type="dxa" w:w="1814"/>
            <w:vAlign w:val="center"/>
          </w:tcPr>
          <w:p>
            <w:pPr>
              <w:jc w:val="left"/>
            </w:pPr>
            <w:r/>
            <w:r>
              <w:rPr>
                <w:b w:val="0"/>
                <w:sz w:val="15"/>
              </w:rPr>
              <w:t>Moderado/alto</w:t>
            </w:r>
          </w:p>
        </w:tc>
        <w:tc>
          <w:tcPr>
            <w:tcW w:type="dxa" w:w="4706"/>
            <w:vAlign w:val="center"/>
          </w:tcPr>
          <w:p>
            <w:pPr>
              <w:jc w:val="left"/>
            </w:pPr>
            <w:r/>
            <w:r>
              <w:rPr>
                <w:b w:val="0"/>
                <w:sz w:val="15"/>
              </w:rPr>
              <w:t>Realizar Delphi modificado ou painel de especialistas com critérios claros.</w:t>
            </w:r>
          </w:p>
        </w:tc>
      </w:tr>
      <w:tr>
        <w:tc>
          <w:tcPr>
            <w:tcW w:type="dxa" w:w="2551"/>
            <w:vAlign w:val="center"/>
            <w:shd w:fill="D9EAF7"/>
          </w:tcPr>
          <w:p>
            <w:pPr>
              <w:jc w:val="left"/>
            </w:pPr>
            <w:r/>
            <w:r>
              <w:rPr>
                <w:b w:val="0"/>
                <w:sz w:val="15"/>
              </w:rPr>
              <w:t>Protocolos não aplicáveis à realidade local</w:t>
            </w:r>
          </w:p>
        </w:tc>
        <w:tc>
          <w:tcPr>
            <w:tcW w:type="dxa" w:w="1814"/>
            <w:vAlign w:val="center"/>
          </w:tcPr>
          <w:p>
            <w:pPr>
              <w:jc w:val="left"/>
            </w:pPr>
            <w:r/>
            <w:r>
              <w:rPr>
                <w:b w:val="0"/>
                <w:sz w:val="15"/>
              </w:rPr>
              <w:t>Alto</w:t>
            </w:r>
          </w:p>
        </w:tc>
        <w:tc>
          <w:tcPr>
            <w:tcW w:type="dxa" w:w="4706"/>
            <w:vAlign w:val="center"/>
          </w:tcPr>
          <w:p>
            <w:pPr>
              <w:jc w:val="left"/>
            </w:pPr>
            <w:r/>
            <w:r>
              <w:rPr>
                <w:b w:val="0"/>
                <w:sz w:val="15"/>
              </w:rPr>
              <w:t>Adaptar medicamentos, exames, disponibilidade de equipe, banco de sangue, TRS, CCIH e fluxos internos.</w:t>
            </w:r>
          </w:p>
        </w:tc>
      </w:tr>
      <w:tr>
        <w:tc>
          <w:tcPr>
            <w:tcW w:type="dxa" w:w="2551"/>
            <w:vAlign w:val="center"/>
            <w:shd w:fill="D9EAF7"/>
          </w:tcPr>
          <w:p>
            <w:pPr>
              <w:jc w:val="left"/>
            </w:pPr>
            <w:r/>
            <w:r>
              <w:rPr>
                <w:b w:val="0"/>
                <w:sz w:val="15"/>
              </w:rPr>
              <w:t>Desatualização rápida</w:t>
            </w:r>
          </w:p>
        </w:tc>
        <w:tc>
          <w:tcPr>
            <w:tcW w:type="dxa" w:w="1814"/>
            <w:vAlign w:val="center"/>
          </w:tcPr>
          <w:p>
            <w:pPr>
              <w:jc w:val="left"/>
            </w:pPr>
            <w:r/>
            <w:r>
              <w:rPr>
                <w:b w:val="0"/>
                <w:sz w:val="15"/>
              </w:rPr>
              <w:t>Moderado</w:t>
            </w:r>
          </w:p>
        </w:tc>
        <w:tc>
          <w:tcPr>
            <w:tcW w:type="dxa" w:w="4706"/>
            <w:vAlign w:val="center"/>
          </w:tcPr>
          <w:p>
            <w:pPr>
              <w:jc w:val="left"/>
            </w:pPr>
            <w:r/>
            <w:r>
              <w:rPr>
                <w:b w:val="0"/>
                <w:sz w:val="15"/>
              </w:rPr>
              <w:t>Criar política de atualização anual e data de revisão por capítulo.</w:t>
            </w:r>
          </w:p>
        </w:tc>
      </w:tr>
      <w:tr>
        <w:tc>
          <w:tcPr>
            <w:tcW w:type="dxa" w:w="2551"/>
            <w:vAlign w:val="center"/>
            <w:shd w:fill="D9EAF7"/>
          </w:tcPr>
          <w:p>
            <w:pPr>
              <w:jc w:val="left"/>
            </w:pPr>
            <w:r/>
            <w:r>
              <w:rPr>
                <w:b w:val="0"/>
                <w:sz w:val="15"/>
              </w:rPr>
              <w:t>Conflito de autoria</w:t>
            </w:r>
          </w:p>
        </w:tc>
        <w:tc>
          <w:tcPr>
            <w:tcW w:type="dxa" w:w="1814"/>
            <w:vAlign w:val="center"/>
          </w:tcPr>
          <w:p>
            <w:pPr>
              <w:jc w:val="left"/>
            </w:pPr>
            <w:r/>
            <w:r>
              <w:rPr>
                <w:b w:val="0"/>
                <w:sz w:val="15"/>
              </w:rPr>
              <w:t>Moderado</w:t>
            </w:r>
          </w:p>
        </w:tc>
        <w:tc>
          <w:tcPr>
            <w:tcW w:type="dxa" w:w="4706"/>
            <w:vAlign w:val="center"/>
          </w:tcPr>
          <w:p>
            <w:pPr>
              <w:jc w:val="left"/>
            </w:pPr>
            <w:r/>
            <w:r>
              <w:rPr>
                <w:b w:val="0"/>
                <w:sz w:val="15"/>
              </w:rPr>
              <w:t>Definir ordem, papéis e critérios de autoria antes do início.</w:t>
            </w:r>
          </w:p>
        </w:tc>
      </w:tr>
      <w:tr>
        <w:tc>
          <w:tcPr>
            <w:tcW w:type="dxa" w:w="2551"/>
            <w:vAlign w:val="center"/>
            <w:shd w:fill="D9EAF7"/>
          </w:tcPr>
          <w:p>
            <w:pPr>
              <w:jc w:val="left"/>
            </w:pPr>
            <w:r/>
            <w:r>
              <w:rPr>
                <w:b w:val="0"/>
                <w:sz w:val="15"/>
              </w:rPr>
              <w:t>Necessidade de CEP não prevista</w:t>
            </w:r>
          </w:p>
        </w:tc>
        <w:tc>
          <w:tcPr>
            <w:tcW w:type="dxa" w:w="1814"/>
            <w:vAlign w:val="center"/>
          </w:tcPr>
          <w:p>
            <w:pPr>
              <w:jc w:val="left"/>
            </w:pPr>
            <w:r/>
            <w:r>
              <w:rPr>
                <w:b w:val="0"/>
                <w:sz w:val="15"/>
              </w:rPr>
              <w:t>Moderado</w:t>
            </w:r>
          </w:p>
        </w:tc>
        <w:tc>
          <w:tcPr>
            <w:tcW w:type="dxa" w:w="4706"/>
            <w:vAlign w:val="center"/>
          </w:tcPr>
          <w:p>
            <w:pPr>
              <w:jc w:val="left"/>
            </w:pPr>
            <w:r/>
            <w:r>
              <w:rPr>
                <w:b w:val="0"/>
                <w:sz w:val="15"/>
              </w:rPr>
              <w:t>Consultar CEP/COREME antes de coletar dados, avaliar especialistas ou usar dados assistenciais.</w:t>
            </w:r>
          </w:p>
        </w:tc>
      </w:tr>
    </w:tbl>
    <w:p>
      <w:pPr>
        <w:pStyle w:val="Heading1"/>
      </w:pPr>
      <w:r>
        <w:t>16. Anexos operacionais</w:t>
      </w:r>
    </w:p>
    <w:p>
      <w:pPr>
        <w:pStyle w:val="Heading2"/>
      </w:pPr>
      <w:r>
        <w:t>Anexo A - Checklist para submissão à COREME</w:t>
      </w:r>
    </w:p>
    <w:p>
      <w:pPr>
        <w:pStyle w:val="ListBullet"/>
      </w:pPr>
      <w:r>
        <w:rPr>
          <w:sz w:val="21"/>
        </w:rPr>
        <w:t>Projeto escrito com título, autores, orientador, justificativa, objetivos, método e cronograma.</w:t>
      </w:r>
    </w:p>
    <w:p>
      <w:pPr>
        <w:pStyle w:val="ListBullet"/>
      </w:pPr>
      <w:r>
        <w:rPr>
          <w:sz w:val="21"/>
        </w:rPr>
        <w:t>Declaração de que o produto final será livro/manual técnico-científico.</w:t>
      </w:r>
    </w:p>
    <w:p>
      <w:pPr>
        <w:pStyle w:val="ListBullet"/>
      </w:pPr>
      <w:r>
        <w:rPr>
          <w:sz w:val="21"/>
        </w:rPr>
        <w:t>Descrição da contribuição individual de cada residente.</w:t>
      </w:r>
    </w:p>
    <w:p>
      <w:pPr>
        <w:pStyle w:val="ListBullet"/>
      </w:pPr>
      <w:r>
        <w:rPr>
          <w:sz w:val="21"/>
        </w:rPr>
        <w:t>Plano de validação por especialistas.</w:t>
      </w:r>
    </w:p>
    <w:p>
      <w:pPr>
        <w:pStyle w:val="ListBullet"/>
      </w:pPr>
      <w:r>
        <w:rPr>
          <w:sz w:val="21"/>
        </w:rPr>
        <w:t>Plano de submissão ao CEP ou justificativa formal de dispensa, se aplicável.</w:t>
      </w:r>
    </w:p>
    <w:p>
      <w:pPr>
        <w:pStyle w:val="ListBullet"/>
      </w:pPr>
      <w:r>
        <w:rPr>
          <w:sz w:val="21"/>
        </w:rPr>
        <w:t>Modelo de capítulo e padrão de referências.</w:t>
      </w:r>
    </w:p>
    <w:p>
      <w:pPr>
        <w:pStyle w:val="ListBullet"/>
      </w:pPr>
      <w:r>
        <w:rPr>
          <w:sz w:val="21"/>
        </w:rPr>
        <w:t>Cronograma de reuniões e entregas.</w:t>
      </w:r>
    </w:p>
    <w:p>
      <w:pPr>
        <w:pStyle w:val="ListBullet"/>
      </w:pPr>
      <w:r>
        <w:rPr>
          <w:sz w:val="21"/>
        </w:rPr>
        <w:t>Critérios de aprovação pela banca.</w:t>
      </w:r>
    </w:p>
    <w:p>
      <w:pPr>
        <w:pStyle w:val="ListBullet"/>
      </w:pPr>
      <w:r>
        <w:rPr>
          <w:sz w:val="21"/>
        </w:rPr>
        <w:t>Política de atualização e responsabilidade institucional.</w:t>
      </w:r>
    </w:p>
    <w:p>
      <w:pPr>
        <w:pStyle w:val="Heading2"/>
      </w:pPr>
      <w:r>
        <w:t>Anexo B - Modelo de matriz de evidência</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2268"/>
            <w:vAlign w:val="center"/>
            <w:shd w:fill="1F4E79"/>
          </w:tcPr>
          <w:p>
            <w:pPr>
              <w:jc w:val="left"/>
            </w:pPr>
            <w:r/>
            <w:r>
              <w:rPr>
                <w:b/>
                <w:color w:val="FFFFFF"/>
                <w:sz w:val="14"/>
              </w:rPr>
              <w:t>Pergunta PICO</w:t>
            </w:r>
          </w:p>
        </w:tc>
        <w:tc>
          <w:tcPr>
            <w:tcW w:type="dxa" w:w="1417"/>
            <w:vAlign w:val="center"/>
            <w:shd w:fill="1F4E79"/>
          </w:tcPr>
          <w:p>
            <w:pPr>
              <w:jc w:val="left"/>
            </w:pPr>
            <w:r/>
            <w:r>
              <w:rPr>
                <w:b/>
                <w:color w:val="FFFFFF"/>
                <w:sz w:val="14"/>
              </w:rPr>
              <w:t>Fonte</w:t>
            </w:r>
          </w:p>
        </w:tc>
        <w:tc>
          <w:tcPr>
            <w:tcW w:type="dxa" w:w="794"/>
            <w:vAlign w:val="center"/>
            <w:shd w:fill="1F4E79"/>
          </w:tcPr>
          <w:p>
            <w:pPr>
              <w:jc w:val="left"/>
            </w:pPr>
            <w:r/>
            <w:r>
              <w:rPr>
                <w:b/>
                <w:color w:val="FFFFFF"/>
                <w:sz w:val="14"/>
              </w:rPr>
              <w:t>Ano</w:t>
            </w:r>
          </w:p>
        </w:tc>
        <w:tc>
          <w:tcPr>
            <w:tcW w:type="dxa" w:w="2098"/>
            <w:vAlign w:val="center"/>
            <w:shd w:fill="1F4E79"/>
          </w:tcPr>
          <w:p>
            <w:pPr>
              <w:jc w:val="left"/>
            </w:pPr>
            <w:r/>
            <w:r>
              <w:rPr>
                <w:b/>
                <w:color w:val="FFFFFF"/>
                <w:sz w:val="14"/>
              </w:rPr>
              <w:t>Principais achados</w:t>
            </w:r>
          </w:p>
        </w:tc>
        <w:tc>
          <w:tcPr>
            <w:tcW w:type="dxa" w:w="1361"/>
            <w:vAlign w:val="center"/>
            <w:shd w:fill="1F4E79"/>
          </w:tcPr>
          <w:p>
            <w:pPr>
              <w:jc w:val="left"/>
            </w:pPr>
            <w:r/>
            <w:r>
              <w:rPr>
                <w:b/>
                <w:color w:val="FFFFFF"/>
                <w:sz w:val="14"/>
              </w:rPr>
              <w:t>Certeza/força</w:t>
            </w:r>
          </w:p>
        </w:tc>
        <w:tc>
          <w:tcPr>
            <w:tcW w:type="dxa" w:w="1474"/>
            <w:vAlign w:val="center"/>
            <w:shd w:fill="1F4E79"/>
          </w:tcPr>
          <w:p>
            <w:pPr>
              <w:jc w:val="left"/>
            </w:pPr>
            <w:r/>
            <w:r>
              <w:rPr>
                <w:b/>
                <w:color w:val="FFFFFF"/>
                <w:sz w:val="14"/>
              </w:rPr>
              <w:t>Aplicabilidade local</w:t>
            </w:r>
          </w:p>
        </w:tc>
      </w:tr>
      <w:tr>
        <w:tc>
          <w:tcPr>
            <w:tcW w:type="dxa" w:w="2268"/>
            <w:vAlign w:val="center"/>
            <w:shd w:fill="D9EAF7"/>
          </w:tcPr>
          <w:p>
            <w:pPr>
              <w:jc w:val="left"/>
            </w:pPr>
            <w:r/>
            <w:r>
              <w:rPr>
                <w:b w:val="0"/>
                <w:sz w:val="14"/>
              </w:rPr>
              <w:t>Ex.: Em choque séptico, cristaloide balanceado versus SF 0,9%</w:t>
            </w:r>
          </w:p>
        </w:tc>
        <w:tc>
          <w:tcPr>
            <w:tcW w:type="dxa" w:w="1417"/>
            <w:vAlign w:val="center"/>
          </w:tcPr>
          <w:p>
            <w:pPr>
              <w:jc w:val="left"/>
            </w:pPr>
            <w:r/>
            <w:r>
              <w:rPr>
                <w:b w:val="0"/>
                <w:sz w:val="14"/>
              </w:rPr>
              <w:t>Trial/diretriz/revisão</w:t>
            </w:r>
          </w:p>
        </w:tc>
        <w:tc>
          <w:tcPr>
            <w:tcW w:type="dxa" w:w="794"/>
            <w:vAlign w:val="center"/>
          </w:tcPr>
          <w:p>
            <w:pPr>
              <w:jc w:val="left"/>
            </w:pPr>
            <w:r/>
            <w:r>
              <w:rPr>
                <w:b w:val="0"/>
                <w:sz w:val="14"/>
              </w:rPr>
              <w:t>____</w:t>
            </w:r>
          </w:p>
        </w:tc>
        <w:tc>
          <w:tcPr>
            <w:tcW w:type="dxa" w:w="2098"/>
            <w:vAlign w:val="center"/>
          </w:tcPr>
          <w:p>
            <w:pPr>
              <w:jc w:val="left"/>
            </w:pPr>
            <w:r/>
            <w:r>
              <w:rPr>
                <w:b w:val="0"/>
                <w:sz w:val="14"/>
              </w:rPr>
              <w:t>____</w:t>
            </w:r>
          </w:p>
        </w:tc>
        <w:tc>
          <w:tcPr>
            <w:tcW w:type="dxa" w:w="1361"/>
            <w:vAlign w:val="center"/>
          </w:tcPr>
          <w:p>
            <w:pPr>
              <w:jc w:val="left"/>
            </w:pPr>
            <w:r/>
            <w:r>
              <w:rPr>
                <w:b w:val="0"/>
                <w:sz w:val="14"/>
              </w:rPr>
              <w:t>Alta/moderada/baixa ou GRADE</w:t>
            </w:r>
          </w:p>
        </w:tc>
        <w:tc>
          <w:tcPr>
            <w:tcW w:type="dxa" w:w="1474"/>
            <w:vAlign w:val="center"/>
          </w:tcPr>
          <w:p>
            <w:pPr>
              <w:jc w:val="left"/>
            </w:pPr>
            <w:r/>
            <w:r>
              <w:rPr>
                <w:b w:val="0"/>
                <w:sz w:val="14"/>
              </w:rPr>
              <w:t>Alta/moderada/baixa</w:t>
            </w:r>
          </w:p>
        </w:tc>
      </w:tr>
      <w:tr>
        <w:tc>
          <w:tcPr>
            <w:tcW w:type="dxa" w:w="2268"/>
            <w:vAlign w:val="center"/>
            <w:shd w:fill="D9EAF7"/>
          </w:tcPr>
          <w:p>
            <w:pPr>
              <w:jc w:val="left"/>
            </w:pPr>
            <w:r/>
            <w:r>
              <w:rPr>
                <w:b w:val="0"/>
                <w:sz w:val="14"/>
              </w:rPr>
              <w:t>Ex.: Prona em SDRA moderada/grave</w:t>
            </w:r>
          </w:p>
        </w:tc>
        <w:tc>
          <w:tcPr>
            <w:tcW w:type="dxa" w:w="1417"/>
            <w:vAlign w:val="center"/>
          </w:tcPr>
          <w:p>
            <w:pPr>
              <w:jc w:val="left"/>
            </w:pPr>
            <w:r/>
            <w:r>
              <w:rPr>
                <w:b w:val="0"/>
                <w:sz w:val="14"/>
              </w:rPr>
              <w:t>Trial/diretriz/revisão</w:t>
            </w:r>
          </w:p>
        </w:tc>
        <w:tc>
          <w:tcPr>
            <w:tcW w:type="dxa" w:w="794"/>
            <w:vAlign w:val="center"/>
          </w:tcPr>
          <w:p>
            <w:pPr>
              <w:jc w:val="left"/>
            </w:pPr>
            <w:r/>
            <w:r>
              <w:rPr>
                <w:b w:val="0"/>
                <w:sz w:val="14"/>
              </w:rPr>
              <w:t>____</w:t>
            </w:r>
          </w:p>
        </w:tc>
        <w:tc>
          <w:tcPr>
            <w:tcW w:type="dxa" w:w="2098"/>
            <w:vAlign w:val="center"/>
          </w:tcPr>
          <w:p>
            <w:pPr>
              <w:jc w:val="left"/>
            </w:pPr>
            <w:r/>
            <w:r>
              <w:rPr>
                <w:b w:val="0"/>
                <w:sz w:val="14"/>
              </w:rPr>
              <w:t>____</w:t>
            </w:r>
          </w:p>
        </w:tc>
        <w:tc>
          <w:tcPr>
            <w:tcW w:type="dxa" w:w="1361"/>
            <w:vAlign w:val="center"/>
          </w:tcPr>
          <w:p>
            <w:pPr>
              <w:jc w:val="left"/>
            </w:pPr>
            <w:r/>
            <w:r>
              <w:rPr>
                <w:b w:val="0"/>
                <w:sz w:val="14"/>
              </w:rPr>
              <w:t>____</w:t>
            </w:r>
          </w:p>
        </w:tc>
        <w:tc>
          <w:tcPr>
            <w:tcW w:type="dxa" w:w="1474"/>
            <w:vAlign w:val="center"/>
          </w:tcPr>
          <w:p>
            <w:pPr>
              <w:jc w:val="left"/>
            </w:pPr>
            <w:r/>
            <w:r>
              <w:rPr>
                <w:b w:val="0"/>
                <w:sz w:val="14"/>
              </w:rPr>
              <w:t>____</w:t>
            </w:r>
          </w:p>
        </w:tc>
      </w:tr>
      <w:tr>
        <w:tc>
          <w:tcPr>
            <w:tcW w:type="dxa" w:w="2268"/>
            <w:vAlign w:val="center"/>
            <w:shd w:fill="D9EAF7"/>
          </w:tcPr>
          <w:p>
            <w:pPr>
              <w:jc w:val="left"/>
            </w:pPr>
            <w:r/>
            <w:r>
              <w:rPr>
                <w:b w:val="0"/>
                <w:sz w:val="14"/>
              </w:rPr>
              <w:t>Ex.: Estratégia transfusional restritiva em UTI</w:t>
            </w:r>
          </w:p>
        </w:tc>
        <w:tc>
          <w:tcPr>
            <w:tcW w:type="dxa" w:w="1417"/>
            <w:vAlign w:val="center"/>
          </w:tcPr>
          <w:p>
            <w:pPr>
              <w:jc w:val="left"/>
            </w:pPr>
            <w:r/>
            <w:r>
              <w:rPr>
                <w:b w:val="0"/>
                <w:sz w:val="14"/>
              </w:rPr>
              <w:t>Trial/diretriz/revisão</w:t>
            </w:r>
          </w:p>
        </w:tc>
        <w:tc>
          <w:tcPr>
            <w:tcW w:type="dxa" w:w="794"/>
            <w:vAlign w:val="center"/>
          </w:tcPr>
          <w:p>
            <w:pPr>
              <w:jc w:val="left"/>
            </w:pPr>
            <w:r/>
            <w:r>
              <w:rPr>
                <w:b w:val="0"/>
                <w:sz w:val="14"/>
              </w:rPr>
              <w:t>____</w:t>
            </w:r>
          </w:p>
        </w:tc>
        <w:tc>
          <w:tcPr>
            <w:tcW w:type="dxa" w:w="2098"/>
            <w:vAlign w:val="center"/>
          </w:tcPr>
          <w:p>
            <w:pPr>
              <w:jc w:val="left"/>
            </w:pPr>
            <w:r/>
            <w:r>
              <w:rPr>
                <w:b w:val="0"/>
                <w:sz w:val="14"/>
              </w:rPr>
              <w:t>____</w:t>
            </w:r>
          </w:p>
        </w:tc>
        <w:tc>
          <w:tcPr>
            <w:tcW w:type="dxa" w:w="1361"/>
            <w:vAlign w:val="center"/>
          </w:tcPr>
          <w:p>
            <w:pPr>
              <w:jc w:val="left"/>
            </w:pPr>
            <w:r/>
            <w:r>
              <w:rPr>
                <w:b w:val="0"/>
                <w:sz w:val="14"/>
              </w:rPr>
              <w:t>____</w:t>
            </w:r>
          </w:p>
        </w:tc>
        <w:tc>
          <w:tcPr>
            <w:tcW w:type="dxa" w:w="1474"/>
            <w:vAlign w:val="center"/>
          </w:tcPr>
          <w:p>
            <w:pPr>
              <w:jc w:val="left"/>
            </w:pPr>
            <w:r/>
            <w:r>
              <w:rPr>
                <w:b w:val="0"/>
                <w:sz w:val="14"/>
              </w:rPr>
              <w:t>____</w:t>
            </w:r>
          </w:p>
        </w:tc>
      </w:tr>
    </w:tbl>
    <w:p>
      <w:pPr>
        <w:pStyle w:val="Heading2"/>
      </w:pPr>
      <w:r>
        <w:t>Anexo C - Modelo de ficha de contribuição individual</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pPr>
              <w:jc w:val="left"/>
            </w:pPr>
            <w:r/>
            <w:r>
              <w:rPr>
                <w:b/>
                <w:color w:val="FFFFFF"/>
                <w:sz w:val="16"/>
              </w:rPr>
              <w:t>Campo</w:t>
            </w:r>
          </w:p>
        </w:tc>
        <w:tc>
          <w:tcPr>
            <w:tcW w:type="dxa" w:w="6236"/>
            <w:vAlign w:val="center"/>
            <w:shd w:fill="1F4E79"/>
          </w:tcPr>
          <w:p>
            <w:pPr>
              <w:jc w:val="left"/>
            </w:pPr>
            <w:r/>
            <w:r>
              <w:rPr>
                <w:b/>
                <w:color w:val="FFFFFF"/>
                <w:sz w:val="16"/>
              </w:rPr>
              <w:t>Preenchimento</w:t>
            </w:r>
          </w:p>
        </w:tc>
      </w:tr>
      <w:tr>
        <w:tc>
          <w:tcPr>
            <w:tcW w:type="dxa" w:w="2835"/>
            <w:vAlign w:val="center"/>
            <w:shd w:fill="D9EAF7"/>
          </w:tcPr>
          <w:p>
            <w:pPr>
              <w:jc w:val="left"/>
            </w:pPr>
            <w:r/>
            <w:r>
              <w:rPr>
                <w:b w:val="0"/>
                <w:sz w:val="16"/>
              </w:rPr>
              <w:t>Nome do residente</w:t>
            </w:r>
          </w:p>
        </w:tc>
        <w:tc>
          <w:tcPr>
            <w:tcW w:type="dxa" w:w="6236"/>
            <w:vAlign w:val="center"/>
          </w:tcPr>
          <w:p>
            <w:pPr>
              <w:jc w:val="left"/>
            </w:pPr>
            <w:r/>
            <w:r>
              <w:rPr>
                <w:b w:val="0"/>
                <w:sz w:val="16"/>
              </w:rPr>
              <w:t>____________________________</w:t>
            </w:r>
          </w:p>
        </w:tc>
      </w:tr>
      <w:tr>
        <w:tc>
          <w:tcPr>
            <w:tcW w:type="dxa" w:w="2835"/>
            <w:vAlign w:val="center"/>
            <w:shd w:fill="D9EAF7"/>
          </w:tcPr>
          <w:p>
            <w:pPr>
              <w:jc w:val="left"/>
            </w:pPr>
            <w:r/>
            <w:r>
              <w:rPr>
                <w:b w:val="0"/>
                <w:sz w:val="16"/>
              </w:rPr>
              <w:t>Capítulo/protocolo</w:t>
            </w:r>
          </w:p>
        </w:tc>
        <w:tc>
          <w:tcPr>
            <w:tcW w:type="dxa" w:w="6236"/>
            <w:vAlign w:val="center"/>
          </w:tcPr>
          <w:p>
            <w:pPr>
              <w:jc w:val="left"/>
            </w:pPr>
            <w:r/>
            <w:r>
              <w:rPr>
                <w:b w:val="0"/>
                <w:sz w:val="16"/>
              </w:rPr>
              <w:t>____________________________</w:t>
            </w:r>
          </w:p>
        </w:tc>
      </w:tr>
      <w:tr>
        <w:tc>
          <w:tcPr>
            <w:tcW w:type="dxa" w:w="2835"/>
            <w:vAlign w:val="center"/>
            <w:shd w:fill="D9EAF7"/>
          </w:tcPr>
          <w:p>
            <w:pPr>
              <w:jc w:val="left"/>
            </w:pPr>
            <w:r/>
            <w:r>
              <w:rPr>
                <w:b w:val="0"/>
                <w:sz w:val="16"/>
              </w:rPr>
              <w:t>Perguntas PICO elaboradas</w:t>
            </w:r>
          </w:p>
        </w:tc>
        <w:tc>
          <w:tcPr>
            <w:tcW w:type="dxa" w:w="6236"/>
            <w:vAlign w:val="center"/>
          </w:tcPr>
          <w:p>
            <w:pPr>
              <w:jc w:val="left"/>
            </w:pPr>
            <w:r/>
            <w:r>
              <w:rPr>
                <w:b w:val="0"/>
                <w:sz w:val="16"/>
              </w:rPr>
              <w:t>____________________________</w:t>
            </w:r>
          </w:p>
        </w:tc>
      </w:tr>
      <w:tr>
        <w:tc>
          <w:tcPr>
            <w:tcW w:type="dxa" w:w="2835"/>
            <w:vAlign w:val="center"/>
            <w:shd w:fill="D9EAF7"/>
          </w:tcPr>
          <w:p>
            <w:pPr>
              <w:jc w:val="left"/>
            </w:pPr>
            <w:r/>
            <w:r>
              <w:rPr>
                <w:b w:val="0"/>
                <w:sz w:val="16"/>
              </w:rPr>
              <w:t>Bases pesquisadas</w:t>
            </w:r>
          </w:p>
        </w:tc>
        <w:tc>
          <w:tcPr>
            <w:tcW w:type="dxa" w:w="6236"/>
            <w:vAlign w:val="center"/>
          </w:tcPr>
          <w:p>
            <w:pPr>
              <w:jc w:val="left"/>
            </w:pPr>
            <w:r/>
            <w:r>
              <w:rPr>
                <w:b w:val="0"/>
                <w:sz w:val="16"/>
              </w:rPr>
              <w:t>____________________________</w:t>
            </w:r>
          </w:p>
        </w:tc>
      </w:tr>
      <w:tr>
        <w:tc>
          <w:tcPr>
            <w:tcW w:type="dxa" w:w="2835"/>
            <w:vAlign w:val="center"/>
            <w:shd w:fill="D9EAF7"/>
          </w:tcPr>
          <w:p>
            <w:pPr>
              <w:jc w:val="left"/>
            </w:pPr>
            <w:r/>
            <w:r>
              <w:rPr>
                <w:b w:val="0"/>
                <w:sz w:val="16"/>
              </w:rPr>
              <w:t>Tabelas/fluxogramas produzidos</w:t>
            </w:r>
          </w:p>
        </w:tc>
        <w:tc>
          <w:tcPr>
            <w:tcW w:type="dxa" w:w="6236"/>
            <w:vAlign w:val="center"/>
          </w:tcPr>
          <w:p>
            <w:pPr>
              <w:jc w:val="left"/>
            </w:pPr>
            <w:r/>
            <w:r>
              <w:rPr>
                <w:b w:val="0"/>
                <w:sz w:val="16"/>
              </w:rPr>
              <w:t>____________________________</w:t>
            </w:r>
          </w:p>
        </w:tc>
      </w:tr>
      <w:tr>
        <w:tc>
          <w:tcPr>
            <w:tcW w:type="dxa" w:w="2835"/>
            <w:vAlign w:val="center"/>
            <w:shd w:fill="D9EAF7"/>
          </w:tcPr>
          <w:p>
            <w:pPr>
              <w:jc w:val="left"/>
            </w:pPr>
            <w:r/>
            <w:r>
              <w:rPr>
                <w:b w:val="0"/>
                <w:sz w:val="16"/>
              </w:rPr>
              <w:t>Versões revisadas</w:t>
            </w:r>
          </w:p>
        </w:tc>
        <w:tc>
          <w:tcPr>
            <w:tcW w:type="dxa" w:w="6236"/>
            <w:vAlign w:val="center"/>
          </w:tcPr>
          <w:p>
            <w:pPr>
              <w:jc w:val="left"/>
            </w:pPr>
            <w:r/>
            <w:r>
              <w:rPr>
                <w:b w:val="0"/>
                <w:sz w:val="16"/>
              </w:rPr>
              <w:t>____________________________</w:t>
            </w:r>
          </w:p>
        </w:tc>
      </w:tr>
      <w:tr>
        <w:tc>
          <w:tcPr>
            <w:tcW w:type="dxa" w:w="2835"/>
            <w:vAlign w:val="center"/>
            <w:shd w:fill="D9EAF7"/>
          </w:tcPr>
          <w:p>
            <w:pPr>
              <w:jc w:val="left"/>
            </w:pPr>
            <w:r/>
            <w:r>
              <w:rPr>
                <w:b w:val="0"/>
                <w:sz w:val="16"/>
              </w:rPr>
              <w:t>Respostas aos especialistas</w:t>
            </w:r>
          </w:p>
        </w:tc>
        <w:tc>
          <w:tcPr>
            <w:tcW w:type="dxa" w:w="6236"/>
            <w:vAlign w:val="center"/>
          </w:tcPr>
          <w:p>
            <w:pPr>
              <w:jc w:val="left"/>
            </w:pPr>
            <w:r/>
            <w:r>
              <w:rPr>
                <w:b w:val="0"/>
                <w:sz w:val="16"/>
              </w:rPr>
              <w:t>____________________________</w:t>
            </w:r>
          </w:p>
        </w:tc>
      </w:tr>
      <w:tr>
        <w:tc>
          <w:tcPr>
            <w:tcW w:type="dxa" w:w="2835"/>
            <w:vAlign w:val="center"/>
            <w:shd w:fill="D9EAF7"/>
          </w:tcPr>
          <w:p>
            <w:pPr>
              <w:jc w:val="left"/>
            </w:pPr>
            <w:r/>
            <w:r>
              <w:rPr>
                <w:b w:val="0"/>
                <w:sz w:val="16"/>
              </w:rPr>
              <w:t>Declaração de originalidade</w:t>
            </w:r>
          </w:p>
        </w:tc>
        <w:tc>
          <w:tcPr>
            <w:tcW w:type="dxa" w:w="6236"/>
            <w:vAlign w:val="center"/>
          </w:tcPr>
          <w:p>
            <w:pPr>
              <w:jc w:val="left"/>
            </w:pPr>
            <w:r/>
            <w:r>
              <w:rPr>
                <w:b w:val="0"/>
                <w:sz w:val="16"/>
              </w:rPr>
              <w:t>Declaro que o texto foi redigido de forma original, sem cópia de fontes protegidas.</w:t>
            </w:r>
          </w:p>
        </w:tc>
      </w:tr>
    </w:tbl>
    <w:p>
      <w:pPr>
        <w:pStyle w:val="Heading2"/>
      </w:pPr>
      <w:r>
        <w:t>Anexo D - Indicadores de qualidade por protocolo</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pPr>
              <w:jc w:val="left"/>
            </w:pPr>
            <w:r/>
            <w:r>
              <w:rPr>
                <w:b/>
                <w:color w:val="FFFFFF"/>
                <w:sz w:val="16"/>
              </w:rPr>
              <w:t>Protocolo</w:t>
            </w:r>
          </w:p>
        </w:tc>
        <w:tc>
          <w:tcPr>
            <w:tcW w:type="dxa" w:w="6236"/>
            <w:vAlign w:val="center"/>
            <w:shd w:fill="1F4E79"/>
          </w:tcPr>
          <w:p>
            <w:pPr>
              <w:jc w:val="left"/>
            </w:pPr>
            <w:r/>
            <w:r>
              <w:rPr>
                <w:b/>
                <w:color w:val="FFFFFF"/>
                <w:sz w:val="16"/>
              </w:rPr>
              <w:t>Indicador de qualidade sugerido</w:t>
            </w:r>
          </w:p>
        </w:tc>
      </w:tr>
      <w:tr>
        <w:tc>
          <w:tcPr>
            <w:tcW w:type="dxa" w:w="2835"/>
            <w:vAlign w:val="center"/>
            <w:shd w:fill="D9EAF7"/>
          </w:tcPr>
          <w:p>
            <w:pPr>
              <w:jc w:val="left"/>
            </w:pPr>
            <w:r/>
            <w:r>
              <w:rPr>
                <w:b w:val="0"/>
                <w:sz w:val="16"/>
              </w:rPr>
              <w:t>Sepse/choque séptico</w:t>
            </w:r>
          </w:p>
        </w:tc>
        <w:tc>
          <w:tcPr>
            <w:tcW w:type="dxa" w:w="6236"/>
            <w:vAlign w:val="center"/>
          </w:tcPr>
          <w:p>
            <w:pPr>
              <w:jc w:val="left"/>
            </w:pPr>
            <w:r/>
            <w:r>
              <w:rPr>
                <w:b w:val="0"/>
                <w:sz w:val="16"/>
              </w:rPr>
              <w:t>Tempo até antibiótico em choque séptico; lactato inicial e reavaliação.</w:t>
            </w:r>
          </w:p>
        </w:tc>
      </w:tr>
      <w:tr>
        <w:tc>
          <w:tcPr>
            <w:tcW w:type="dxa" w:w="2835"/>
            <w:vAlign w:val="center"/>
            <w:shd w:fill="D9EAF7"/>
          </w:tcPr>
          <w:p>
            <w:pPr>
              <w:jc w:val="left"/>
            </w:pPr>
            <w:r/>
            <w:r>
              <w:rPr>
                <w:b w:val="0"/>
                <w:sz w:val="16"/>
              </w:rPr>
              <w:t>VM/SDRA/desmame</w:t>
            </w:r>
          </w:p>
        </w:tc>
        <w:tc>
          <w:tcPr>
            <w:tcW w:type="dxa" w:w="6236"/>
            <w:vAlign w:val="center"/>
          </w:tcPr>
          <w:p>
            <w:pPr>
              <w:jc w:val="left"/>
            </w:pPr>
            <w:r/>
            <w:r>
              <w:rPr>
                <w:b w:val="0"/>
                <w:sz w:val="16"/>
              </w:rPr>
              <w:t>Uso de volume corrente protetor e registro de peso predito.</w:t>
            </w:r>
          </w:p>
        </w:tc>
      </w:tr>
      <w:tr>
        <w:tc>
          <w:tcPr>
            <w:tcW w:type="dxa" w:w="2835"/>
            <w:vAlign w:val="center"/>
            <w:shd w:fill="D9EAF7"/>
          </w:tcPr>
          <w:p>
            <w:pPr>
              <w:jc w:val="left"/>
            </w:pPr>
            <w:r/>
            <w:r>
              <w:rPr>
                <w:b w:val="0"/>
                <w:sz w:val="16"/>
              </w:rPr>
              <w:t>Choque/DVA</w:t>
            </w:r>
          </w:p>
        </w:tc>
        <w:tc>
          <w:tcPr>
            <w:tcW w:type="dxa" w:w="6236"/>
            <w:vAlign w:val="center"/>
          </w:tcPr>
          <w:p>
            <w:pPr>
              <w:jc w:val="left"/>
            </w:pPr>
            <w:r/>
            <w:r>
              <w:rPr>
                <w:b w:val="0"/>
                <w:sz w:val="16"/>
              </w:rPr>
              <w:t>Tempo até noradrenalina e documentação do fenótipo de choque.</w:t>
            </w:r>
          </w:p>
        </w:tc>
      </w:tr>
      <w:tr>
        <w:tc>
          <w:tcPr>
            <w:tcW w:type="dxa" w:w="2835"/>
            <w:vAlign w:val="center"/>
            <w:shd w:fill="D9EAF7"/>
          </w:tcPr>
          <w:p>
            <w:pPr>
              <w:jc w:val="left"/>
            </w:pPr>
            <w:r/>
            <w:r>
              <w:rPr>
                <w:b w:val="0"/>
                <w:sz w:val="16"/>
              </w:rPr>
              <w:t>Sedação/delirium</w:t>
            </w:r>
          </w:p>
        </w:tc>
        <w:tc>
          <w:tcPr>
            <w:tcW w:type="dxa" w:w="6236"/>
            <w:vAlign w:val="center"/>
          </w:tcPr>
          <w:p>
            <w:pPr>
              <w:jc w:val="left"/>
            </w:pPr>
            <w:r/>
            <w:r>
              <w:rPr>
                <w:b w:val="0"/>
                <w:sz w:val="16"/>
              </w:rPr>
              <w:t>Registro diário de RASS, dor e CAM-ICU.</w:t>
            </w:r>
          </w:p>
        </w:tc>
      </w:tr>
      <w:tr>
        <w:tc>
          <w:tcPr>
            <w:tcW w:type="dxa" w:w="2835"/>
            <w:vAlign w:val="center"/>
            <w:shd w:fill="D9EAF7"/>
          </w:tcPr>
          <w:p>
            <w:pPr>
              <w:jc w:val="left"/>
            </w:pPr>
            <w:r/>
            <w:r>
              <w:rPr>
                <w:b w:val="0"/>
                <w:sz w:val="16"/>
              </w:rPr>
              <w:t>IRA/TRS</w:t>
            </w:r>
          </w:p>
        </w:tc>
        <w:tc>
          <w:tcPr>
            <w:tcW w:type="dxa" w:w="6236"/>
            <w:vAlign w:val="center"/>
          </w:tcPr>
          <w:p>
            <w:pPr>
              <w:jc w:val="left"/>
            </w:pPr>
            <w:r/>
            <w:r>
              <w:rPr>
                <w:b w:val="0"/>
                <w:sz w:val="16"/>
              </w:rPr>
              <w:t>Estágio KDIGO registrado e nefrotóxicos revisados.</w:t>
            </w:r>
          </w:p>
        </w:tc>
      </w:tr>
      <w:tr>
        <w:tc>
          <w:tcPr>
            <w:tcW w:type="dxa" w:w="2835"/>
            <w:vAlign w:val="center"/>
            <w:shd w:fill="D9EAF7"/>
          </w:tcPr>
          <w:p>
            <w:pPr>
              <w:jc w:val="left"/>
            </w:pPr>
            <w:r/>
            <w:r>
              <w:rPr>
                <w:b w:val="0"/>
                <w:sz w:val="16"/>
              </w:rPr>
              <w:t>Antimicrobianos</w:t>
            </w:r>
          </w:p>
        </w:tc>
        <w:tc>
          <w:tcPr>
            <w:tcW w:type="dxa" w:w="6236"/>
            <w:vAlign w:val="center"/>
          </w:tcPr>
          <w:p>
            <w:pPr>
              <w:jc w:val="left"/>
            </w:pPr>
            <w:r/>
            <w:r>
              <w:rPr>
                <w:b w:val="0"/>
                <w:sz w:val="16"/>
              </w:rPr>
              <w:t>Descalonamento em 48-72h quando culturas disponíveis.</w:t>
            </w:r>
          </w:p>
        </w:tc>
      </w:tr>
      <w:tr>
        <w:tc>
          <w:tcPr>
            <w:tcW w:type="dxa" w:w="2835"/>
            <w:vAlign w:val="center"/>
            <w:shd w:fill="D9EAF7"/>
          </w:tcPr>
          <w:p>
            <w:pPr>
              <w:jc w:val="left"/>
            </w:pPr>
            <w:r/>
            <w:r>
              <w:rPr>
                <w:b w:val="0"/>
                <w:sz w:val="16"/>
              </w:rPr>
              <w:t>Nutrição/glicemia</w:t>
            </w:r>
          </w:p>
        </w:tc>
        <w:tc>
          <w:tcPr>
            <w:tcW w:type="dxa" w:w="6236"/>
            <w:vAlign w:val="center"/>
          </w:tcPr>
          <w:p>
            <w:pPr>
              <w:jc w:val="left"/>
            </w:pPr>
            <w:r/>
            <w:r>
              <w:rPr>
                <w:b w:val="0"/>
                <w:sz w:val="16"/>
              </w:rPr>
              <w:t>Dieta enteral iniciada e hipoglicemias monitoradas.</w:t>
            </w:r>
          </w:p>
        </w:tc>
      </w:tr>
      <w:tr>
        <w:tc>
          <w:tcPr>
            <w:tcW w:type="dxa" w:w="2835"/>
            <w:vAlign w:val="center"/>
            <w:shd w:fill="D9EAF7"/>
          </w:tcPr>
          <w:p>
            <w:pPr>
              <w:jc w:val="left"/>
            </w:pPr>
            <w:r/>
            <w:r>
              <w:rPr>
                <w:b w:val="0"/>
                <w:sz w:val="16"/>
              </w:rPr>
              <w:t>Hemoterapia</w:t>
            </w:r>
          </w:p>
        </w:tc>
        <w:tc>
          <w:tcPr>
            <w:tcW w:type="dxa" w:w="6236"/>
            <w:vAlign w:val="center"/>
          </w:tcPr>
          <w:p>
            <w:pPr>
              <w:jc w:val="left"/>
            </w:pPr>
            <w:r/>
            <w:r>
              <w:rPr>
                <w:b w:val="0"/>
                <w:sz w:val="16"/>
              </w:rPr>
              <w:t>Aderência a limiar transfusional e protocolo de transfusão maciça.</w:t>
            </w:r>
          </w:p>
        </w:tc>
      </w:tr>
      <w:tr>
        <w:tc>
          <w:tcPr>
            <w:tcW w:type="dxa" w:w="2835"/>
            <w:vAlign w:val="center"/>
            <w:shd w:fill="D9EAF7"/>
          </w:tcPr>
          <w:p>
            <w:pPr>
              <w:jc w:val="left"/>
            </w:pPr>
            <w:r/>
            <w:r>
              <w:rPr>
                <w:b w:val="0"/>
                <w:sz w:val="16"/>
              </w:rPr>
              <w:t>Profilaxias/bundles</w:t>
            </w:r>
          </w:p>
        </w:tc>
        <w:tc>
          <w:tcPr>
            <w:tcW w:type="dxa" w:w="6236"/>
            <w:vAlign w:val="center"/>
          </w:tcPr>
          <w:p>
            <w:pPr>
              <w:jc w:val="left"/>
            </w:pPr>
            <w:r/>
            <w:r>
              <w:rPr>
                <w:b w:val="0"/>
                <w:sz w:val="16"/>
              </w:rPr>
              <w:t>Profilaxia TEV adequada e retirada diária de dispositivos desnecessários.</w:t>
            </w:r>
          </w:p>
        </w:tc>
      </w:tr>
      <w:tr>
        <w:tc>
          <w:tcPr>
            <w:tcW w:type="dxa" w:w="2835"/>
            <w:vAlign w:val="center"/>
            <w:shd w:fill="D9EAF7"/>
          </w:tcPr>
          <w:p>
            <w:pPr>
              <w:jc w:val="left"/>
            </w:pPr>
            <w:r/>
            <w:r>
              <w:rPr>
                <w:b w:val="0"/>
                <w:sz w:val="16"/>
              </w:rPr>
              <w:t>PCR/pós-PCR/neuro</w:t>
            </w:r>
          </w:p>
        </w:tc>
        <w:tc>
          <w:tcPr>
            <w:tcW w:type="dxa" w:w="6236"/>
            <w:vAlign w:val="center"/>
          </w:tcPr>
          <w:p>
            <w:pPr>
              <w:jc w:val="left"/>
            </w:pPr>
            <w:r/>
            <w:r>
              <w:rPr>
                <w:b w:val="0"/>
                <w:sz w:val="16"/>
              </w:rPr>
              <w:t>Checklist pós-ROSC preenchido e plano neurológico documentado.</w:t>
            </w:r>
          </w:p>
        </w:tc>
      </w:tr>
    </w:tbl>
    <w:p>
      <w:pPr>
        <w:pStyle w:val="Heading1"/>
      </w:pPr>
      <w:r>
        <w:t>17. Referências essenciais</w:t>
      </w:r>
    </w:p>
    <w:p>
      <w:pPr>
        <w:pStyle w:val="SmallText"/>
      </w:pPr>
      <w:r>
        <w:t>As referências abaixo são fontes iniciais sugeridas. Antes da submissão final, a turma deve atualizar a busca, registrar data de acesso e adequar todas as referências ao estilo exigido pela instituição, como Vancouver ou ABNT.</w:t>
      </w:r>
    </w:p>
    <w:p>
      <w:pPr>
        <w:pStyle w:val="SmallText"/>
      </w:pPr>
      <w:r>
        <w:t xml:space="preserve">1. Comissão Nacional de Residência Médica - CNRM/MEC. Disponível em: </w:t>
      </w:r>
      <w:hyperlink r:id="rId11">
        <w:r>
          <w:rPr>
            <w:color w:val="0563C1"/>
            <w:u w:val="single"/>
          </w:rPr>
          <w:t>link</w:t>
        </w:r>
      </w:hyperlink>
      <w:r>
        <w:t>. Acesso em: 28 maio 2026.</w:t>
      </w:r>
    </w:p>
    <w:p>
      <w:pPr>
        <w:pStyle w:val="SmallText"/>
      </w:pPr>
      <w:r>
        <w:t xml:space="preserve">2. Normas e diretrizes para redação de TCC em Residência Médica - exemplo institucional. Disponível em: </w:t>
      </w:r>
      <w:hyperlink r:id="rId12">
        <w:r>
          <w:rPr>
            <w:color w:val="0563C1"/>
            <w:u w:val="single"/>
          </w:rPr>
          <w:t>link</w:t>
        </w:r>
      </w:hyperlink>
      <w:r>
        <w:t>. Acesso em: 28 maio 2026.</w:t>
      </w:r>
    </w:p>
    <w:p>
      <w:pPr>
        <w:pStyle w:val="SmallText"/>
      </w:pPr>
      <w:r>
        <w:t xml:space="preserve">3. Wolters Kluwer - Como citar tópicos do UpToDate e permissões. Disponível em: </w:t>
      </w:r>
      <w:hyperlink r:id="rId13">
        <w:r>
          <w:rPr>
            <w:color w:val="0563C1"/>
            <w:u w:val="single"/>
          </w:rPr>
          <w:t>link</w:t>
        </w:r>
      </w:hyperlink>
      <w:r>
        <w:t>. Acesso em: 28 maio 2026.</w:t>
      </w:r>
    </w:p>
    <w:p>
      <w:pPr>
        <w:pStyle w:val="SmallText"/>
      </w:pPr>
      <w:r>
        <w:t xml:space="preserve">4. AGREE II Instrument. Disponível em: </w:t>
      </w:r>
      <w:hyperlink r:id="rId14">
        <w:r>
          <w:rPr>
            <w:color w:val="0563C1"/>
            <w:u w:val="single"/>
          </w:rPr>
          <w:t>link</w:t>
        </w:r>
      </w:hyperlink>
      <w:r>
        <w:t>. Acesso em: 28 maio 2026.</w:t>
      </w:r>
    </w:p>
    <w:p>
      <w:pPr>
        <w:pStyle w:val="SmallText"/>
      </w:pPr>
      <w:r>
        <w:t xml:space="preserve">5. ADAPTE Resource Toolkit. Disponível em: </w:t>
      </w:r>
      <w:hyperlink r:id="rId15">
        <w:r>
          <w:rPr>
            <w:color w:val="0563C1"/>
            <w:u w:val="single"/>
          </w:rPr>
          <w:t>link</w:t>
        </w:r>
      </w:hyperlink>
      <w:r>
        <w:t>. Acesso em: 28 maio 2026.</w:t>
      </w:r>
    </w:p>
    <w:p>
      <w:pPr>
        <w:pStyle w:val="SmallText"/>
      </w:pPr>
      <w:r>
        <w:t xml:space="preserve">6. Surviving Sepsis Campaign 2021 - PubMed. Disponível em: </w:t>
      </w:r>
      <w:hyperlink r:id="rId16">
        <w:r>
          <w:rPr>
            <w:color w:val="0563C1"/>
            <w:u w:val="single"/>
          </w:rPr>
          <w:t>link</w:t>
        </w:r>
      </w:hyperlink>
      <w:r>
        <w:t>. Acesso em: 28 maio 2026.</w:t>
      </w:r>
    </w:p>
    <w:p>
      <w:pPr>
        <w:pStyle w:val="SmallText"/>
      </w:pPr>
      <w:r>
        <w:t xml:space="preserve">7. ATS Clinical Practice Guideline for ARDS - American Journal of Respiratory and Critical Care Medicine. Disponível em: </w:t>
      </w:r>
      <w:hyperlink r:id="rId17">
        <w:r>
          <w:rPr>
            <w:color w:val="0563C1"/>
            <w:u w:val="single"/>
          </w:rPr>
          <w:t>link</w:t>
        </w:r>
      </w:hyperlink>
      <w:r>
        <w:t>. Acesso em: 28 maio 2026.</w:t>
      </w:r>
    </w:p>
    <w:p>
      <w:pPr>
        <w:pStyle w:val="SmallText"/>
      </w:pPr>
      <w:r>
        <w:t xml:space="preserve">8. SCCM PADIS Guidelines. Disponível em: </w:t>
      </w:r>
      <w:hyperlink r:id="rId18">
        <w:r>
          <w:rPr>
            <w:color w:val="0563C1"/>
            <w:u w:val="single"/>
          </w:rPr>
          <w:t>link</w:t>
        </w:r>
      </w:hyperlink>
      <w:r>
        <w:t>. Acesso em: 28 maio 2026.</w:t>
      </w:r>
    </w:p>
    <w:p>
      <w:pPr>
        <w:pStyle w:val="SmallText"/>
      </w:pPr>
      <w:r>
        <w:t xml:space="preserve">9. KDIGO Acute Kidney Injury Guidelines. Disponível em: </w:t>
      </w:r>
      <w:hyperlink r:id="rId19">
        <w:r>
          <w:rPr>
            <w:color w:val="0563C1"/>
            <w:u w:val="single"/>
          </w:rPr>
          <w:t>link</w:t>
        </w:r>
      </w:hyperlink>
      <w:r>
        <w:t>. Acesso em: 28 maio 2026.</w:t>
      </w:r>
    </w:p>
    <w:p>
      <w:pPr>
        <w:pStyle w:val="SmallText"/>
      </w:pPr>
      <w:r>
        <w:t xml:space="preserve">10. ASPEN/SCCM Nutrition Support Guidelines - PubMed. Disponível em: </w:t>
      </w:r>
      <w:hyperlink r:id="rId20">
        <w:r>
          <w:rPr>
            <w:color w:val="0563C1"/>
            <w:u w:val="single"/>
          </w:rPr>
          <w:t>link</w:t>
        </w:r>
      </w:hyperlink>
      <w:r>
        <w:t>. Acesso em: 28 maio 2026.</w:t>
      </w:r>
    </w:p>
    <w:p>
      <w:pPr>
        <w:pStyle w:val="SmallText"/>
      </w:pPr>
      <w:r>
        <w:t xml:space="preserve">11. ADA Standards of Care. Disponível em: </w:t>
      </w:r>
      <w:hyperlink r:id="rId21">
        <w:r>
          <w:rPr>
            <w:color w:val="0563C1"/>
            <w:u w:val="single"/>
          </w:rPr>
          <w:t>link</w:t>
        </w:r>
      </w:hyperlink>
      <w:r>
        <w:t>. Acesso em: 28 maio 2026.</w:t>
      </w:r>
    </w:p>
    <w:p>
      <w:pPr>
        <w:pStyle w:val="SmallText"/>
      </w:pPr>
      <w:r>
        <w:t xml:space="preserve">12. AABB International Guidelines on Red Blood Cell Transfusion - PubMed. Disponível em: </w:t>
      </w:r>
      <w:hyperlink r:id="rId22">
        <w:r>
          <w:rPr>
            <w:color w:val="0563C1"/>
            <w:u w:val="single"/>
          </w:rPr>
          <w:t>link</w:t>
        </w:r>
      </w:hyperlink>
      <w:r>
        <w:t>. Acesso em: 28 maio 2026.</w:t>
      </w:r>
    </w:p>
    <w:p>
      <w:pPr>
        <w:pStyle w:val="SmallText"/>
      </w:pPr>
      <w:r>
        <w:t xml:space="preserve">13. ASH Guidelines for VTE prophylaxis in medical patients. Disponível em: </w:t>
      </w:r>
      <w:hyperlink r:id="rId23">
        <w:r>
          <w:rPr>
            <w:color w:val="0563C1"/>
            <w:u w:val="single"/>
          </w:rPr>
          <w:t>link</w:t>
        </w:r>
      </w:hyperlink>
      <w:r>
        <w:t>. Acesso em: 28 maio 2026.</w:t>
      </w:r>
    </w:p>
    <w:p>
      <w:pPr>
        <w:pStyle w:val="SmallText"/>
      </w:pPr>
      <w:r>
        <w:t xml:space="preserve">14. Resolução CNS 466/2012. Disponível em: </w:t>
      </w:r>
      <w:hyperlink r:id="rId24">
        <w:r>
          <w:rPr>
            <w:color w:val="0563C1"/>
            <w:u w:val="single"/>
          </w:rPr>
          <w:t>link</w:t>
        </w:r>
      </w:hyperlink>
      <w:r>
        <w:t>. Acesso em: 28 maio 2026.</w:t>
      </w:r>
    </w:p>
    <w:p>
      <w:pPr>
        <w:pStyle w:val="SmallText"/>
      </w:pPr>
      <w:r>
        <w:t xml:space="preserve">15. Carta Circular CONEP sobre relato de caso. Disponível em: </w:t>
      </w:r>
      <w:hyperlink r:id="rId25">
        <w:r>
          <w:rPr>
            <w:color w:val="0563C1"/>
            <w:u w:val="single"/>
          </w:rPr>
          <w:t>link</w:t>
        </w:r>
      </w:hyperlink>
      <w:r>
        <w:t>. Acesso em: 28 maio 2026.</w:t>
      </w:r>
    </w:p>
    <w:p>
      <w:pPr>
        <w:pStyle w:val="Heading1"/>
      </w:pPr>
      <w:r>
        <w:t>Fechamento prático</w:t>
      </w:r>
    </w:p>
    <w:tbl>
      <w:tblPr>
        <w:tblW w:type="auto" w:w="0"/>
        <w:jc w:val="center"/>
        <w:tblLayout w:type="autofit"/>
        <w:tblLook w:firstColumn="1" w:firstRow="1" w:lastColumn="0" w:lastRow="0" w:noHBand="0" w:noVBand="1" w:val="04A0"/>
      </w:tblPr>
      <w:tblGrid>
        <w:gridCol w:w="10200"/>
      </w:tblGrid>
      <w:tr>
        <w:tc>
          <w:tcPr>
            <w:tcW w:type="dxa" w:w="10200"/>
            <w:shd w:fill="DDEBF7"/>
          </w:tcPr>
          <w:p>
            <w:r>
              <w:rPr>
                <w:b/>
                <w:color w:val="1F4E79"/>
                <w:sz w:val="21"/>
              </w:rPr>
              <w:t>Próximo melhor passo</w:t>
            </w:r>
          </w:p>
          <w:p>
            <w:r>
              <w:rPr>
                <w:sz w:val="20"/>
              </w:rPr>
              <w:t>Levar uma versão resumida deste projeto à COREME/orientador antes de iniciar a escrita dos capítulos. Após aprovação, montar a matriz PICO, dividir autores, criar cronograma e iniciar busca bibliográfica capítulo por capítulo.</w:t>
            </w:r>
          </w:p>
        </w:tc>
      </w:tr>
    </w:tbl>
    <w:p>
      <w:pPr>
        <w:pStyle w:val="ListBullet"/>
      </w:pPr>
      <w:r>
        <w:rPr>
          <w:sz w:val="21"/>
        </w:rPr>
        <w:t>Versão 1 ideal para apresentação: 5 a 8 páginas com resumo, justificativa, objetivos, método e cronograma.</w:t>
      </w:r>
    </w:p>
    <w:p>
      <w:pPr>
        <w:pStyle w:val="ListBullet"/>
      </w:pPr>
      <w:r>
        <w:rPr>
          <w:sz w:val="21"/>
        </w:rPr>
        <w:t>Versão completa para execução: este documento expandido, com anexos e modelos.</w:t>
      </w:r>
    </w:p>
    <w:p>
      <w:pPr>
        <w:pStyle w:val="ListBullet"/>
      </w:pPr>
      <w:r>
        <w:rPr>
          <w:sz w:val="21"/>
        </w:rPr>
        <w:t>Versão final para defesa: TCC metodológico + livro/manual diagramado + relatório de validação.</w:t>
      </w:r>
    </w:p>
    <w:p>
      <w:pPr>
        <w:pStyle w:val="ListBullet"/>
      </w:pPr>
      <w:r>
        <w:rPr>
          <w:sz w:val="21"/>
        </w:rPr>
        <w:t>Versão publicável: artigo científico metodológico + livro com ISBN.</w:t>
      </w:r>
    </w:p>
    <w:sectPr w:rsidR="00FC693F" w:rsidRPr="0006063C" w:rsidSect="00034616">
      <w:headerReference w:type="default" r:id="rId9"/>
      <w:footerReference w:type="default" r:id="rId10"/>
      <w:pgSz w:w="12240" w:h="15840"/>
      <w:pgMar w:top="1020" w:right="1020" w:bottom="124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Projeto de TCC | Livro de Protocolos de UTI Adulto | Versão preliminar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eastAsia="Arial"/>
      <w:b/>
      <w:bCs/>
      <w:i/>
      <w:iCs/>
      <w:color w:val="40404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v.br/mec/pt-br/residencia-medica/comissao-nacional-de-residencia-medica-cnrm" TargetMode="External"/><Relationship Id="rId12" Type="http://schemas.openxmlformats.org/officeDocument/2006/relationships/hyperlink" Target="https://prefeitura.sp.gov.br/cidade/secretarias/upload/saude/hospital_do_servidor_publico_municipal/Biblioteca/Normas%20e%20Diretrizes%20para%20Reda%C3%A7%C3%A3o%20de%20Trabalhos%20de%20Conclus%C3%A3o%20de%20Resid%C3%AAncia%20M%C3%A9dica.pdf" TargetMode="External"/><Relationship Id="rId13" Type="http://schemas.openxmlformats.org/officeDocument/2006/relationships/hyperlink" Target="https://www.wolterskluwer.com/en/solutions/uptodate/resources/cite-a-topic" TargetMode="External"/><Relationship Id="rId14" Type="http://schemas.openxmlformats.org/officeDocument/2006/relationships/hyperlink" Target="https://www.agreetrust.org/wp-content/uploads/2017/12/AGREE-II-Users-Manual-and-23-item-Instrument-2009-Update-2017.pdf" TargetMode="External"/><Relationship Id="rId15" Type="http://schemas.openxmlformats.org/officeDocument/2006/relationships/hyperlink" Target="https://g-i-n.net/wp-content/uploads/2021/03/ADAPTE-Resource-toolkit-March-2010.pdf" TargetMode="External"/><Relationship Id="rId16" Type="http://schemas.openxmlformats.org/officeDocument/2006/relationships/hyperlink" Target="https://pubmed.ncbi.nlm.nih.gov/34599691/" TargetMode="External"/><Relationship Id="rId17" Type="http://schemas.openxmlformats.org/officeDocument/2006/relationships/hyperlink" Target="https://academic.oup.com/ajrccm/article/209/1/24/8427573" TargetMode="External"/><Relationship Id="rId18" Type="http://schemas.openxmlformats.org/officeDocument/2006/relationships/hyperlink" Target="https://www.sccm.org/clinical-resources/guidelines/guidelines/guidelines-for-the-prevention-and-management-of-pa" TargetMode="External"/><Relationship Id="rId19" Type="http://schemas.openxmlformats.org/officeDocument/2006/relationships/hyperlink" Target="https://kdigo.org/guidelines/acute-kidney-injury/" TargetMode="External"/><Relationship Id="rId20" Type="http://schemas.openxmlformats.org/officeDocument/2006/relationships/hyperlink" Target="https://pubmed.ncbi.nlm.nih.gov/26773077/" TargetMode="External"/><Relationship Id="rId21" Type="http://schemas.openxmlformats.org/officeDocument/2006/relationships/hyperlink" Target="https://professional.diabetes.org/standards-of-care" TargetMode="External"/><Relationship Id="rId22" Type="http://schemas.openxmlformats.org/officeDocument/2006/relationships/hyperlink" Target="https://pubmed.ncbi.nlm.nih.gov/37824153/" TargetMode="External"/><Relationship Id="rId23" Type="http://schemas.openxmlformats.org/officeDocument/2006/relationships/hyperlink" Target="https://www.hematology.org/education/clinicians/guidelines-and-quality-care/clinical-practice-guidelines/venous-thromboembolism-guidelines/prophylaxis-for-medical-patients" TargetMode="External"/><Relationship Id="rId24" Type="http://schemas.openxmlformats.org/officeDocument/2006/relationships/hyperlink" Target="https://bvsms.saude.gov.br/bvs/saudelegis/cns/2013/res0466_12_12_2012.html" TargetMode="External"/><Relationship Id="rId25" Type="http://schemas.openxmlformats.org/officeDocument/2006/relationships/hyperlink" Target="https://www.gov.br/conselho-nacional-de-saude/pt-br/camaras-tecnicas-e-comissoes/conep/legislacao/cartas-circulares/carta-circular-no-166-de-12-de-junho-dede-2018.pdf/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TCC - Livro de Protocolos de UTI Adulto</dc:title>
  <dc:subject>Residência médica em Medicina Intensiva; protocolos; UTI; TCC; produto técnico-científico</dc:subject>
  <dc:creator>ChatGPT</dc:creator>
  <cp:keywords>UTI, Medicina Intensiva, TCC, protocolos, residência médica, UpToDate, Delphi, GRADE, AGREE II</cp:keywords>
  <dc:description>Documento gerado como modelo preliminar; adaptar às normas da instituição.</dc:description>
  <cp:lastModifiedBy/>
  <cp:revision>1</cp:revision>
  <dcterms:created xsi:type="dcterms:W3CDTF">2013-12-23T23:15:00Z</dcterms:created>
  <dcterms:modified xsi:type="dcterms:W3CDTF">2013-12-23T23:15:00Z</dcterms:modified>
  <cp:category/>
</cp:coreProperties>
</file>