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52" w:lineRule="auto"/>
        <w:jc w:val="center"/>
      </w:pPr>
      <w:r>
        <w:rPr>
          <w:b/>
          <w:color w:val="1F4E79"/>
          <w:sz w:val="44"/>
        </w:rPr>
        <w:br/>
        <w:br/>
        <w:t>PROTOCOLO PRÁTICO E REVISÃO CLÍNICA</w:t>
        <w:br/>
      </w:r>
      <w:r>
        <w:rPr>
          <w:b/>
          <w:color w:val="2F5496"/>
          <w:sz w:val="36"/>
        </w:rPr>
        <w:t>Trombocitopenia Imune Primária (PTI)</w:t>
        <w:br/>
        <w:t>em paciente internado em enfermaria de Clínica Médica</w:t>
        <w:br/>
      </w:r>
      <w:r>
        <w:rPr>
          <w:color w:val="505050"/>
          <w:sz w:val="24"/>
        </w:rPr>
        <w:br/>
        <w:t>Versão 2026 | foco em conduta de enfermaria, diagnóstico diferencial e segurança terapêutica</w:t>
        <w:br/>
      </w:r>
      <w:r>
        <w:rPr>
          <w:i/>
          <w:sz w:val="20"/>
        </w:rPr>
        <w:br/>
        <w:t>Elaborado para uso médico como apoio ao raciocínio clínico.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2F0D9"/>
          </w:tcPr>
          <w:p>
            <w:r>
              <w:rPr>
                <w:b/>
                <w:color w:val="1F4E79"/>
                <w:sz w:val="20"/>
              </w:rPr>
              <w:t>Mensagem central em 30 segundos</w:t>
            </w:r>
          </w:p>
          <w:p>
            <w:pPr>
              <w:spacing w:after="0"/>
            </w:pPr>
            <w:r>
              <w:rPr>
                <w:sz w:val="18"/>
              </w:rPr>
              <w:t>PTI é diagnóstico de exclusão diante de trombocitopenia isolada, geralmente &lt;100.000/mm3, após afastar pseudotrombocitopenia, microangiopatia trombótica, CIVD/sepse, doença medular, fármacos, hepatopatia/hiperesplenismo e causas secundárias como HIV, HCV, HBV, LES, imunodeficiência e linfoproliferação.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Na enfermaria, a conduta é guiada mais por sangramento, risco e contexto do que pelo número isolado de plaquetas. O objetivo é alcançar hemostasia segura, não normalizar plaquetas.</w:t>
            </w:r>
            <w:r>
              <w:br/>
            </w:r>
          </w:p>
        </w:tc>
      </w:tr>
    </w:tbl>
    <w:p>
      <w:pPr>
        <w:spacing w:after="80" w:line="252" w:lineRule="auto"/>
      </w:pPr>
      <w:r>
        <w:br w:type="page"/>
      </w:r>
    </w:p>
    <w:p>
      <w:pPr>
        <w:pStyle w:val="Heading1"/>
        <w:spacing w:after="80" w:line="252" w:lineRule="auto"/>
      </w:pPr>
      <w:r>
        <w:t>Sumário operacional</w:t>
      </w:r>
    </w:p>
    <w:p>
      <w:pPr>
        <w:spacing w:after="80" w:line="252" w:lineRule="auto"/>
      </w:pPr>
      <w:r>
        <w:rPr>
          <w:sz w:val="20"/>
        </w:rPr>
        <w:t>1. Resumo executivo para plantão</w:t>
      </w:r>
    </w:p>
    <w:p>
      <w:pPr>
        <w:spacing w:after="80" w:line="252" w:lineRule="auto"/>
      </w:pPr>
      <w:r>
        <w:rPr>
          <w:sz w:val="20"/>
        </w:rPr>
        <w:t>2. Definições, fisiopatologia e classificação</w:t>
      </w:r>
    </w:p>
    <w:p>
      <w:pPr>
        <w:spacing w:after="80" w:line="252" w:lineRule="auto"/>
      </w:pPr>
      <w:r>
        <w:rPr>
          <w:sz w:val="20"/>
        </w:rPr>
        <w:t>3. Quando suspeitar de PTI na enfermaria</w:t>
      </w:r>
    </w:p>
    <w:p>
      <w:pPr>
        <w:spacing w:after="80" w:line="252" w:lineRule="auto"/>
      </w:pPr>
      <w:r>
        <w:rPr>
          <w:sz w:val="20"/>
        </w:rPr>
        <w:t>4. Diagnóstico inicial e exames mínimos</w:t>
      </w:r>
    </w:p>
    <w:p>
      <w:pPr>
        <w:spacing w:after="80" w:line="252" w:lineRule="auto"/>
      </w:pPr>
      <w:r>
        <w:rPr>
          <w:sz w:val="20"/>
        </w:rPr>
        <w:t>5. Diagnóstico diferencial estruturado</w:t>
      </w:r>
    </w:p>
    <w:p>
      <w:pPr>
        <w:spacing w:after="80" w:line="252" w:lineRule="auto"/>
      </w:pPr>
      <w:r>
        <w:rPr>
          <w:sz w:val="20"/>
        </w:rPr>
        <w:t>6. Estratificação de risco e decisão de internar/tratar</w:t>
      </w:r>
    </w:p>
    <w:p>
      <w:pPr>
        <w:spacing w:after="80" w:line="252" w:lineRule="auto"/>
      </w:pPr>
      <w:r>
        <w:rPr>
          <w:sz w:val="20"/>
        </w:rPr>
        <w:t>7. Protocolo de conduta nas primeiras 24 horas</w:t>
      </w:r>
    </w:p>
    <w:p>
      <w:pPr>
        <w:spacing w:after="80" w:line="252" w:lineRule="auto"/>
      </w:pPr>
      <w:r>
        <w:rPr>
          <w:sz w:val="20"/>
        </w:rPr>
        <w:t>8. Tratamento de primeira linha</w:t>
      </w:r>
    </w:p>
    <w:p>
      <w:pPr>
        <w:spacing w:after="80" w:line="252" w:lineRule="auto"/>
      </w:pPr>
      <w:r>
        <w:rPr>
          <w:sz w:val="20"/>
        </w:rPr>
        <w:t>9. Sangramento grave ou crítico: pacote de emergência</w:t>
      </w:r>
    </w:p>
    <w:p>
      <w:pPr>
        <w:spacing w:after="80" w:line="252" w:lineRule="auto"/>
      </w:pPr>
      <w:r>
        <w:rPr>
          <w:sz w:val="20"/>
        </w:rPr>
        <w:t>10. Segunda linha, refratariedade e transição para ambulatório</w:t>
      </w:r>
    </w:p>
    <w:p>
      <w:pPr>
        <w:spacing w:after="80" w:line="252" w:lineRule="auto"/>
      </w:pPr>
      <w:r>
        <w:rPr>
          <w:sz w:val="20"/>
        </w:rPr>
        <w:t>11. Situações especiais: procedimentos, anticoagulação, gestação e idosos</w:t>
      </w:r>
    </w:p>
    <w:p>
      <w:pPr>
        <w:spacing w:after="80" w:line="252" w:lineRule="auto"/>
      </w:pPr>
      <w:r>
        <w:rPr>
          <w:sz w:val="20"/>
        </w:rPr>
        <w:t>12. Alta, seguimento, checklist e modelo de evolução</w:t>
      </w:r>
    </w:p>
    <w:p>
      <w:pPr>
        <w:spacing w:after="80" w:line="252" w:lineRule="auto"/>
      </w:pPr>
      <w:r>
        <w:rPr>
          <w:sz w:val="20"/>
        </w:rPr>
        <w:t>13. Peculiaridades, armadilhas e tópicos de aprofundamento</w:t>
      </w:r>
    </w:p>
    <w:p>
      <w:pPr>
        <w:spacing w:after="80" w:line="252" w:lineRule="auto"/>
      </w:pPr>
      <w:r>
        <w:rPr>
          <w:sz w:val="20"/>
        </w:rPr>
        <w:t>14. Referências</w:t>
      </w:r>
    </w:p>
    <w:p>
      <w:pPr>
        <w:pStyle w:val="Heading1"/>
        <w:spacing w:after="80" w:line="252" w:lineRule="auto"/>
      </w:pPr>
      <w:r>
        <w:t>1. Resumo executivo para plantão</w:t>
      </w:r>
    </w:p>
    <w:p>
      <w:pPr>
        <w:spacing w:after="80" w:line="252" w:lineRule="auto"/>
      </w:pPr>
      <w:r>
        <w:rPr>
          <w:sz w:val="20"/>
        </w:rPr>
        <w:t>A Trombocitopenia Imune Primária (PTI) é uma doença autoimune adquirida em que há queda transitória ou persistente das plaquetas por destruição periférica imunomediada e produção plaquetária inadequada; é definida, na prática, como trombocitopenia isolada sem outra causa demonstrável. O PCDT brasileiro vigente foi aprovado pela Portaria Conjunta nº 41/2026 e deve orientar a organização de acesso terapêutico no SUS.</w:t>
      </w:r>
      <w:r>
        <w:rPr>
          <w:color w:val="5A5A5A"/>
          <w:sz w:val="16"/>
        </w:rPr>
        <w:t xml:space="preserve"> [1]</w:t>
      </w:r>
    </w:p>
    <w:p>
      <w:pPr>
        <w:spacing w:after="80" w:line="252" w:lineRule="auto"/>
      </w:pPr>
      <w:r>
        <w:rPr>
          <w:sz w:val="20"/>
        </w:rPr>
        <w:t>Na enfermaria de Clínica Médica, o internista deve responder rapidamente a 5 perguntas: é plaquetopenia verdadeira? é trombocitopenia isolada? existe sangramento ou local crítico? existe uma causa alternativa perigosa? o paciente precisa de aumento rápido das plaquetas?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Pergunta de plantão</w:t>
            </w:r>
          </w:p>
        </w:tc>
        <w:tc>
          <w:tcPr>
            <w:tcW w:type="dxa" w:w="336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Resposta prática</w:t>
            </w:r>
          </w:p>
        </w:tc>
        <w:tc>
          <w:tcPr>
            <w:tcW w:type="dxa" w:w="336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Erro a evitar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Plaquetopenia verdadeira?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Repetir hemograma e revisar esfregaço; se houver agregados, coletar em citrato/heparina conforme disponibilidade.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Tratar pseudotrombocitopenia por EDTA como PTI.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Trombocitopenia isolada?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Hemoglobina/leucócitos preservados e sem esquizócitos favorecem PTI. Anemia hemolítica, disfunção renal/neuro ou coagulação alterada mudam o diagnóstico.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Chamar de PTI uma microangiopatia trombótica ou CIVD.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Há sangramento relevante?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Mucoso volumoso, GI/GU, queda de Hb, instabilidade ou local crítico exigem pacote de emergência.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Transfundir plaquetas isoladamente sem imunomodulação em sangramento crítico.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Precisa tratar pelo número?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&lt;30.000/mm3 em adulto recém-diagnosticado geralmente indica tratamento; ≥30.000/mm3 sem sangramento pode ser observado, salvo alto risco.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Normalizar plaquetas como meta.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Há fatores modificadores?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Idoso, AAS/anticoagulante, queda, procedimento, HAS não controlada, epilepsia, nefropatia, hepatopatia, infecção ativa e fragilidade social pesam na decisão.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Aplicar limiar fixo sem contexto.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FF2CC"/>
          </w:tcPr>
          <w:p>
            <w:r>
              <w:rPr>
                <w:b/>
                <w:color w:val="1F4E79"/>
                <w:sz w:val="20"/>
              </w:rPr>
              <w:t>Conduta-relâmpago para enfermaria</w:t>
            </w:r>
          </w:p>
          <w:p>
            <w:pPr>
              <w:spacing w:after="0"/>
            </w:pPr>
            <w:r>
              <w:rPr>
                <w:sz w:val="18"/>
              </w:rPr>
              <w:t>1) Confirmar plaquetopenia e revisar lâmina.</w:t>
            </w:r>
            <w:r>
              <w:br/>
            </w:r>
            <w:r>
              <w:rPr>
                <w:sz w:val="18"/>
              </w:rPr>
              <w:t>2) Suspender AAS/AINEs/antiagregantes se possível, anticoagulação conforme risco, e evitar IM/trauma.</w:t>
            </w:r>
            <w:r>
              <w:br/>
            </w:r>
            <w:r>
              <w:rPr>
                <w:sz w:val="18"/>
              </w:rPr>
              <w:t>3) Se plaquetas &lt;30.000/mm3 ou sangramento: iniciar corticoide, salvo contraindicação.</w:t>
            </w:r>
            <w:r>
              <w:br/>
            </w:r>
            <w:r>
              <w:rPr>
                <w:sz w:val="18"/>
              </w:rPr>
              <w:t>4) Se sangramento mucoso importante, necessidade de procedimento ou resposta rápida: associar IVIg.</w:t>
            </w:r>
            <w:r>
              <w:br/>
            </w:r>
            <w:r>
              <w:rPr>
                <w:sz w:val="18"/>
              </w:rPr>
              <w:t>5) Se sangramento crítico: metilprednisolona EV + IVIg + plaquetas + suporte hemostático + Hematologia/UTI.</w:t>
            </w:r>
            <w:r>
              <w:br/>
            </w:r>
            <w:r>
              <w:rPr>
                <w:sz w:val="18"/>
              </w:rPr>
              <w:t>6) Se refratário/dependente de corticoide: planejar segunda linha e evitar ciclos prolongados de esteroide.</w:t>
            </w:r>
            <w:r>
              <w:br/>
            </w:r>
          </w:p>
        </w:tc>
      </w:tr>
    </w:tbl>
    <w:p>
      <w:pPr>
        <w:pStyle w:val="Heading1"/>
        <w:spacing w:after="80" w:line="252" w:lineRule="auto"/>
      </w:pPr>
      <w:r>
        <w:t>2. Definições, fisiopatologia e classificação</w:t>
      </w:r>
    </w:p>
    <w:p>
      <w:pPr>
        <w:spacing w:after="80" w:line="252" w:lineRule="auto"/>
      </w:pPr>
      <w:r>
        <w:rPr>
          <w:sz w:val="20"/>
        </w:rPr>
        <w:t>O termo atual preferido é “trombocitopenia imune” porque nem todos os pacientes apresentam púrpura e porque o mecanismo é imune, não idiopático no sentido clássico. A PTI primária é isolada; a PTI secundária ocorre associada a doenças sistêmicas, infecções, neoplasias ou medicamentos.</w:t>
      </w:r>
      <w:r>
        <w:rPr>
          <w:color w:val="5A5A5A"/>
          <w:sz w:val="16"/>
        </w:rPr>
        <w:t xml:space="preserve"> [1][4]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Classificação temporal</w:t>
            </w:r>
          </w:p>
        </w:tc>
        <w:tc>
          <w:tcPr>
            <w:tcW w:type="dxa" w:w="336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Definição prática</w:t>
            </w:r>
          </w:p>
        </w:tc>
        <w:tc>
          <w:tcPr>
            <w:tcW w:type="dxa" w:w="336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Implicação clínica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Recém-diagnosticada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 a 3 meses do diagnóstico.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Maior incerteza diagnóstica; confirmar exclusão de causas perigosas.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Persistente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3 a 12 meses.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Reavaliar necessidade de segunda linha se dependência ou falha ao corticoide.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Crônica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&gt;12 meses.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Pensar em terapia poupadora de corticoide, TPO-RA, rituximabe, outras opções ou esplenectomia selecionada.</w:t>
            </w:r>
          </w:p>
        </w:tc>
      </w:tr>
    </w:tbl>
    <w:p>
      <w:pPr>
        <w:spacing w:after="80" w:line="252" w:lineRule="auto"/>
      </w:pPr>
      <w:r>
        <w:rPr>
          <w:sz w:val="20"/>
        </w:rPr>
        <w:t>A fisiopatologia envolve autoanticorpos contra glicoproteínas plaquetárias, fagocitose esplênica/hepática, disfunção de linfócitos T e B, e inibição da megacariopoiese. Como não existe teste confirmatório único, a segurança do diagnóstico depende de boa história, exame físico, hemograma, esfregaço e exclusão das principais causas alternativas.</w:t>
      </w:r>
      <w:r>
        <w:rPr>
          <w:color w:val="5A5A5A"/>
          <w:sz w:val="16"/>
        </w:rPr>
        <w:t xml:space="preserve"> [1][4][12]</w:t>
      </w:r>
    </w:p>
    <w:p>
      <w:pPr>
        <w:pStyle w:val="Heading1"/>
        <w:spacing w:after="80" w:line="252" w:lineRule="auto"/>
      </w:pPr>
      <w:r>
        <w:t>3. Quando suspeitar de PTI na enfermaria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Achado que favorece PTI</w:t>
            </w:r>
          </w:p>
        </w:tc>
        <w:tc>
          <w:tcPr>
            <w:tcW w:type="dxa" w:w="5046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Achado que joga contra PTI típica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Plaquetopenia isolada, muitas vezes &lt;100.000/mm3.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Anemia importante não explicada, leucopenia/leucocitose atípica ou pancitopenia.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Petéquias, equimoses, púrpura seca, epistaxe/gengivorragia, menorragia.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Esquizócitos, DHL elevada com hemólise, insuficiência renal aguda, sintomas neurológicos.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Baço não aumentado ou apenas discretamente palpável.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Esplenomegalia importante, linfonodomegalias, sintomas B, hepatopatia avançada.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TP/TTPa/fibrinogênio geralmente normais.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Coagulopatia, hipofibrinogenemia, D-dímero muito elevado, sepse/choque.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Plaquetas grandes podem aparecer no esfregaço.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Blastos, displasia, plaquetas gigantes uniformes desde longa data, neutrófilos hipersegmentados.</w:t>
            </w:r>
          </w:p>
        </w:tc>
      </w:tr>
    </w:tbl>
    <w:p>
      <w:pPr>
        <w:pStyle w:val="ListBullet"/>
        <w:spacing w:after="80" w:line="252" w:lineRule="auto"/>
      </w:pPr>
      <w:r>
        <w:rPr>
          <w:sz w:val="20"/>
        </w:rPr>
        <w:t>Pense em PTI quando a plaquetopenia é desproporcional ao restante do hemograma e não há sinais de consumo, falência medular, hiperesplenismo ou fármaco óbvio.</w:t>
      </w:r>
      <w:r>
        <w:rPr>
          <w:color w:val="5A5A5A"/>
          <w:sz w:val="16"/>
        </w:rPr>
        <w:t xml:space="preserve"> [1][3][4]</w:t>
      </w:r>
    </w:p>
    <w:p>
      <w:pPr>
        <w:pStyle w:val="ListBullet"/>
        <w:spacing w:after="80" w:line="252" w:lineRule="auto"/>
      </w:pPr>
      <w:r>
        <w:rPr>
          <w:sz w:val="20"/>
        </w:rPr>
        <w:t>A gravidade do sangramento se correlaciona imperfeitamente com o número de plaquetas; idosos, AINEs, antiagregantes, anticoagulantes, HAS e comorbidades elevam risco.</w:t>
      </w:r>
      <w:r>
        <w:rPr>
          <w:color w:val="5A5A5A"/>
          <w:sz w:val="16"/>
        </w:rPr>
        <w:t xml:space="preserve"> [1][3][4]</w:t>
      </w:r>
    </w:p>
    <w:p>
      <w:pPr>
        <w:pStyle w:val="ListBullet"/>
        <w:spacing w:after="80" w:line="252" w:lineRule="auto"/>
      </w:pPr>
      <w:r>
        <w:rPr>
          <w:sz w:val="20"/>
        </w:rPr>
        <w:t>Sangramento de pele isolado é diferente de sangramento mucoso volumoso; mucosa “molhada” geralmente sinaliza maior risco de sangramento clinicamente relevante.</w:t>
      </w:r>
      <w:r>
        <w:rPr>
          <w:color w:val="5A5A5A"/>
          <w:sz w:val="16"/>
        </w:rPr>
        <w:t xml:space="preserve"> [1][3][4]</w:t>
      </w:r>
    </w:p>
    <w:p>
      <w:pPr>
        <w:pStyle w:val="Heading1"/>
        <w:spacing w:after="80" w:line="252" w:lineRule="auto"/>
      </w:pPr>
      <w:r>
        <w:t>4. Diagnóstico inicial e exames mínimos</w:t>
      </w:r>
    </w:p>
    <w:p>
      <w:pPr>
        <w:pStyle w:val="Heading2"/>
        <w:spacing w:after="80" w:line="252" w:lineRule="auto"/>
      </w:pPr>
      <w:r>
        <w:t>4.1 Primeiro bloco: confirmar que a plaquetopenia é real</w:t>
      </w:r>
    </w:p>
    <w:p>
      <w:pPr>
        <w:pStyle w:val="ListNumber"/>
        <w:spacing w:after="80" w:line="252" w:lineRule="auto"/>
      </w:pPr>
      <w:r>
        <w:rPr>
          <w:sz w:val="20"/>
        </w:rPr>
        <w:t>Repetir hemograma com plaquetometria e solicitar revisão manual quando o resultado for inesperado, muito baixo ou incompatível com clínica.</w:t>
      </w:r>
      <w:r>
        <w:rPr>
          <w:color w:val="5A5A5A"/>
          <w:sz w:val="16"/>
        </w:rPr>
        <w:t xml:space="preserve"> [1][8]</w:t>
      </w:r>
    </w:p>
    <w:p>
      <w:pPr>
        <w:pStyle w:val="ListNumber"/>
        <w:spacing w:after="80" w:line="252" w:lineRule="auto"/>
      </w:pPr>
      <w:r>
        <w:rPr>
          <w:sz w:val="20"/>
        </w:rPr>
        <w:t>Revisar esfregaço periférico recém-colhido: agregados plaquetários, satelitismo plaquetário, esquizócitos, blastos, displasia, macroplaquetas, neutrófilos hipersegmentados.</w:t>
      </w:r>
      <w:r>
        <w:rPr>
          <w:color w:val="5A5A5A"/>
          <w:sz w:val="16"/>
        </w:rPr>
        <w:t xml:space="preserve"> [1][8]</w:t>
      </w:r>
    </w:p>
    <w:p>
      <w:pPr>
        <w:pStyle w:val="ListNumber"/>
        <w:spacing w:after="80" w:line="252" w:lineRule="auto"/>
      </w:pPr>
      <w:r>
        <w:rPr>
          <w:sz w:val="20"/>
        </w:rPr>
        <w:t>Se suspeita de pseudotrombocitopenia por EDTA, coletar em tubo com citrato de sódio, lembrando que raramente agregação também pode ocorrer com citrato/heparina.</w:t>
      </w:r>
      <w:r>
        <w:rPr>
          <w:color w:val="5A5A5A"/>
          <w:sz w:val="16"/>
        </w:rPr>
        <w:t xml:space="preserve"> [1][8]</w:t>
      </w:r>
    </w:p>
    <w:p>
      <w:pPr>
        <w:pStyle w:val="Heading2"/>
        <w:spacing w:after="80" w:line="252" w:lineRule="auto"/>
      </w:pPr>
      <w:r>
        <w:t>4.2 Exames iniciais recomendados no adulto internado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Categoria</w:t>
            </w:r>
          </w:p>
        </w:tc>
        <w:tc>
          <w:tcPr>
            <w:tcW w:type="dxa" w:w="336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Exames práticos</w:t>
            </w:r>
          </w:p>
        </w:tc>
        <w:tc>
          <w:tcPr>
            <w:tcW w:type="dxa" w:w="336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Por quê?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Obrigatórios/alto rendimento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Hemograma com diferencial, reticulócitos, esfregaço periférico, TP/INR, TTPa, fibrinogênio, D-dímero, creatinina/ureia, eletrólitos, AST/ALT/GGT/FA/bilirrubinas, DHL, haptoglobina, bilirrubina indireta, Coombs direto se anemia/hemólise.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Confirmar padrão isolado e afastar TMA/CIVD/hemólise/doença hepática.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Infecções/causas secundárias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HIV, HCV e HBV em adultos; H. pylori em formas crônicas ou sintomas GI; EBV/CMV se quadro compatível.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Infecções crônicas podem se manifestar inicialmente como trombocitopenia.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Autoimune/imune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FAN se clínica sugestiva ou paciente jovem/mulher; complemento/anti-DNA se suspeita de LES; imunoglobulinas quantitativas se infecções recorrentes/CVID; eletroforese de proteínas em idosos ou suspeita monoclonal.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Diferenciar PTI primária de secundária.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Metabólico/nutricional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B12/folato se macrocitose, anemia, neuropatia, cirurgia bariátrica, etilismo ou dieta de risco.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Deficiências podem causar citopenias e mimetizar doença hematológica.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Gestação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Beta-HCG em mulher em idade fértil.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Muda diagnóstico diferencial, limiares e terapias.</w:t>
            </w:r>
          </w:p>
        </w:tc>
      </w:tr>
    </w:tbl>
    <w:p>
      <w:pPr>
        <w:spacing w:after="80" w:line="252" w:lineRule="auto"/>
      </w:pPr>
      <w:r>
        <w:rPr>
          <w:sz w:val="20"/>
        </w:rPr>
        <w:t>O PCDT 2026 exige, para início do tratamento em adultos, anamnese, exame físico, hemograma com plaquetometria e sorologias para hepatite B, hepatite C e HIV; outros exames são guiados pela suspeita clínica e não devem atrasar tratamento quando houver risco hemorrágico.</w:t>
      </w:r>
      <w:r>
        <w:rPr>
          <w:color w:val="5A5A5A"/>
          <w:sz w:val="16"/>
        </w:rPr>
        <w:t xml:space="preserve"> [1]</w:t>
      </w:r>
    </w:p>
    <w:p>
      <w:pPr>
        <w:pStyle w:val="Heading2"/>
        <w:spacing w:after="80" w:line="252" w:lineRule="auto"/>
      </w:pPr>
      <w:r>
        <w:t>4.3 Quando pedir mielograma/biópsia de medula?</w:t>
      </w:r>
    </w:p>
    <w:p>
      <w:pPr>
        <w:spacing w:after="80" w:line="252" w:lineRule="auto"/>
      </w:pPr>
      <w:r>
        <w:rPr>
          <w:sz w:val="20"/>
        </w:rPr>
        <w:t>Não é exame de rotina em todo adulto com quadro típico de PTI isolada. Deve ser considerado quando houver elementos atípicos: anemia/leucopenia/leucocitose inexplicada, blastos/displasia, neutrófilos hipersegmentados sem explicação, esplenomegalia/linfonodomegalia, sintomas constitucionais, idade avançada com suspeita de SMD/neoplasia, ausência de resposta esperada ao tratamento, necessidade de terapia imunossupressora prolongada em contexto duvidoso ou antes de esplenectomia conforme avaliação da Hematologia.</w:t>
      </w:r>
      <w:r>
        <w:rPr>
          <w:color w:val="5A5A5A"/>
          <w:sz w:val="16"/>
        </w:rPr>
        <w:t xml:space="preserve"> [1][8][12]</w:t>
      </w:r>
    </w:p>
    <w:p>
      <w:pPr>
        <w:pStyle w:val="Heading2"/>
        <w:spacing w:after="80" w:line="252" w:lineRule="auto"/>
      </w:pPr>
      <w:r>
        <w:t>4.4 Exames que geralmente NÃO ajudam na enfermaria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Exame</w:t>
            </w:r>
          </w:p>
        </w:tc>
        <w:tc>
          <w:tcPr>
            <w:tcW w:type="dxa" w:w="5046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Comentário prático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Anticorpos antiplaquetários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Baixa sensibilidade/uso limitado; resultado negativo não exclui PTI.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Trombopoietina/IPF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Podem ajudar em centros especializados, mas não são essenciais e não devem atrasar conduta.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Painéis extensos sem suspeita clínica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Aumentam falso positivo e distraem do risco imediato.</w:t>
            </w:r>
          </w:p>
        </w:tc>
      </w:tr>
    </w:tbl>
    <w:p>
      <w:pPr>
        <w:pStyle w:val="Heading1"/>
        <w:spacing w:after="80" w:line="252" w:lineRule="auto"/>
      </w:pPr>
      <w:r>
        <w:t>5. Diagnóstico diferencial estruturado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CE4D6"/>
          </w:tcPr>
          <w:p>
            <w:r>
              <w:rPr>
                <w:b/>
                <w:color w:val="1F4E79"/>
                <w:sz w:val="20"/>
              </w:rPr>
              <w:t>Regra de segurança</w:t>
            </w:r>
          </w:p>
          <w:p>
            <w:pPr>
              <w:spacing w:after="0"/>
            </w:pPr>
            <w:r>
              <w:rPr>
                <w:sz w:val="18"/>
              </w:rPr>
              <w:t>Em plaquetas muito baixas, o erro mais perigoso não é deixar de “fechar PTI”; é perder TTP/SHU, CIVD/sepse, leucemia/SMD, HIT, aplasia/infiltração medular ou trombocitopenia medicamentosa. PTI é diagnóstico de exclusão.</w:t>
            </w:r>
            <w:r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Diagnóstico diferencial</w:t>
            </w:r>
          </w:p>
        </w:tc>
        <w:tc>
          <w:tcPr>
            <w:tcW w:type="dxa" w:w="336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Pistas clínicas/laboratoriais</w:t>
            </w:r>
          </w:p>
        </w:tc>
        <w:tc>
          <w:tcPr>
            <w:tcW w:type="dxa" w:w="336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Conduta inicial sugerida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Pseudotrombocitopenia por EDTA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Paciente bem, plaquetas muito baixas sem sangramento; agregados no esfregaço.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Repetir em citrato/heparina e contagem manual.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TTP / microangiopatia trombótica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Plaquetopenia + anemia hemolítica microangiopática, esquizócitos, DHL alta, haptoglobina baixa, sintomas neurológicos/renais; TP/TTPa geralmente normais.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Emergência hematológica: colher ADAMTS13 se possível, não esperar resultado para plasmaférese/corticoide se alta suspeita.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CIVD / sepse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Paciente séptico/choque, TP/TTPa alargados, fibrinogênio baixo ou caindo, D-dímero alto, múltiplas citopenias.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Tratar causa, suporte hemostático, UTI se instável.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HIT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Queda plaquetária 5-10 dias após heparina ou mais rápida se exposição prévia; trombose nova; queda &gt;50%.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Suspender heparina, calcular 4Ts, anticoagulante não heparínico se probabilidade intermediária/alta.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Trombocitopenia imune induzida por drogas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Início 5-10 dias após nova droga; plaquetas frequentemente muito baixas; drogas comuns: quinina, sulfas, vancomicina, rifampicina, beta-lactâmicos, anticonvulsivantes, linezolida, heparina.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Suspender droga suspeita; manejo como PTI se sangramento/plaquetas muito baixas.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Doença medular: leucemia, SMD, aplasia, infiltração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Citopenias associadas, blastos/displasia, sintomas B, dor óssea, infecções, macrocytose inexplicada.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Hematologia, mielograma/biópsia.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Hepatopatia/hiperesplenismo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Cirrose, esplenomegalia, plaquetas cronicamente baixas, INR alterado, hipoalbuminemia.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Tratar doença hepática; PTI isolada é menos provável se esplenomegalia marcada.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LES/APS/CVID/linfoproliferação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Artralgia, rash, úlceras, proteinúria, linfonodos, hipogamaglobulinemia, trombose/abortos.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Investigar PTI secundária; tratamento da base muda prognóstico.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Gestação/HELLP/pré-eclâmpsia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Gestante, hipertensão, proteinúria, transaminases, hemólise; trombocitopenia gestacional geralmente leve.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Obstetrícia + Hematologia; abordagem por trimestre e gravidade.</w:t>
            </w:r>
          </w:p>
        </w:tc>
      </w:tr>
    </w:tbl>
    <w:p>
      <w:pPr>
        <w:spacing w:after="80" w:line="252" w:lineRule="auto"/>
      </w:pPr>
      <w:r>
        <w:rPr>
          <w:sz w:val="20"/>
        </w:rPr>
        <w:t>A atualização ISTH 2025 para TTP reforça que trombocitopenia associada a anemia hemolítica microangiopática sem explicação deve disparar suspeita de TTP no diferencial; quando a probabilidade pré-teste é alta, a terapia não deve aguardar ADAMTS13.</w:t>
      </w:r>
      <w:r>
        <w:rPr>
          <w:color w:val="5A5A5A"/>
          <w:sz w:val="16"/>
        </w:rPr>
        <w:t xml:space="preserve"> [9]</w:t>
      </w:r>
    </w:p>
    <w:p>
      <w:pPr>
        <w:pStyle w:val="Heading1"/>
        <w:spacing w:after="80" w:line="252" w:lineRule="auto"/>
      </w:pPr>
      <w:r>
        <w:t>6. Estratificação de risco e decisão de internar/tratar</w:t>
      </w:r>
    </w:p>
    <w:p>
      <w:pPr>
        <w:pStyle w:val="Heading2"/>
        <w:spacing w:after="80" w:line="252" w:lineRule="auto"/>
      </w:pPr>
      <w:r>
        <w:t>6.1 Classificação do sangramento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Categoria</w:t>
            </w:r>
          </w:p>
        </w:tc>
        <w:tc>
          <w:tcPr>
            <w:tcW w:type="dxa" w:w="336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Exemplos</w:t>
            </w:r>
          </w:p>
        </w:tc>
        <w:tc>
          <w:tcPr>
            <w:tcW w:type="dxa" w:w="336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Conduta geral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Sem sangramento ou púrpura seca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Petéquias/equimoses discretas, sem mucosa.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Observar ou tratar conforme plaquetas e risco.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Sangramento mucocutâneo menor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Epistaxe leve, gengivorragia leve, menorragia leve sem queda de Hb.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Corticoide se &lt;30.000/mm3 ou alto risco; considerar IVIg se precisa resposta rápida.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Sangramento clinicamente significativo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Epistaxe/gengivorragia volumosa, GI/GU, queda de Hb, menorragia importante, sangramento pós-procedimento.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Internar, corticoide + IVIg; suporte local; hemocomponentes conforme necessidade.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Sangramento crítico / ameaça à vida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Intracraniano, intraocular, retroperitoneal, pericárdico, intramuscular com compartimental, sangramento com instabilidade hemodinâmica ou respiratória.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Pacote de emergência: metilprednisolona EV + IVIg + plaquetas + suporte intensivo.</w:t>
            </w:r>
          </w:p>
        </w:tc>
      </w:tr>
    </w:tbl>
    <w:p>
      <w:pPr>
        <w:pStyle w:val="Heading2"/>
        <w:spacing w:after="80" w:line="252" w:lineRule="auto"/>
      </w:pPr>
      <w:r>
        <w:t>6.2 Limiar prático de tratamento no adulto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Plaquetas</w:t>
            </w:r>
          </w:p>
        </w:tc>
        <w:tc>
          <w:tcPr>
            <w:tcW w:type="dxa" w:w="336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Sem sangramento/menor</w:t>
            </w:r>
          </w:p>
        </w:tc>
        <w:tc>
          <w:tcPr>
            <w:tcW w:type="dxa" w:w="336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Com sangramento ou alto risco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≥50.000/mm3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Geralmente observação; procurar causa secundária se não típico.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Tratar causa do sangramento; PTI isolada raramente exige imunomodulação pelo número.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30.000-49.000/mm3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Observação é aceitável se baixo risco e seguimento garantido.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Tratar se sangramento, AAS/anticoagulante, idoso, queda, procedimento, HAS/epilepsia não controlada, comorbidades.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20.000-29.000/mm3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Frequentemente tratar no adulto recém-diagnosticado; individualizar se PTI conhecida estável.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Tratar; considerar internação se recém-diagnosticado, comorbidades, diagnóstico incerto ou mucosa.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&lt;20.000/mm3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Adulto recém-diagnosticado geralmente deve internar/tratar ou monitorar de perto; risco maior se &lt;10.000.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Tratar; se mucoso importante, IVIg; se crítico, pacote de emergência.</w:t>
            </w:r>
          </w:p>
        </w:tc>
      </w:tr>
    </w:tbl>
    <w:p>
      <w:pPr>
        <w:spacing w:after="80" w:line="252" w:lineRule="auto"/>
      </w:pPr>
      <w:r>
        <w:rPr>
          <w:sz w:val="20"/>
        </w:rPr>
        <w:t>ASH sugere internação em adulto recém-diagnosticado com plaquetas &lt;20 x 10^9/L mesmo com sangramento nenhum ou menor; se ≥20 x 10^9/L e sem sangramento significativo, o manejo ambulatorial pode ser adequado quando há segurança, educação e reavaliação em 24-72 horas. O PCDT brasileiro também recomenda hospitalização urgente em sangramento grave e em adultos recém-diagnosticados com plaquetas &lt;30.000/mm3.</w:t>
      </w:r>
      <w:r>
        <w:rPr>
          <w:color w:val="5A5A5A"/>
          <w:sz w:val="16"/>
        </w:rPr>
        <w:t xml:space="preserve"> [1][3]</w:t>
      </w:r>
    </w:p>
    <w:p>
      <w:pPr>
        <w:pStyle w:val="Heading2"/>
        <w:spacing w:after="80" w:line="252" w:lineRule="auto"/>
      </w:pPr>
      <w:r>
        <w:t>6.3 Metas de plaquetas por contexto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Contexto</w:t>
            </w:r>
          </w:p>
        </w:tc>
        <w:tc>
          <w:tcPr>
            <w:tcW w:type="dxa" w:w="5046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Meta prática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PTI sintomática sem sangramento maior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Geralmente &gt;20.000-30.000/mm3 com controle clínico.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Sangramento ativo ou alto risco/procedimento menor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Pelo menos &gt;50.000/mm3, conforme contexto.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Cirurgia menor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≥50.000/mm3.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Cirurgia maior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≥80.000/mm3.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Neurocirurgia/hemorragia intracraniana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Tentar ≥100.000/mm3, se possível.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Anestesia neuroaxial/parto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Parto geralmente ≥50.000/mm3; neuroaxial em geral ≥70.000-80.000/mm3, conforme anestesia/obstetrícia.</w:t>
            </w:r>
          </w:p>
        </w:tc>
      </w:tr>
    </w:tbl>
    <w:p>
      <w:pPr>
        <w:spacing w:after="80" w:line="252" w:lineRule="auto"/>
      </w:pPr>
      <w:r>
        <w:rPr>
          <w:sz w:val="20"/>
        </w:rPr>
        <w:t>A recomendação internacional enfatiza que a meta é prevenir sangramento grave com mínima toxicidade e manter plaquetas em nível hemostático, sem necessidade de normalizar a contagem.</w:t>
      </w:r>
      <w:r>
        <w:rPr>
          <w:color w:val="5A5A5A"/>
          <w:sz w:val="16"/>
        </w:rPr>
        <w:t xml:space="preserve"> [4]</w:t>
      </w:r>
    </w:p>
    <w:p>
      <w:pPr>
        <w:pStyle w:val="Heading1"/>
        <w:spacing w:after="80" w:line="252" w:lineRule="auto"/>
      </w:pPr>
      <w:r>
        <w:t>7. Protocolo de conduta nas primeiras 24 horas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Tempo</w:t>
            </w:r>
          </w:p>
        </w:tc>
        <w:tc>
          <w:tcPr>
            <w:tcW w:type="dxa" w:w="336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Ação</w:t>
            </w:r>
          </w:p>
        </w:tc>
        <w:tc>
          <w:tcPr>
            <w:tcW w:type="dxa" w:w="336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Detalhes práticos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0-15 min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Triagem de gravidade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Avaliar ABC, PA/FC, sangramento ativo, SNC, queda de Hb, anticoagulantes/antiagregantes, procedimento iminente.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0-1 h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Confirmar e proteger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Hemograma repetido, lâmina, tubo citrato se necessário. Suspender AAS/AINEs, evitar IM, sondagens traumáticas e quedas.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0-2 h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Exames de exclusão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TP/TTPa/fibrinogênio/D-dímero, função renal/hepática, DHL/haptoglobina/bilirrubinas, reticulócitos, Coombs se anemia, sorologias.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0-4 h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Decisão terapêutica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Corticoide se &lt;30.000/mm3 ou sangramento. IVIg se resposta rápida/procedimento/sangramento mucoso significativo.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0-6 h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 sangramento crítico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Acionar Hematologia/UTI, metilprednisolona EV + IVIg + plaquetas; imagem conforme local; hemocomponentes; controle local.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6-24 h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Reavaliação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Hemograma 12-24 h conforme gravidade, glicemia/PA, sangramento, eventos adversos. Revisar diagnóstico se não houver padrão típico.</w:t>
            </w:r>
          </w:p>
        </w:tc>
      </w:tr>
    </w:tbl>
    <w:p>
      <w:pPr>
        <w:pStyle w:val="Heading2"/>
        <w:spacing w:after="80" w:line="252" w:lineRule="auto"/>
      </w:pPr>
      <w:r>
        <w:t>7.1 Medidas gerais de enfermaria</w:t>
      </w:r>
    </w:p>
    <w:p>
      <w:pPr>
        <w:pStyle w:val="ListBullet"/>
        <w:spacing w:after="80" w:line="252" w:lineRule="auto"/>
      </w:pPr>
      <w:r>
        <w:rPr>
          <w:sz w:val="20"/>
        </w:rPr>
        <w:t>Orientar repouso relativo se plaquetas muito baixas ou sangramento; prevenir quedas e trauma craniano.</w:t>
      </w:r>
    </w:p>
    <w:p>
      <w:pPr>
        <w:pStyle w:val="ListBullet"/>
        <w:spacing w:after="80" w:line="252" w:lineRule="auto"/>
      </w:pPr>
      <w:r>
        <w:rPr>
          <w:sz w:val="20"/>
        </w:rPr>
        <w:t>Evitar AAS, AINEs, clopidogrel/ticagrelor/prasugrel e anticoagulantes, exceto indicação vital e discutida.</w:t>
      </w:r>
    </w:p>
    <w:p>
      <w:pPr>
        <w:pStyle w:val="ListBullet"/>
        <w:spacing w:after="80" w:line="252" w:lineRule="auto"/>
      </w:pPr>
      <w:r>
        <w:rPr>
          <w:sz w:val="20"/>
        </w:rPr>
        <w:t>Evitar injeções intramusculares, punções arteriais desnecessárias, sondagens traumáticas e procedimentos eletivos até plaquetas seguras.</w:t>
      </w:r>
    </w:p>
    <w:p>
      <w:pPr>
        <w:pStyle w:val="ListBullet"/>
        <w:spacing w:after="80" w:line="252" w:lineRule="auto"/>
      </w:pPr>
      <w:r>
        <w:rPr>
          <w:sz w:val="20"/>
        </w:rPr>
        <w:t>Tratar constipação e tosse intensa para reduzir sangramento mucoso; controlar hipertensão.</w:t>
      </w:r>
    </w:p>
    <w:p>
      <w:pPr>
        <w:pStyle w:val="ListBullet"/>
        <w:spacing w:after="80" w:line="252" w:lineRule="auto"/>
      </w:pPr>
      <w:r>
        <w:rPr>
          <w:sz w:val="20"/>
        </w:rPr>
        <w:t>Usar protetor gástrico se corticoide em dose alta, história de úlcera, AINE/anticoagulante ou risco GI.</w:t>
      </w:r>
    </w:p>
    <w:p>
      <w:pPr>
        <w:pStyle w:val="ListBullet"/>
        <w:spacing w:after="80" w:line="252" w:lineRule="auto"/>
      </w:pPr>
      <w:r>
        <w:rPr>
          <w:sz w:val="20"/>
        </w:rPr>
        <w:t>Monitorar glicemia capilar em diabéticos e não diabéticos de risco quando usar dexametasona/metilprednisolona.</w:t>
      </w:r>
    </w:p>
    <w:p>
      <w:pPr>
        <w:pStyle w:val="ListBullet"/>
        <w:spacing w:after="80" w:line="252" w:lineRule="auto"/>
      </w:pPr>
      <w:r>
        <w:rPr>
          <w:sz w:val="20"/>
        </w:rPr>
        <w:t>Documentar diariamente: contagem de plaquetas, topografia do sangramento, medicações hemorrágicas, resposta ao tratamento e plano de alta.</w:t>
      </w:r>
    </w:p>
    <w:p>
      <w:pPr>
        <w:pStyle w:val="Heading1"/>
        <w:spacing w:after="80" w:line="252" w:lineRule="auto"/>
      </w:pPr>
      <w:r>
        <w:t>8. Tratamento de primeira linha</w:t>
      </w:r>
    </w:p>
    <w:p>
      <w:pPr>
        <w:pStyle w:val="Heading2"/>
        <w:spacing w:after="80" w:line="252" w:lineRule="auto"/>
      </w:pPr>
      <w:r>
        <w:t>8.1 Corticoide: base inicial, mas por pouco tempo</w:t>
      </w:r>
    </w:p>
    <w:p>
      <w:pPr>
        <w:spacing w:after="80" w:line="252" w:lineRule="auto"/>
      </w:pPr>
      <w:r>
        <w:rPr>
          <w:sz w:val="20"/>
        </w:rPr>
        <w:t>Corticoides são o tratamento inicial padrão para adultos com PTI que necessitam terapia. ASH recomenda evitar curso prolongado de prednisona (&gt;6 semanas), preferindo curso curto; o PCDT admite tratamento total até 8 semanas em adultos quando necessário, com redução progressiva após resposta.</w:t>
      </w:r>
      <w:r>
        <w:rPr>
          <w:color w:val="5A5A5A"/>
          <w:sz w:val="16"/>
        </w:rPr>
        <w:t xml:space="preserve"> [1][2][3]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Esquema</w:t>
            </w:r>
          </w:p>
        </w:tc>
        <w:tc>
          <w:tcPr>
            <w:tcW w:type="dxa" w:w="2523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Dose prática</w:t>
            </w:r>
          </w:p>
        </w:tc>
        <w:tc>
          <w:tcPr>
            <w:tcW w:type="dxa" w:w="2523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Quando preferir</w:t>
            </w:r>
          </w:p>
        </w:tc>
        <w:tc>
          <w:tcPr>
            <w:tcW w:type="dxa" w:w="2523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Cuidados</w:t>
            </w:r>
          </w:p>
        </w:tc>
      </w:tr>
      <w:tr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Prednisona/prednisolona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0,5-2 mg/kg/dia VO; frequentemente 0,75-1 mg/kg/dia. Manter 2-4 semanas ou até plaquetas 30-50 mil, depois reduzir; evitar &gt;6-8 semanas.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Paciente estável, sem necessidade de resposta em 24-48 h, menor risco psiquiátrico/metabólico.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Glicemia, PA, humor/sono, gastrite, infecção, miopatia. Não “cronificar” prednisona.</w:t>
            </w:r>
          </w:p>
        </w:tc>
      </w:tr>
      <w:tr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Dexametasona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40 mg/dia VO/EV por 4 dias; ciclos podem ser repetidos a cada 14-28 dias conforme Hematologia.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Necessidade de resposta mais rápida, plaquetas muito baixas, logística de curso curto.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Insônia, agitação, psicose, hiperglicemia, perda de concentração; cuidado em TDAH/ansiedade/idoso.</w:t>
            </w:r>
          </w:p>
        </w:tc>
      </w:tr>
      <w:tr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Metilprednisolona EV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 g/dia EV por 3 dias ou 30 mg/kg/dia até 1 g/dia, conforme gravidade.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Sangramento grave/crítico, necessidade de resposta rápida ou falha inicial.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Hiperglicemia, delirium, infecção, miopatia, retenção hídrica; monitorizar de perto.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FF2CC"/>
          </w:tcPr>
          <w:p>
            <w:r>
              <w:rPr>
                <w:b/>
                <w:color w:val="1F4E79"/>
                <w:sz w:val="20"/>
              </w:rPr>
              <w:t>Dica de segurança com corticoide</w:t>
            </w:r>
          </w:p>
          <w:p>
            <w:pPr>
              <w:spacing w:after="0"/>
            </w:pPr>
            <w:r>
              <w:rPr>
                <w:sz w:val="18"/>
              </w:rPr>
              <w:t>Se o paciente segue precisando de corticoide após 6-8 semanas, isso não é “tratamento de manutenção bom”: é sinal de dependência/falha e deve disparar estratégia poupadora de esteroide. Corticoide prolongado costuma fazer mais mal do que benefício em PTI.</w:t>
            </w:r>
            <w:r>
              <w:br/>
            </w:r>
          </w:p>
        </w:tc>
      </w:tr>
    </w:tbl>
    <w:p>
      <w:pPr>
        <w:pStyle w:val="Heading2"/>
        <w:spacing w:after="80" w:line="252" w:lineRule="auto"/>
      </w:pPr>
      <w:r>
        <w:t>8.2 Imunoglobulina humana intravenosa (IVIg)</w:t>
      </w:r>
    </w:p>
    <w:p>
      <w:pPr>
        <w:spacing w:after="80" w:line="252" w:lineRule="auto"/>
      </w:pPr>
      <w:r>
        <w:rPr>
          <w:sz w:val="20"/>
        </w:rPr>
        <w:t>A IVIg é útil quando é necessário elevar plaquetas rapidamente: sangramento mucoso clinicamente relevante, preparação para procedimento, contraindicação ou falha ao corticoide, ou emergência. Pode elevar plaquetas em 1-2 dias, às vezes nas primeiras horas, mas o efeito costuma ser transitório.</w:t>
      </w:r>
      <w:r>
        <w:rPr>
          <w:color w:val="5A5A5A"/>
          <w:sz w:val="16"/>
        </w:rPr>
        <w:t xml:space="preserve"> [1][4]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Esquema</w:t>
            </w:r>
          </w:p>
        </w:tc>
        <w:tc>
          <w:tcPr>
            <w:tcW w:type="dxa" w:w="336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Uso prático</w:t>
            </w:r>
          </w:p>
        </w:tc>
        <w:tc>
          <w:tcPr>
            <w:tcW w:type="dxa" w:w="336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Atenções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 g/kg/dia por 1-2 dias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Esquema mais usado quando precisa resposta rápida. Repetir segundo dia se resposta insuficiente ou sangramento.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Calcular por peso ideal/ajustado se obesidade conforme protocolo local; risco de hiperviscosidade/trombose.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0,4 g/kg/dia por 5 dias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Alternativa quando menor dose diária é desejável.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Mais dias de infusão e custo/logística maiores.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0,5-1 g/kg/dia, completando até 2 g/kg/ciclo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Faixa contemplada no PCDT para adultos.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Monitorar creatinina, diurese, sintomas neurológicos, cefaleia, meningite asséptica.</w:t>
            </w:r>
          </w:p>
        </w:tc>
      </w:tr>
    </w:tbl>
    <w:p>
      <w:pPr>
        <w:pStyle w:val="ListBullet"/>
        <w:spacing w:after="80" w:line="252" w:lineRule="auto"/>
      </w:pPr>
      <w:r>
        <w:rPr>
          <w:sz w:val="20"/>
        </w:rPr>
        <w:t>Evitar ou usar com muita cautela em alto risco trombótico, insuficiência renal, hiperviscosidade, desidratação e idosos frágeis.</w:t>
      </w:r>
    </w:p>
    <w:p>
      <w:pPr>
        <w:pStyle w:val="ListBullet"/>
        <w:spacing w:after="80" w:line="252" w:lineRule="auto"/>
      </w:pPr>
      <w:r>
        <w:rPr>
          <w:sz w:val="20"/>
        </w:rPr>
        <w:t>Preferir formulações sem sacarose quando há risco renal, conforme disponibilidade.</w:t>
      </w:r>
    </w:p>
    <w:p>
      <w:pPr>
        <w:pStyle w:val="ListBullet"/>
        <w:spacing w:after="80" w:line="252" w:lineRule="auto"/>
      </w:pPr>
      <w:r>
        <w:rPr>
          <w:sz w:val="20"/>
        </w:rPr>
        <w:t>Premedicação com paracetamol/anti-histamínico pode reduzir reações infusionais, conforme rotina local.</w:t>
      </w:r>
    </w:p>
    <w:p>
      <w:pPr>
        <w:pStyle w:val="ListBullet"/>
        <w:spacing w:after="80" w:line="252" w:lineRule="auto"/>
      </w:pPr>
      <w:r>
        <w:rPr>
          <w:sz w:val="20"/>
        </w:rPr>
        <w:t>Não usar IVIg como solução definitiva se o problema é dependência de corticoide: planejar segunda linha.</w:t>
      </w:r>
    </w:p>
    <w:p>
      <w:pPr>
        <w:pStyle w:val="Heading2"/>
        <w:spacing w:after="80" w:line="252" w:lineRule="auto"/>
      </w:pPr>
      <w:r>
        <w:t>8.3 Anti-D</w:t>
      </w:r>
    </w:p>
    <w:p>
      <w:pPr>
        <w:spacing w:after="80" w:line="252" w:lineRule="auto"/>
      </w:pPr>
      <w:r>
        <w:rPr>
          <w:sz w:val="20"/>
        </w:rPr>
        <w:t>Anti-D não é uma opção rotineira no Brasil e tem risco de hemólise intravascular grave, insuficiência renal e CIVD; por isso, não deve ser tratado como substituto simples da IVIg na enfermaria sem Hematologia e disponibilidade adequada.</w:t>
      </w:r>
      <w:r>
        <w:rPr>
          <w:color w:val="5A5A5A"/>
          <w:sz w:val="16"/>
        </w:rPr>
        <w:t xml:space="preserve"> [4]</w:t>
      </w:r>
    </w:p>
    <w:p>
      <w:pPr>
        <w:pStyle w:val="Heading1"/>
        <w:spacing w:after="80" w:line="252" w:lineRule="auto"/>
      </w:pPr>
      <w:r>
        <w:t>9. Sangramento grave ou crítico: pacote de emergência</w:t>
      </w:r>
    </w:p>
    <w:p>
      <w:pPr>
        <w:spacing w:after="80" w:line="252" w:lineRule="auto"/>
      </w:pPr>
      <w:r>
        <w:rPr>
          <w:sz w:val="20"/>
        </w:rPr>
        <w:t>Sangramento crítico é raro, mas frequentemente fatal em adultos idosos, sobretudo hemorragia intracraniana; em coorte multicêntrica de pacientes com ITP e plaquetas &lt;20 x 10^9/L, sangramento crítico ocorreu em 2,3%, com mortalidade global de 32,1% e 46,7% entre adultos. A combinação mais comum foi corticoide, IVIg e transfusão de plaquetas.</w:t>
      </w:r>
      <w:r>
        <w:rPr>
          <w:color w:val="5A5A5A"/>
          <w:sz w:val="16"/>
        </w:rPr>
        <w:t xml:space="preserve"> [6]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CE4D6"/>
          </w:tcPr>
          <w:p>
            <w:r>
              <w:rPr>
                <w:b/>
                <w:color w:val="1F4E79"/>
                <w:sz w:val="20"/>
              </w:rPr>
              <w:t>Definição prática de emergência em PTI</w:t>
            </w:r>
          </w:p>
          <w:p>
            <w:pPr>
              <w:spacing w:after="0"/>
            </w:pPr>
            <w:r>
              <w:rPr>
                <w:sz w:val="18"/>
              </w:rPr>
              <w:t>Sangramento intracraniano ou mucoso digestivo, geniturinário ou respiratório com instabilidade hemodinâmica/respiratória; ou sangramento em local crítico: intracraniano, intraespinhal, intraocular, retroperitoneal, pericárdico, intramuscular com síndrome compartimental; ou sangramento persistente com instabilidade.</w:t>
            </w:r>
            <w:r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Intervenção</w:t>
            </w:r>
          </w:p>
        </w:tc>
        <w:tc>
          <w:tcPr>
            <w:tcW w:type="dxa" w:w="336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Dose/conduta</w:t>
            </w:r>
          </w:p>
        </w:tc>
        <w:tc>
          <w:tcPr>
            <w:tcW w:type="dxa" w:w="336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Comentário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Metilprednisolona EV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 g/dia por 3 dias em adulto.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Iniciar imediatamente se sangramento grave/crítico.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IVIg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0,8-1 g/kg/dia por 1-2 dias; repetir no segundo dia se plaquetas seguem &lt;50.000/mm3 ou sangramento persiste.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Ação rápida e sinérgica com plaquetas/corticoide.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Plaquetas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Não esperar; usar doses maiores/repetidas. PCDT sugere 3 unidades para cada 10 kg pela destruição acelerada.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Usar em sangramento crítico ou procedimento urgente; idealmente junto ou logo após IVIg.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Hemocomponentes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Concentrado de hemácias, plasma/crio conforme coagulopatia; fibrinogênio se baixo.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PTI pura não corrige com plasma, mas sangramento real pode exigir suporte.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Controle local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Otorrino/endoscopia/urologia/ginecologia/neurocirurgia conforme topografia.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Hemostasia mecânica é parte do tratamento.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Antifibrinolítico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Ácido tranexâmico conforme protocolo local em sangramento mucoso, se não houver contraindicação.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Evitar em hematúria macroscópica/risco de obstrução, CIVD ativa não controlada ou trombose ativa.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Resgate especializado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Vincristina 1-2 mg EV semanal até 4 semanas; TPO-RA ou outras estratégias conforme Hematologia.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Não substitui medidas imediatas; tempo de resposta não é imediato.</w:t>
            </w:r>
          </w:p>
        </w:tc>
      </w:tr>
    </w:tbl>
    <w:p>
      <w:pPr>
        <w:spacing w:after="80" w:line="252" w:lineRule="auto"/>
      </w:pPr>
      <w:r>
        <w:rPr>
          <w:sz w:val="20"/>
        </w:rPr>
        <w:t>O PCDT 2026 define emergência e apresenta esquema para adultos com metilprednisolona 1 g/dia por 3 dias, IVIg 0,8-1 g/kg por 1-2 dias, plaquetas em quantidade maior que a usual e vincristina 1-2 mg EV semanal por até 4 semanas em situações selecionadas.</w:t>
      </w:r>
      <w:r>
        <w:rPr>
          <w:color w:val="5A5A5A"/>
          <w:sz w:val="16"/>
        </w:rPr>
        <w:t xml:space="preserve"> [1]</w:t>
      </w:r>
    </w:p>
    <w:p>
      <w:pPr>
        <w:pStyle w:val="Heading2"/>
        <w:spacing w:after="80" w:line="252" w:lineRule="auto"/>
      </w:pPr>
      <w:r>
        <w:t>9.1 Ordem prática no prontuário para sangramento crítico</w:t>
      </w:r>
    </w:p>
    <w:p>
      <w:pPr>
        <w:pStyle w:val="ListNumber"/>
        <w:spacing w:after="80" w:line="252" w:lineRule="auto"/>
      </w:pPr>
      <w:r>
        <w:rPr>
          <w:sz w:val="20"/>
        </w:rPr>
        <w:t>Acionar Hematologia e avaliar UTI se instabilidade, sangramento em sítio crítico ou necessidade de monitorização intensiva.</w:t>
      </w:r>
    </w:p>
    <w:p>
      <w:pPr>
        <w:pStyle w:val="ListNumber"/>
        <w:spacing w:after="80" w:line="252" w:lineRule="auto"/>
      </w:pPr>
      <w:r>
        <w:rPr>
          <w:sz w:val="20"/>
        </w:rPr>
        <w:t>Colher exames antes da transfusão se possível, mas não atrasar tratamento: hemograma, coagulograma, fibrinogênio, função renal/hepática, hemólise, tipo e prova cruzada.</w:t>
      </w:r>
    </w:p>
    <w:p>
      <w:pPr>
        <w:pStyle w:val="ListNumber"/>
        <w:spacing w:after="80" w:line="252" w:lineRule="auto"/>
      </w:pPr>
      <w:r>
        <w:rPr>
          <w:sz w:val="20"/>
        </w:rPr>
        <w:t>Administrar metilprednisolona 1 g EV agora e programar 3 dias, salvo contraindicação absoluta.</w:t>
      </w:r>
    </w:p>
    <w:p>
      <w:pPr>
        <w:pStyle w:val="ListNumber"/>
        <w:spacing w:after="80" w:line="252" w:lineRule="auto"/>
      </w:pPr>
      <w:r>
        <w:rPr>
          <w:sz w:val="20"/>
        </w:rPr>
        <w:t>Administrar IVIg 1 g/kg EV hoje; considerar segunda dose em 24 h conforme sangramento/plaquetas.</w:t>
      </w:r>
    </w:p>
    <w:p>
      <w:pPr>
        <w:pStyle w:val="ListNumber"/>
        <w:spacing w:after="80" w:line="252" w:lineRule="auto"/>
      </w:pPr>
      <w:r>
        <w:rPr>
          <w:sz w:val="20"/>
        </w:rPr>
        <w:t>Transfundir plaquetas imediatamente, preferencialmente com IVIg/corticoide em curso; repetir conforme sangramento e meta.</w:t>
      </w:r>
    </w:p>
    <w:p>
      <w:pPr>
        <w:pStyle w:val="ListNumber"/>
        <w:spacing w:after="80" w:line="252" w:lineRule="auto"/>
      </w:pPr>
      <w:r>
        <w:rPr>
          <w:sz w:val="20"/>
        </w:rPr>
        <w:t>Controlar foco: tamponamento nasal, endoscopia, neuroimagem/neurocirurgia, ginecologia/urologia, PPI se GI alto, etc.</w:t>
      </w:r>
    </w:p>
    <w:p>
      <w:pPr>
        <w:pStyle w:val="ListNumber"/>
        <w:spacing w:after="80" w:line="252" w:lineRule="auto"/>
      </w:pPr>
      <w:r>
        <w:rPr>
          <w:sz w:val="20"/>
        </w:rPr>
        <w:t>Reavaliar hemograma e sangramento a cada 6-12 h inicialmente.</w:t>
      </w:r>
    </w:p>
    <w:p>
      <w:pPr>
        <w:pStyle w:val="Heading1"/>
        <w:spacing w:after="80" w:line="252" w:lineRule="auto"/>
      </w:pPr>
      <w:r>
        <w:t>10. Segunda linha, refratariedade e transição para ambulatório</w:t>
      </w:r>
    </w:p>
    <w:p>
      <w:pPr>
        <w:spacing w:after="80" w:line="252" w:lineRule="auto"/>
      </w:pPr>
      <w:r>
        <w:rPr>
          <w:sz w:val="20"/>
        </w:rPr>
        <w:t>A revisão ASH publicada em 2024 concluiu que as recomendações de 2019 permanecem relevantes e que uma atualização focada em segunda linha para adultos é apropriada, justamente porque a escolha entre TPO-RA, rituximabe e esplenectomia depende muito de preferência do paciente, duração da doença, comorbidades, custo, disponibilidade e desfechos priorizados.</w:t>
      </w:r>
      <w:r>
        <w:rPr>
          <w:color w:val="5A5A5A"/>
          <w:sz w:val="16"/>
        </w:rPr>
        <w:t xml:space="preserve"> [5]</w:t>
      </w:r>
    </w:p>
    <w:p>
      <w:pPr>
        <w:pStyle w:val="Heading2"/>
        <w:spacing w:after="80" w:line="252" w:lineRule="auto"/>
      </w:pPr>
      <w:r>
        <w:t>10.1 Quando pensar em segunda linha?</w:t>
      </w:r>
    </w:p>
    <w:p>
      <w:pPr>
        <w:pStyle w:val="ListBullet"/>
        <w:spacing w:after="80" w:line="252" w:lineRule="auto"/>
      </w:pPr>
      <w:r>
        <w:rPr>
          <w:sz w:val="20"/>
        </w:rPr>
        <w:t>PTI persistente ou crônica com plaquetas persistentemente &lt;30.000/mm3, sangramento ou necessidade recorrente de resgate.</w:t>
      </w:r>
      <w:r>
        <w:rPr>
          <w:color w:val="5A5A5A"/>
          <w:sz w:val="16"/>
        </w:rPr>
        <w:t xml:space="preserve"> [1][2][4]</w:t>
      </w:r>
    </w:p>
    <w:p>
      <w:pPr>
        <w:pStyle w:val="ListBullet"/>
        <w:spacing w:after="80" w:line="252" w:lineRule="auto"/>
      </w:pPr>
      <w:r>
        <w:rPr>
          <w:sz w:val="20"/>
        </w:rPr>
        <w:t>Dependência de corticoide: necessidade de manter corticoide para plaquetas seguras ou recaída no desmame.</w:t>
      </w:r>
      <w:r>
        <w:rPr>
          <w:color w:val="5A5A5A"/>
          <w:sz w:val="16"/>
        </w:rPr>
        <w:t xml:space="preserve"> [1][2][4]</w:t>
      </w:r>
    </w:p>
    <w:p>
      <w:pPr>
        <w:pStyle w:val="ListBullet"/>
        <w:spacing w:after="80" w:line="252" w:lineRule="auto"/>
      </w:pPr>
      <w:r>
        <w:rPr>
          <w:sz w:val="20"/>
        </w:rPr>
        <w:t>Falha/contraindicação a corticoide/IVIg ou toxicidade relevante.</w:t>
      </w:r>
      <w:r>
        <w:rPr>
          <w:color w:val="5A5A5A"/>
          <w:sz w:val="16"/>
        </w:rPr>
        <w:t xml:space="preserve"> [1][2][4]</w:t>
      </w:r>
    </w:p>
    <w:p>
      <w:pPr>
        <w:pStyle w:val="ListBullet"/>
        <w:spacing w:after="80" w:line="252" w:lineRule="auto"/>
      </w:pPr>
      <w:r>
        <w:rPr>
          <w:sz w:val="20"/>
        </w:rPr>
        <w:t>Recidivas frequentes que prejudicam qualidade de vida, trabalho ou segurança.</w:t>
      </w:r>
      <w:r>
        <w:rPr>
          <w:color w:val="5A5A5A"/>
          <w:sz w:val="16"/>
        </w:rPr>
        <w:t xml:space="preserve"> [1][2][4]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3"/>
              </w:rPr>
              <w:t>Opção</w:t>
            </w:r>
          </w:p>
        </w:tc>
        <w:tc>
          <w:tcPr>
            <w:tcW w:type="dxa" w:w="2523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3"/>
              </w:rPr>
              <w:t>Vantagem</w:t>
            </w:r>
          </w:p>
        </w:tc>
        <w:tc>
          <w:tcPr>
            <w:tcW w:type="dxa" w:w="2523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3"/>
              </w:rPr>
              <w:t>Limitações/cuidados</w:t>
            </w:r>
          </w:p>
        </w:tc>
        <w:tc>
          <w:tcPr>
            <w:tcW w:type="dxa" w:w="2523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3"/>
              </w:rPr>
              <w:t>Dose usual</w:t>
            </w:r>
          </w:p>
        </w:tc>
      </w:tr>
      <w:tr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TPO-RA: eltrombopague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Oral; boa taxa de resposta; poupador de corticoide.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Interações com cátions/alimentos; hepatotoxicidade; trombose; custo/acesso; monitorar LFT.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50 mg VO 1x/dia; 25 mg se ascendência asiática ou insuficiência hepática; ajustar até 75 mg/dia.</w:t>
            </w:r>
          </w:p>
        </w:tc>
      </w:tr>
      <w:tr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TPO-RA: romiplostim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SC semanal; útil quando adesão alimentar com eltrombopague é difícil.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Aplicação semanal; titulação; trombose; reticulina medular rara.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1 mcg/kg SC semanal; ajustar até 10 mcg/kg/semana para meta 50-200 mil.</w:t>
            </w:r>
          </w:p>
        </w:tc>
      </w:tr>
      <w:tr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Rituximabe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Curso definido; pode induzir remissão sem medicação contínua.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Infecção, reativação HBV, hipogamaglobulinemia, resposta demora semanas; vacinas antes se possível.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375 mg/m2 EV semanal x 4 semanas.</w:t>
            </w:r>
          </w:p>
        </w:tc>
      </w:tr>
      <w:tr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Azatioprina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Disponível; opção em alguns protocolos/SUS.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Mielossupressão, hepatotoxicidade, demora resposta; monitorar hemograma/LFT.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Adulto PCDT: 150 mg/dia VO.</w:t>
            </w:r>
          </w:p>
        </w:tc>
      </w:tr>
      <w:tr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Ciclofosfamida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Imunossupressora; opção em refratariedade selecionada.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Toxicidade hematológica, infecção, cistite, gonadal; uso especializado.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50-100 mg/m2/dia VO.</w:t>
            </w:r>
          </w:p>
        </w:tc>
      </w:tr>
      <w:tr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Danazol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Pode ser opção em adultos selecionados.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Androgênico, hepatotoxicidade, perfil lipídico, contraindicado/indesejável em várias situações.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400-800 mg/dia VO.</w:t>
            </w:r>
          </w:p>
        </w:tc>
      </w:tr>
      <w:tr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Vincristina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Resposta relativamente rápida em alguns casos graves/refratários.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Neuropatia, íleo, SIADH; baixa durabilidade.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1-2 mg EV semanal até 4 semanas.</w:t>
            </w:r>
          </w:p>
        </w:tc>
      </w:tr>
      <w:tr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Esplenectomia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Resposta duradoura em muitos pacientes.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Infecção por encapsulados, trombose, cirurgia; preferir adiar ≥12 meses se possível.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Avaliação cirúrgica + vacinas + educação.</w:t>
            </w:r>
          </w:p>
        </w:tc>
      </w:tr>
      <w:tr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Fostamatinibe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SYK inibidor oral; alternativa após falha a tratamento prévio em alguns países.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Hipertensão, diarreia, neutropenia, LFT; disponibilidade Brasil/SUS variável/não PCDT.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100 mg VO 2x/dia, ajustar conforme bula local.</w:t>
            </w:r>
          </w:p>
        </w:tc>
      </w:tr>
      <w:tr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Rilzabrutinibe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BTK inibidor oral aprovado pela FDA em 2025 para adultos com PTI persistente/crônica após resposta insuficiente a tratamento prévio.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Ainda não incorporado ao PCDT/SUS 2026; risco de infecção, hepatotoxicidade e interações.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FDA: 400 mg VO 2x/dia.</w:t>
            </w:r>
          </w:p>
        </w:tc>
      </w:tr>
    </w:tbl>
    <w:p>
      <w:pPr>
        <w:spacing w:after="80" w:line="252" w:lineRule="auto"/>
      </w:pPr>
      <w:r>
        <w:rPr>
          <w:sz w:val="20"/>
        </w:rPr>
        <w:t>No PCDT brasileiro, após primeira linha, estão contemplados azatioprina, ciclofosfamida, rituximabe, eltrombopague, romiplostim, danazol e vincristina; já fostamatinibe e rilzabrutinibe são atualizações internacionais/regulatórias que podem não estar disponíveis ou incorporadas no SUS.</w:t>
      </w:r>
      <w:r>
        <w:rPr>
          <w:color w:val="5A5A5A"/>
          <w:sz w:val="16"/>
        </w:rPr>
        <w:t xml:space="preserve"> [1][10][11]</w:t>
      </w:r>
    </w:p>
    <w:p>
      <w:pPr>
        <w:pStyle w:val="Heading2"/>
        <w:spacing w:after="80" w:line="252" w:lineRule="auto"/>
      </w:pPr>
      <w:r>
        <w:t>10.2 Monitorização de TPO-RA</w:t>
      </w:r>
    </w:p>
    <w:p>
      <w:pPr>
        <w:pStyle w:val="ListBullet"/>
        <w:spacing w:after="80" w:line="252" w:lineRule="auto"/>
      </w:pPr>
      <w:r>
        <w:rPr>
          <w:sz w:val="20"/>
        </w:rPr>
        <w:t>Eltrombopague: AST/ALT/GGT/bilirrubina antes, a cada 2 semanas durante ajuste e mensal após dose estável; hemograma semanal no início/ajuste e depois mensal.</w:t>
      </w:r>
      <w:r>
        <w:rPr>
          <w:color w:val="5A5A5A"/>
          <w:sz w:val="16"/>
        </w:rPr>
        <w:t xml:space="preserve"> [1]</w:t>
      </w:r>
    </w:p>
    <w:p>
      <w:pPr>
        <w:pStyle w:val="ListBullet"/>
        <w:spacing w:after="80" w:line="252" w:lineRule="auto"/>
      </w:pPr>
      <w:r>
        <w:rPr>
          <w:sz w:val="20"/>
        </w:rPr>
        <w:t>Romiplostim: hemograma semanal durante ajuste; aumentar 1 mcg/kg se plaquetas &lt;50 mil; reduzir se plaquetas &gt;150 mil por 2 semanas; alvo usual 50-200 mil.</w:t>
      </w:r>
      <w:r>
        <w:rPr>
          <w:color w:val="5A5A5A"/>
          <w:sz w:val="16"/>
        </w:rPr>
        <w:t xml:space="preserve"> [1]</w:t>
      </w:r>
    </w:p>
    <w:p>
      <w:pPr>
        <w:pStyle w:val="ListBullet"/>
        <w:spacing w:after="80" w:line="252" w:lineRule="auto"/>
      </w:pPr>
      <w:r>
        <w:rPr>
          <w:sz w:val="20"/>
        </w:rPr>
        <w:t>Não mirar plaquetas normais; excesso aumenta risco trombótico.</w:t>
      </w:r>
      <w:r>
        <w:rPr>
          <w:color w:val="5A5A5A"/>
          <w:sz w:val="16"/>
        </w:rPr>
        <w:t xml:space="preserve"> [1]</w:t>
      </w:r>
    </w:p>
    <w:p>
      <w:pPr>
        <w:pStyle w:val="ListBullet"/>
        <w:spacing w:after="80" w:line="252" w:lineRule="auto"/>
      </w:pPr>
      <w:r>
        <w:rPr>
          <w:sz w:val="20"/>
        </w:rPr>
        <w:t>Se alterações leucoeritroblásticas e DHL elevada sugerirem reticulina/fibrose medular, discutir biópsia e troca/suspensão.</w:t>
      </w:r>
      <w:r>
        <w:rPr>
          <w:color w:val="5A5A5A"/>
          <w:sz w:val="16"/>
        </w:rPr>
        <w:t xml:space="preserve"> [1]</w:t>
      </w:r>
    </w:p>
    <w:p>
      <w:pPr>
        <w:pStyle w:val="Heading2"/>
        <w:spacing w:after="80" w:line="252" w:lineRule="auto"/>
      </w:pPr>
      <w:r>
        <w:t>10.3 Antes do rituximabe ou imunossupressores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Checklist</w:t>
            </w:r>
          </w:p>
        </w:tc>
        <w:tc>
          <w:tcPr>
            <w:tcW w:type="dxa" w:w="5046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Comentário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HBsAg, anti-HBc total, anti-HBs, HCV, HIV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Obrigatório pelo risco de reativação e para diferenciar PTI secundária.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Pesquisa de TB ativa/latente conforme risco/protocolo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PCDT recomenda avaliação para rituximabe, azatioprina e ciclofosfamida.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Imunoglobulinas quantitativas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Útil antes de rituximabe, especialmente se infecções recorrentes.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Vacinas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Atualizar antes de imunossupressão/esplenectomia quando possível.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Fertilidade/gestação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Fundamental para ciclofosfamida, danazol e rilzabrutinibe.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Plano de infecção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Orientar febre, sinais de infecção, evitar atraso no atendimento.</w:t>
            </w:r>
          </w:p>
        </w:tc>
      </w:tr>
    </w:tbl>
    <w:p>
      <w:pPr>
        <w:pStyle w:val="Heading1"/>
        <w:spacing w:after="80" w:line="252" w:lineRule="auto"/>
      </w:pPr>
      <w:r>
        <w:t>11. Situações especiais</w:t>
      </w:r>
    </w:p>
    <w:p>
      <w:pPr>
        <w:pStyle w:val="Heading2"/>
        <w:spacing w:after="80" w:line="252" w:lineRule="auto"/>
      </w:pPr>
      <w:r>
        <w:t>11.1 Procedimentos e cirurgia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Procedimento</w:t>
            </w:r>
          </w:p>
        </w:tc>
        <w:tc>
          <w:tcPr>
            <w:tcW w:type="dxa" w:w="5046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Plaquetas alvo sugeridas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Limpeza dental/profilaxia profunda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20.000-30.000/mm3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Extração dental simples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≥30.000/mm3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Bloqueio dental regional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≥30.000/mm3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Extração complexa / procedimento com maior sangramento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≥50.000/mm3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Cirurgia menor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≥50.000/mm3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Cirurgia maior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≥80.000/mm3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Neurocirurgia / cirurgia ocular posterior / sangramento SNC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≥100.000/mm3 se possível</w:t>
            </w:r>
          </w:p>
        </w:tc>
      </w:tr>
    </w:tbl>
    <w:p>
      <w:pPr>
        <w:spacing w:after="80" w:line="252" w:lineRule="auto"/>
      </w:pPr>
      <w:r>
        <w:rPr>
          <w:sz w:val="20"/>
        </w:rPr>
        <w:t>Para elevar plaquetas antes de procedimento, usar corticoide e/ou IVIg conforme urgência. Em urgência real, transfusão de plaquetas pode ser necessária junto à imunomodulação.</w:t>
      </w:r>
      <w:r>
        <w:rPr>
          <w:color w:val="5A5A5A"/>
          <w:sz w:val="16"/>
        </w:rPr>
        <w:t xml:space="preserve"> [1][4]</w:t>
      </w:r>
    </w:p>
    <w:p>
      <w:pPr>
        <w:pStyle w:val="Heading2"/>
        <w:spacing w:after="80" w:line="252" w:lineRule="auto"/>
      </w:pPr>
      <w:r>
        <w:t>11.2 Anticoagulação, antiagregação e trombose</w:t>
      </w:r>
    </w:p>
    <w:p>
      <w:pPr>
        <w:spacing w:after="80" w:line="252" w:lineRule="auto"/>
      </w:pPr>
      <w:r>
        <w:rPr>
          <w:sz w:val="20"/>
        </w:rPr>
        <w:t>PTI não protege contra trombose; corticoide, IVIg, TPO-RA, idade, câncer, imobilidade e esplenectomia podem aumentar risco trombótico. A decisão de anticoagular exige balancear sangramento atual, risco trombótico, estabilidade das plaquetas e possibilidade de elevar contagem rapidamente.</w:t>
      </w:r>
      <w:r>
        <w:rPr>
          <w:color w:val="5A5A5A"/>
          <w:sz w:val="16"/>
        </w:rPr>
        <w:t xml:space="preserve"> [1][4]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Plaquetas</w:t>
            </w:r>
          </w:p>
        </w:tc>
        <w:tc>
          <w:tcPr>
            <w:tcW w:type="dxa" w:w="336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Trombose venosa</w:t>
            </w:r>
          </w:p>
        </w:tc>
        <w:tc>
          <w:tcPr>
            <w:tcW w:type="dxa" w:w="336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Trombose arterial/antiagregante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&lt;25.000/mm3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Considerar tratar PTI para elevar ≥50.000/mm3 antes de anticoagulação plena; se trombose ameaçadora, discutir estratégia com Hematologia.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Antiagregante geralmente contraindicado; tratar para elevar plaquetas se indicação vital.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25.000-50.000/mm3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Pode exigir dose reduzida/estratégia individual, especialmente se instável ou sangramento.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Um antiagregante pode ser considerado se benefício alto e sem sangramento; evitar dupla antiagregação se possível.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≥50.000/mm3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Anticoagulação terapêutica geralmente possível se indicação formal.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AAS/antiagregante geralmente possível se indicação formal.</w:t>
            </w:r>
          </w:p>
        </w:tc>
      </w:tr>
    </w:tbl>
    <w:p>
      <w:pPr>
        <w:pStyle w:val="Heading2"/>
        <w:spacing w:after="80" w:line="252" w:lineRule="auto"/>
      </w:pPr>
      <w:r>
        <w:t>11.3 Profilaxia de TEV na enfermaria</w:t>
      </w:r>
    </w:p>
    <w:p>
      <w:pPr>
        <w:pStyle w:val="ListBullet"/>
        <w:spacing w:after="80" w:line="252" w:lineRule="auto"/>
      </w:pPr>
      <w:r>
        <w:rPr>
          <w:sz w:val="20"/>
        </w:rPr>
        <w:t>Se plaquetas ≥50.000/mm3 e risco de TEV alto, profilaxia farmacológica costuma ser aceitável, salvo sangramento ativo.</w:t>
      </w:r>
    </w:p>
    <w:p>
      <w:pPr>
        <w:pStyle w:val="ListBullet"/>
        <w:spacing w:after="80" w:line="252" w:lineRule="auto"/>
      </w:pPr>
      <w:r>
        <w:rPr>
          <w:sz w:val="20"/>
        </w:rPr>
        <w:t>Se plaquetas &lt;50.000/mm3, preferir compressão pneumática/meias, reavaliando diariamente; discutir farmacológica se trombose muito provável ou risco extremo.</w:t>
      </w:r>
    </w:p>
    <w:p>
      <w:pPr>
        <w:pStyle w:val="ListBullet"/>
        <w:spacing w:after="80" w:line="252" w:lineRule="auto"/>
      </w:pPr>
      <w:r>
        <w:rPr>
          <w:sz w:val="20"/>
        </w:rPr>
        <w:t>Se houver suspeita de HIT, não usar heparina até esclarecer.</w:t>
      </w:r>
    </w:p>
    <w:p>
      <w:pPr>
        <w:pStyle w:val="Heading2"/>
        <w:spacing w:after="80" w:line="252" w:lineRule="auto"/>
      </w:pPr>
      <w:r>
        <w:t>11.4 Gestação</w:t>
      </w:r>
    </w:p>
    <w:p>
      <w:pPr>
        <w:spacing w:after="80" w:line="252" w:lineRule="auto"/>
      </w:pPr>
      <w:r>
        <w:rPr>
          <w:sz w:val="20"/>
        </w:rPr>
        <w:t>Na gestação, o tratamento é guiado por indicação materna. Em geral, observar se plaquetas 20.000-30.000/mm3 e sem sangramento durante boa parte da gestação; buscar ≥50.000/mm3 para parto e cerca de 70.000-80.000/mm3 para anestesia neuroaxial, conforme anestesia/obstetrícia. Prednisona em baixa dose e IVIg são opções principais; evitar danazol, vinca e imunossupressores não indicados.</w:t>
      </w:r>
      <w:r>
        <w:rPr>
          <w:color w:val="5A5A5A"/>
          <w:sz w:val="16"/>
        </w:rPr>
        <w:t xml:space="preserve"> [1][4]</w:t>
      </w:r>
    </w:p>
    <w:p>
      <w:pPr>
        <w:pStyle w:val="Heading2"/>
        <w:spacing w:after="80" w:line="252" w:lineRule="auto"/>
      </w:pPr>
      <w:r>
        <w:t>11.5 Idoso e paciente frágil</w:t>
      </w:r>
    </w:p>
    <w:p>
      <w:pPr>
        <w:pStyle w:val="ListBullet"/>
        <w:spacing w:after="80" w:line="252" w:lineRule="auto"/>
      </w:pPr>
      <w:r>
        <w:rPr>
          <w:sz w:val="20"/>
        </w:rPr>
        <w:t>Maior risco de sangramento grave e de complicações do corticoide.</w:t>
      </w:r>
    </w:p>
    <w:p>
      <w:pPr>
        <w:pStyle w:val="ListBullet"/>
        <w:spacing w:after="80" w:line="252" w:lineRule="auto"/>
      </w:pPr>
      <w:r>
        <w:rPr>
          <w:sz w:val="20"/>
        </w:rPr>
        <w:t>Investigar SMD, linfoproliferação, gamopatia, hepatopatia e fármacos com mais rigor se achados atípicos.</w:t>
      </w:r>
    </w:p>
    <w:p>
      <w:pPr>
        <w:pStyle w:val="ListBullet"/>
        <w:spacing w:after="80" w:line="252" w:lineRule="auto"/>
      </w:pPr>
      <w:r>
        <w:rPr>
          <w:sz w:val="20"/>
        </w:rPr>
        <w:t>Preferir curso curto de corticoide, plano de desmame claro e transição precoce para segunda linha quando dependente.</w:t>
      </w:r>
    </w:p>
    <w:p>
      <w:pPr>
        <w:pStyle w:val="ListBullet"/>
        <w:spacing w:after="80" w:line="252" w:lineRule="auto"/>
      </w:pPr>
      <w:r>
        <w:rPr>
          <w:sz w:val="20"/>
        </w:rPr>
        <w:t>Avaliar quedas, HAS, polifarmácia, anticoagulação, função renal e suporte social antes de alta.</w:t>
      </w:r>
    </w:p>
    <w:p>
      <w:pPr>
        <w:pStyle w:val="Heading2"/>
        <w:spacing w:after="80" w:line="252" w:lineRule="auto"/>
      </w:pPr>
      <w:r>
        <w:t>11.6 PTI secundária a LES/APS/infeções/linfoproliferação</w:t>
      </w:r>
    </w:p>
    <w:p>
      <w:pPr>
        <w:spacing w:after="80" w:line="252" w:lineRule="auto"/>
      </w:pPr>
      <w:r>
        <w:rPr>
          <w:sz w:val="20"/>
        </w:rPr>
        <w:t>Quando houver PTI secundária, tratar a doença de base é parte do tratamento. HIV/HCV/HBV, LES/APS, CVID e linfoproliferação podem mudar prognóstico, risco trombótico e escolha terapêutica. Em LES/APS, atenção especial a trombose, anticoagulação e uso de TPO-RA; em HIV/HCV/HBV, envolver infectologia/hepatologia e evitar imunossupressão não planejada.</w:t>
      </w:r>
      <w:r>
        <w:rPr>
          <w:color w:val="5A5A5A"/>
          <w:sz w:val="16"/>
        </w:rPr>
        <w:t xml:space="preserve"> [1][4]</w:t>
      </w:r>
    </w:p>
    <w:p>
      <w:pPr>
        <w:pStyle w:val="Heading1"/>
        <w:spacing w:after="80" w:line="252" w:lineRule="auto"/>
      </w:pPr>
      <w:r>
        <w:t>12. Alta, seguimento, checklist e modelo de evolução</w:t>
      </w:r>
    </w:p>
    <w:p>
      <w:pPr>
        <w:pStyle w:val="Heading2"/>
        <w:spacing w:after="80" w:line="252" w:lineRule="auto"/>
      </w:pPr>
      <w:r>
        <w:t>12.1 Critérios práticos de alta</w:t>
      </w:r>
    </w:p>
    <w:p>
      <w:pPr>
        <w:pStyle w:val="ListBullet"/>
        <w:spacing w:after="80" w:line="252" w:lineRule="auto"/>
      </w:pPr>
      <w:r>
        <w:rPr>
          <w:sz w:val="20"/>
        </w:rPr>
        <w:t>Sem sangramento ativo clinicamente relevante por 24-48 h.</w:t>
      </w:r>
    </w:p>
    <w:p>
      <w:pPr>
        <w:pStyle w:val="ListBullet"/>
        <w:spacing w:after="80" w:line="252" w:lineRule="auto"/>
      </w:pPr>
      <w:r>
        <w:rPr>
          <w:sz w:val="20"/>
        </w:rPr>
        <w:t>Plaquetas em ascensão ou estáveis em faixa hemostática segura para o contexto, geralmente &gt;20.000-30.000/mm3 sem sangramento e maior se risco/procedimento.</w:t>
      </w:r>
    </w:p>
    <w:p>
      <w:pPr>
        <w:pStyle w:val="ListBullet"/>
        <w:spacing w:after="80" w:line="252" w:lineRule="auto"/>
      </w:pPr>
      <w:r>
        <w:rPr>
          <w:sz w:val="20"/>
        </w:rPr>
        <w:t>Diagnóstico alternativo grave razoavelmente afastado.</w:t>
      </w:r>
    </w:p>
    <w:p>
      <w:pPr>
        <w:pStyle w:val="ListBullet"/>
        <w:spacing w:after="80" w:line="252" w:lineRule="auto"/>
      </w:pPr>
      <w:r>
        <w:rPr>
          <w:sz w:val="20"/>
        </w:rPr>
        <w:t>Plano de corticoide com data de desmame, monitorização de glicemia/PA e retorno definido.</w:t>
      </w:r>
    </w:p>
    <w:p>
      <w:pPr>
        <w:pStyle w:val="ListBullet"/>
        <w:spacing w:after="80" w:line="252" w:lineRule="auto"/>
      </w:pPr>
      <w:r>
        <w:rPr>
          <w:sz w:val="20"/>
        </w:rPr>
        <w:t>Consulta com Hematologia ou referência pactuada; reavaliação laboratorial em 24-72 h se recente/grave.</w:t>
      </w:r>
    </w:p>
    <w:p>
      <w:pPr>
        <w:pStyle w:val="ListBullet"/>
        <w:spacing w:after="80" w:line="252" w:lineRule="auto"/>
      </w:pPr>
      <w:r>
        <w:rPr>
          <w:sz w:val="20"/>
        </w:rPr>
        <w:t>Educação escrita: evitar AAS/AINEs, trauma, esportes de contato, álcool excessivo; retornar se cefaleia intensa, alteração neurológica, melena, hematúria, epistaxe persistente, menorragia intensa ou síncope.</w:t>
      </w:r>
    </w:p>
    <w:p>
      <w:pPr>
        <w:pStyle w:val="Heading2"/>
        <w:spacing w:after="80" w:line="252" w:lineRule="auto"/>
      </w:pPr>
      <w:r>
        <w:t>12.2 Checklist de alta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5046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OK?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Hemograma de controle realizado e tendência documentada.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Sangramento resolvido ou controlado.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Medicações hemorrágicas revisadas: AAS, AINE, antiagregante, anticoagulante, fitoterápicos.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Plano de corticoide/desmame escrito.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 recebeu IVIg: orientar cefaleia intensa, trombose, oligúria, retorno se sintomas.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Sorologias e investigação secundária encaminhadas.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Retorno com Hematologia/Clínica definido.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Orientações de sinais de alarme entregues.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</w:tbl>
    <w:p>
      <w:pPr>
        <w:pStyle w:val="Heading2"/>
        <w:spacing w:after="80" w:line="252" w:lineRule="auto"/>
      </w:pPr>
      <w:r>
        <w:t>12.3 Modelo de evolução médica objetiva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AF2F8"/>
          </w:tcPr>
          <w:p>
            <w:r>
              <w:rPr>
                <w:b/>
                <w:color w:val="1F4E79"/>
                <w:sz w:val="20"/>
              </w:rPr>
              <w:t>EVOLUÇÃO - PTI / PLAQUETOPENIA IMUNE</w:t>
            </w:r>
          </w:p>
          <w:p>
            <w:pPr>
              <w:spacing w:after="0"/>
            </w:pPr>
            <w:r>
              <w:rPr>
                <w:sz w:val="18"/>
              </w:rPr>
              <w:t>ID: Paciente __ anos, internado por plaquetopenia severa/sangramento _____.</w:t>
            </w:r>
            <w:r>
              <w:br/>
            </w:r>
            <w:r>
              <w:rPr>
                <w:sz w:val="18"/>
              </w:rPr>
              <w:t>Hipótese principal: PTI primária provável / PTI secundária a ____ / plaquetopenia em investigação.</w:t>
            </w:r>
            <w:r>
              <w:br/>
            </w:r>
            <w:r>
              <w:rPr>
                <w:sz w:val="18"/>
              </w:rPr>
              <w:t>Dados a favor: plaquetas _____; Hb/leuco _____; esfregaço ____; TP/TTPa/fibrinogênio ____; sem/com hemólise; HIV/HCV/HBV ____; USG/baço _____.</w:t>
            </w:r>
            <w:r>
              <w:br/>
            </w:r>
            <w:r>
              <w:rPr>
                <w:sz w:val="18"/>
              </w:rPr>
              <w:t>Diferenciais perigosos afastados? TTP/CIVD/HIT/doença medular/fármaco: _____.</w:t>
            </w:r>
            <w:r>
              <w:br/>
            </w:r>
            <w:r>
              <w:rPr>
                <w:sz w:val="18"/>
              </w:rPr>
              <w:t>Sangramento hoje: pele/mucosa/GI/GU/SNC; gravidade _____.</w:t>
            </w:r>
            <w:r>
              <w:br/>
            </w:r>
            <w:r>
              <w:rPr>
                <w:sz w:val="18"/>
              </w:rPr>
              <w:t>Tratamento: prednisona/dexa/metilpred/IVIg/plaquetas/outros; D____ de tratamento.</w:t>
            </w:r>
            <w:r>
              <w:br/>
            </w:r>
            <w:r>
              <w:rPr>
                <w:sz w:val="18"/>
              </w:rPr>
              <w:t>Resposta: plaquetas ontem ____ hoje ____; sangramento ____; eventos adversos _____.</w:t>
            </w:r>
            <w:r>
              <w:br/>
            </w:r>
            <w:r>
              <w:rPr>
                <w:sz w:val="18"/>
              </w:rPr>
              <w:t>Conduta: manter/ajustar; hemograma em ____; evitar AAS/AINE/IM; controle PA/glicemia; hematologia; critérios de alta _____.</w:t>
            </w:r>
            <w:r>
              <w:br/>
            </w:r>
          </w:p>
        </w:tc>
      </w:tr>
    </w:tbl>
    <w:p>
      <w:pPr>
        <w:pStyle w:val="Heading2"/>
        <w:spacing w:after="80" w:line="252" w:lineRule="auto"/>
      </w:pPr>
      <w:r>
        <w:t>12.4 Prescrições-base para adaptar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Situação</w:t>
            </w:r>
          </w:p>
        </w:tc>
        <w:tc>
          <w:tcPr>
            <w:tcW w:type="dxa" w:w="5046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Prescrição-base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PTI sem sangramento maior, precisa tratamento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Prednisona 0,5-1 mg/kg VO pela manhã OU dexametasona 40 mg VO/EV 1x/dia por 4 dias. Ajustar a comorbidades e risco psiquiátrico/metabólico.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Sangramento mucoso importante ou procedimento urgente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Dexametasona 40 mg/dia por 4 dias ou metilprednisolona se grave + IVIg 1 g/kg/dia por 1-2 dias. Medidas locais.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Sangramento crítico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Metilprednisolona 1 g EV/dia por 3 dias + IVIg 1 g/kg EV hoje (repetir se necessário) + plaquetas imediatas/repetidas + suporte intensivo.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Mucosa oral/nasal sem contraindicação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Considerar ácido tranexâmico conforme protocolo local e avaliação de risco trombótico/hematúria.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Profilaxia gástrica/controle metabólico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PPI se risco GI; glicemia capilar e insulina conforme necessidade; controle pressórico; medidas de sono/delirium.</w:t>
            </w:r>
          </w:p>
        </w:tc>
      </w:tr>
    </w:tbl>
    <w:p>
      <w:pPr>
        <w:pStyle w:val="Heading1"/>
        <w:spacing w:after="80" w:line="252" w:lineRule="auto"/>
      </w:pPr>
      <w:r>
        <w:t>13. Peculiaridades, armadilhas e aprofundamento</w:t>
      </w:r>
    </w:p>
    <w:p>
      <w:pPr>
        <w:pStyle w:val="Heading2"/>
        <w:spacing w:after="80" w:line="252" w:lineRule="auto"/>
      </w:pPr>
      <w:r>
        <w:t>13.1 Dez armadilhas clássicas</w:t>
      </w:r>
    </w:p>
    <w:p>
      <w:pPr>
        <w:pStyle w:val="ListNumber"/>
        <w:spacing w:after="80" w:line="252" w:lineRule="auto"/>
      </w:pPr>
      <w:r>
        <w:rPr>
          <w:sz w:val="20"/>
        </w:rPr>
        <w:t>Diagnosticar PTI sem olhar esfregaço.</w:t>
      </w:r>
    </w:p>
    <w:p>
      <w:pPr>
        <w:pStyle w:val="ListNumber"/>
        <w:spacing w:after="80" w:line="252" w:lineRule="auto"/>
      </w:pPr>
      <w:r>
        <w:rPr>
          <w:sz w:val="20"/>
        </w:rPr>
        <w:t>Esquecer pseudotrombocitopenia por EDTA.</w:t>
      </w:r>
    </w:p>
    <w:p>
      <w:pPr>
        <w:pStyle w:val="ListNumber"/>
        <w:spacing w:after="80" w:line="252" w:lineRule="auto"/>
      </w:pPr>
      <w:r>
        <w:rPr>
          <w:sz w:val="20"/>
        </w:rPr>
        <w:t>Ignorar esquizócitos e tratar TTP como PTI.</w:t>
      </w:r>
    </w:p>
    <w:p>
      <w:pPr>
        <w:pStyle w:val="ListNumber"/>
        <w:spacing w:after="80" w:line="252" w:lineRule="auto"/>
      </w:pPr>
      <w:r>
        <w:rPr>
          <w:sz w:val="20"/>
        </w:rPr>
        <w:t>Transfundir plaquetas “pelo número” em PTI sem sangramento/procedimento.</w:t>
      </w:r>
    </w:p>
    <w:p>
      <w:pPr>
        <w:pStyle w:val="ListNumber"/>
        <w:spacing w:after="80" w:line="252" w:lineRule="auto"/>
      </w:pPr>
      <w:r>
        <w:rPr>
          <w:sz w:val="20"/>
        </w:rPr>
        <w:t>Manter prednisona por meses por falta de plano de segunda linha.</w:t>
      </w:r>
    </w:p>
    <w:p>
      <w:pPr>
        <w:pStyle w:val="ListNumber"/>
        <w:spacing w:after="80" w:line="252" w:lineRule="auto"/>
      </w:pPr>
      <w:r>
        <w:rPr>
          <w:sz w:val="20"/>
        </w:rPr>
        <w:t>Não rastrear HIV/HCV/HBV em adulto.</w:t>
      </w:r>
    </w:p>
    <w:p>
      <w:pPr>
        <w:pStyle w:val="ListNumber"/>
        <w:spacing w:after="80" w:line="252" w:lineRule="auto"/>
      </w:pPr>
      <w:r>
        <w:rPr>
          <w:sz w:val="20"/>
        </w:rPr>
        <w:t>Usar AINEs para dor em paciente com plaquetas críticas.</w:t>
      </w:r>
    </w:p>
    <w:p>
      <w:pPr>
        <w:pStyle w:val="ListNumber"/>
        <w:spacing w:after="80" w:line="252" w:lineRule="auto"/>
      </w:pPr>
      <w:r>
        <w:rPr>
          <w:sz w:val="20"/>
        </w:rPr>
        <w:t>Não avaliar fármacos novos dos últimos 5-10 dias.</w:t>
      </w:r>
    </w:p>
    <w:p>
      <w:pPr>
        <w:pStyle w:val="ListNumber"/>
        <w:spacing w:after="80" w:line="252" w:lineRule="auto"/>
      </w:pPr>
      <w:r>
        <w:rPr>
          <w:sz w:val="20"/>
        </w:rPr>
        <w:t>Perseguir plaquetas normais com TPO-RA, elevando risco trombótico.</w:t>
      </w:r>
    </w:p>
    <w:p>
      <w:pPr>
        <w:pStyle w:val="ListNumber"/>
        <w:spacing w:after="80" w:line="252" w:lineRule="auto"/>
      </w:pPr>
      <w:r>
        <w:rPr>
          <w:sz w:val="20"/>
        </w:rPr>
        <w:t>Dar alta sem retorno/laboratório em curto prazo em PTI recém-diagnosticada grave.</w:t>
      </w:r>
    </w:p>
    <w:p>
      <w:pPr>
        <w:pStyle w:val="Heading2"/>
        <w:spacing w:after="80" w:line="252" w:lineRule="auto"/>
      </w:pPr>
      <w:r>
        <w:t>13.2 Mnemônicos úteis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Mnemônico</w:t>
            </w:r>
          </w:p>
        </w:tc>
        <w:tc>
          <w:tcPr>
            <w:tcW w:type="dxa" w:w="5046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PLAQUETA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Pseudotrombo? Lâmina? Anticoagulantes/AAS? Quadro de sangramento? Urgência? Esfregaço com esquizócito/blasto? Terapia precisa? Acompanhamento?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MUCOSA = mais medo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Mucosa volumosa, Urgente, Corticoide + IVIg, Observar queda de Hb, Suporte local, Acionar Hemato.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PTI não normaliza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Prevenir sangramento, Tratar o paciente, Individualizar meta.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TTP mata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Trombocitopenia + hemólise, Tratar antes do ADAMTS13 se alta suspeita, Plasmaférese precoce.</w:t>
            </w:r>
          </w:p>
        </w:tc>
      </w:tr>
    </w:tbl>
    <w:p>
      <w:pPr>
        <w:pStyle w:val="Heading2"/>
        <w:spacing w:after="80" w:line="252" w:lineRule="auto"/>
      </w:pPr>
      <w:r>
        <w:t>13.3 Atualizações e novas terapias</w:t>
      </w:r>
    </w:p>
    <w:p>
      <w:pPr>
        <w:spacing w:after="80" w:line="252" w:lineRule="auto"/>
      </w:pPr>
      <w:r>
        <w:rPr>
          <w:sz w:val="20"/>
        </w:rPr>
        <w:t>Além dos TPO-RA clássicos e rituximabe, o cenário internacional inclui agentes como fostamatinibe (inibidor de SYK) e rilzabrutinibe (inibidor de BTK aprovado pela FDA em 2025 para PTI persistente/crônica após resposta insuficiente a tratamento prévio). Essas opções são relevantes para atualização acadêmica e discussão especializada, mas a decisão prática no Brasil deve considerar bula local, incorporação, custo, disponibilidade e PCDT vigente.</w:t>
      </w:r>
      <w:r>
        <w:rPr>
          <w:color w:val="5A5A5A"/>
          <w:sz w:val="16"/>
        </w:rPr>
        <w:t xml:space="preserve"> [10][11]</w:t>
      </w:r>
    </w:p>
    <w:p>
      <w:pPr>
        <w:pStyle w:val="Heading2"/>
        <w:spacing w:after="80" w:line="252" w:lineRule="auto"/>
      </w:pPr>
      <w:r>
        <w:t>13.4 Sugestões de estudo e termos de busca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Fonte/termo</w:t>
            </w:r>
          </w:p>
        </w:tc>
        <w:tc>
          <w:tcPr>
            <w:tcW w:type="dxa" w:w="5046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O que procurar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UpToDate: “Immune thrombocytopenia adults treatment”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Visão prática de primeira e segunda linha.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UpToDate: “Approach to the adult with thrombocytopenia”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Diagnóstico diferencial amplo para enfermaria.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PubMed: “immune thrombocytopenia critical bleeding platelet transfusion IVIG corticosteroids”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Evidência de emergência e desfechos.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PubMed: “TPO receptor agonists immune thrombocytopenia thrombosis risk”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Risco trombótico e monitorização.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Guidelines: ASH ITP guidelines / International consensus report ITP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Recomendações formais e algoritmo de segunda linha.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PCDT Trombocitopenia Imune Primária CONITEC 2026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Acesso e padronização no SUS.</w:t>
            </w:r>
          </w:p>
        </w:tc>
      </w:tr>
    </w:tbl>
    <w:p>
      <w:pPr>
        <w:pStyle w:val="Heading1"/>
        <w:spacing w:after="80" w:line="252" w:lineRule="auto"/>
      </w:pPr>
      <w:r>
        <w:t>14. Referências essenciais</w:t>
      </w:r>
    </w:p>
    <w:p>
      <w:pPr>
        <w:spacing w:after="80" w:line="252" w:lineRule="auto"/>
      </w:pPr>
      <w:r>
        <w:rPr>
          <w:sz w:val="20"/>
        </w:rPr>
        <w:t>As referências abaixo foram priorizadas por atualidade, aplicabilidade clínica e autoridade regulatória/científica. O PCDT brasileiro de 2026 foi usado como referência central para conduta no SUS; ASH e consenso internacional foram usados para alinhamento global e pontos de prática clínica.</w:t>
      </w:r>
    </w:p>
    <w:p>
      <w:pPr>
        <w:spacing w:after="80" w:line="252" w:lineRule="auto"/>
        <w:ind w:left="283" w:hanging="283"/>
      </w:pPr>
      <w:r>
        <w:rPr>
          <w:b/>
          <w:sz w:val="16"/>
        </w:rPr>
        <w:t xml:space="preserve">[1] </w:t>
      </w:r>
      <w:r>
        <w:rPr>
          <w:sz w:val="16"/>
        </w:rPr>
        <w:t>Ministério da Saúde/CONITEC. Relatório de Recomendação nº 1049/2026 e Portaria Conjunta nº 41, de 25 de fevereiro de 2026: Protocolo Clínico e Diretrizes Terapêuticas da Trombocitopenia Imune Primária. Brasil, 2026. https://www.gov.br/conitec/pt-br/midias/relatorios/2026/relatorio-de-recomendacao-no-1049-pcdt-trombocitopenia-imune-primaria</w:t>
      </w:r>
    </w:p>
    <w:p>
      <w:pPr>
        <w:spacing w:after="80" w:line="252" w:lineRule="auto"/>
        <w:ind w:left="283" w:hanging="283"/>
      </w:pPr>
      <w:r>
        <w:rPr>
          <w:b/>
          <w:sz w:val="16"/>
        </w:rPr>
        <w:t xml:space="preserve">[2] </w:t>
      </w:r>
      <w:r>
        <w:rPr>
          <w:sz w:val="16"/>
        </w:rPr>
        <w:t>Neunert C, Terrell DR, Arnold DM, et al. American Society of Hematology 2019 guidelines for immune thrombocytopenia. Blood Advances. 2019;3(23):3829-3866. DOI: 10.1182/bloodadvances.2019000966.</w:t>
      </w:r>
    </w:p>
    <w:p>
      <w:pPr>
        <w:spacing w:after="80" w:line="252" w:lineRule="auto"/>
        <w:ind w:left="283" w:hanging="283"/>
      </w:pPr>
      <w:r>
        <w:rPr>
          <w:b/>
          <w:sz w:val="16"/>
        </w:rPr>
        <w:t xml:space="preserve">[3] </w:t>
      </w:r>
      <w:r>
        <w:rPr>
          <w:sz w:val="16"/>
        </w:rPr>
        <w:t>American Society of Hematology. Management of Immune Thrombocytopenia (ITP): Pocket Guide for the Clinician. ASH Clinical Practice Guidelines, 2019. https://www.hematology.org/education/clinicians/guidelines-and-quality-care/clinical-practice-guidelines/immune-thrombocytopenia-guidelines</w:t>
      </w:r>
    </w:p>
    <w:p>
      <w:pPr>
        <w:spacing w:after="80" w:line="252" w:lineRule="auto"/>
        <w:ind w:left="283" w:hanging="283"/>
      </w:pPr>
      <w:r>
        <w:rPr>
          <w:b/>
          <w:sz w:val="16"/>
        </w:rPr>
        <w:t xml:space="preserve">[4] </w:t>
      </w:r>
      <w:r>
        <w:rPr>
          <w:sz w:val="16"/>
        </w:rPr>
        <w:t>Provan D, Arnold DM, Bussel JB, et al. Updated international consensus report on the investigation and management of primary immune thrombocytopenia. Blood Advances. 2019;3(22):3780-3817. DOI: 10.1182/bloodadvances.2019000812.</w:t>
      </w:r>
    </w:p>
    <w:p>
      <w:pPr>
        <w:spacing w:after="80" w:line="252" w:lineRule="auto"/>
        <w:ind w:left="283" w:hanging="283"/>
      </w:pPr>
      <w:r>
        <w:rPr>
          <w:b/>
          <w:sz w:val="16"/>
        </w:rPr>
        <w:t xml:space="preserve">[5] </w:t>
      </w:r>
      <w:r>
        <w:rPr>
          <w:sz w:val="16"/>
        </w:rPr>
        <w:t>Neunert CE, Terrell DR, Grace RF, et al. The 2022 review of the 2019 American Society of Hematology guidelines on immune thrombocytopenia. Blood Advances. 2024;8(13):3578-3582. DOI: 10.1182/bloodadvances.2023011321.</w:t>
      </w:r>
    </w:p>
    <w:p>
      <w:pPr>
        <w:spacing w:after="80" w:line="252" w:lineRule="auto"/>
        <w:ind w:left="283" w:hanging="283"/>
      </w:pPr>
      <w:r>
        <w:rPr>
          <w:b/>
          <w:sz w:val="16"/>
        </w:rPr>
        <w:t xml:space="preserve">[6] </w:t>
      </w:r>
      <w:r>
        <w:rPr>
          <w:sz w:val="16"/>
        </w:rPr>
        <w:t>Sirotich E, Chowdhury SR, et al. Critical bleeding in adults and children with immune thrombocytopenia: a multicenter cohort study. Blood Advances. 2025. DOI: 10.1182/bloodadvances.2024015494.</w:t>
      </w:r>
    </w:p>
    <w:p>
      <w:pPr>
        <w:spacing w:after="80" w:line="252" w:lineRule="auto"/>
        <w:ind w:left="283" w:hanging="283"/>
      </w:pPr>
      <w:r>
        <w:rPr>
          <w:b/>
          <w:sz w:val="16"/>
        </w:rPr>
        <w:t xml:space="preserve">[7] </w:t>
      </w:r>
      <w:r>
        <w:rPr>
          <w:sz w:val="16"/>
        </w:rPr>
        <w:t>Hospital Israelita Albert Einstein. Guia do Episódio de Cuidado: Púrpura Trombocitopênica Imune. Pathways, 2024. https://medicalsuite.einstein.br/pratica-medica/Pathways/P%C3%BArpura-Trombocitop%C3%AAnica-Imune.pdf</w:t>
      </w:r>
    </w:p>
    <w:p>
      <w:pPr>
        <w:spacing w:after="80" w:line="252" w:lineRule="auto"/>
        <w:ind w:left="283" w:hanging="283"/>
      </w:pPr>
      <w:r>
        <w:rPr>
          <w:b/>
          <w:sz w:val="16"/>
        </w:rPr>
        <w:t xml:space="preserve">[8] </w:t>
      </w:r>
      <w:r>
        <w:rPr>
          <w:sz w:val="16"/>
        </w:rPr>
        <w:t>Oxford Haematology NSSG. ITP diagnosis and treatment: Guidelines for the investigation and initial treatment of immune thrombocytopenia in adults. Version 1.2, updated 29/11/2023. https://nssg.oxford-haematology.org.uk/immunohaematology/documents/itp/IM-1-itp-diagnosis-and-treatment.pdf</w:t>
      </w:r>
    </w:p>
    <w:p>
      <w:pPr>
        <w:spacing w:after="80" w:line="252" w:lineRule="auto"/>
        <w:ind w:left="283" w:hanging="283"/>
      </w:pPr>
      <w:r>
        <w:rPr>
          <w:b/>
          <w:sz w:val="16"/>
        </w:rPr>
        <w:t xml:space="preserve">[9] </w:t>
      </w:r>
      <w:r>
        <w:rPr>
          <w:sz w:val="16"/>
        </w:rPr>
        <w:t>Zheng XL, et al. 2025 focused update of the 2020 ISTH guidelines for management of thrombotic thrombocytopenic purpura. Journal of Thrombosis and Haemostasis. 2025.</w:t>
      </w:r>
    </w:p>
    <w:p>
      <w:pPr>
        <w:spacing w:after="80" w:line="252" w:lineRule="auto"/>
        <w:ind w:left="283" w:hanging="283"/>
      </w:pPr>
      <w:r>
        <w:rPr>
          <w:b/>
          <w:sz w:val="16"/>
        </w:rPr>
        <w:t xml:space="preserve">[10] </w:t>
      </w:r>
      <w:r>
        <w:rPr>
          <w:sz w:val="16"/>
        </w:rPr>
        <w:t>FDA. FDA Approves Drug to Treat Adults with Persistent or Chronic Immune Thrombocytopenia: rilzabrutinib/Wayrilz. Content current as of 09/02/2025. https://www.fda.gov/drugs/news-events-human-drugs/fda-approves-drug-treat-adults-persistent-or-chronic-immune-thrombocytopenia</w:t>
      </w:r>
    </w:p>
    <w:p>
      <w:pPr>
        <w:spacing w:after="80" w:line="252" w:lineRule="auto"/>
        <w:ind w:left="283" w:hanging="283"/>
      </w:pPr>
      <w:r>
        <w:rPr>
          <w:b/>
          <w:sz w:val="16"/>
        </w:rPr>
        <w:t xml:space="preserve">[11] </w:t>
      </w:r>
      <w:r>
        <w:rPr>
          <w:sz w:val="16"/>
        </w:rPr>
        <w:t>Rigel Pharmaceuticals. FDA approval of fostamatinib/Tavalisse for chronic immune thrombocytopenia in adults with insufficient response to prior therapy. 2018. https://www.rigel.com/news-media/press-releases/detail/228/rigel-announces-fda-approval-of-tavalisse-fostamatinib</w:t>
      </w:r>
    </w:p>
    <w:p>
      <w:pPr>
        <w:spacing w:after="80" w:line="252" w:lineRule="auto"/>
        <w:ind w:left="283" w:hanging="283"/>
      </w:pPr>
      <w:r>
        <w:rPr>
          <w:b/>
          <w:sz w:val="16"/>
        </w:rPr>
        <w:t xml:space="preserve">[12] </w:t>
      </w:r>
      <w:r>
        <w:rPr>
          <w:sz w:val="16"/>
        </w:rPr>
        <w:t>Kashiwagi H, Kuwana M, Murata M, et al. Reference guide for the diagnosis of adult primary immune thrombocytopenia, 2023 edition. International Journal of Hematology. 2024;119:221-238. DOI: 10.1007/s12185-023-03672-1.</w:t>
      </w:r>
    </w:p>
    <w:p>
      <w:pPr>
        <w:pStyle w:val="Heading1"/>
        <w:spacing w:after="80" w:line="252" w:lineRule="auto"/>
      </w:pPr>
      <w:r>
        <w:t>Apêndice: sinalização rápida para o plantão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Cenário</w:t>
            </w:r>
          </w:p>
        </w:tc>
        <w:tc>
          <w:tcPr>
            <w:tcW w:type="dxa" w:w="5046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Conduta curta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Plaquetas 45 mil, sem sangramento, PTI conhecida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Observar, revisar fármacos, hemograma seriado e retorno; tratar se alto risco/procedimento.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Plaquetas 18 mil, novo diagnóstico, só petéquias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Internar/monitorar ou observação muito estreita; iniciar corticoide; excluir pseudotrombo/TTP/CIVD/fármacos.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Plaquetas 8 mil + epistaxe volumosa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Corticoide + IVIg + medidas locais; considerar plaquetas se sangramento importante/refratário.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Plaquetas 5 mil + melena/queda de Hb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Emergência: metilpred + IVIg + plaquetas + suporte + endoscopia/UTI/Hemato.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Plaquetas 15 mil + esquizócitos/DHL alta/IRA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Não é PTI até prova em contrário: suspeitar TTP/SHU; acionar Hemato/plasmaférese.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64" w:right="907" w:bottom="9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Material de apoio clínico. Individualizar conduta e discutir com Hematologia nos casos graves/refratários.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PTI em enfermaria de Clínica Médica | Protocolo prático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