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zul_de_metileno_no_choque_séptic_cff023"/>
      <w:r>
        <w:rPr>
          <w:rFonts w:eastAsia="georgia" w:cs="georgia" w:ascii="georgia" w:hAnsi="georgia"/>
          <w:b/>
          <w:color w:val="000000"/>
          <w:sz w:val="39"/>
        </w:rPr>
        <w:t xml:space="preserve">🔵 Azul de metileno no choque séptico refratário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relatório_técnico_para_uti_temi_e_bb6c9d"/>
      <w:r>
        <w:rPr>
          <w:rFonts w:eastAsia="georgia" w:cs="georgia" w:ascii="georgia" w:hAnsi="georgia"/>
          <w:b/>
          <w:color w:val="000000"/>
          <w:sz w:val="24"/>
        </w:rPr>
        <w:t xml:space="preserve">Relatório técnico para UTI, TEMI e decisão clínica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Mensagem executiva:</w:t>
      </w:r>
      <w:r>
        <w:rPr>
          <w:rFonts w:eastAsia="georgia" w:cs="georgia" w:ascii="georgia" w:hAnsi="georgia"/>
          <w:color w:val="000000"/>
        </w:rPr>
        <w:t xml:space="preserve"> o azul de metileno (AM) é uma terapia adjuvante, off-label, para fenótipo vasoplégico do choque séptico, com sinal mais consistente de benefício em </w:t>
      </w:r>
      <w:r>
        <w:rPr>
          <w:rFonts w:eastAsia="georgia" w:cs="georgia" w:ascii="georgia" w:hAnsi="georgia"/>
          <w:b/>
          <w:color w:val="000000"/>
        </w:rPr>
        <w:t xml:space="preserve">redução de tempo/dose de vasopressor</w:t>
      </w:r>
      <w:r>
        <w:rPr>
          <w:rFonts w:eastAsia="georgia" w:cs="georgia" w:ascii="georgia" w:hAnsi="georgia"/>
          <w:color w:val="000000"/>
        </w:rPr>
        <w:t xml:space="preserve">, mas com incerteza persistente sobre mortalidade e sobre o melhor esquema de dose. A Surviving Sepsis Campaign 2026 afirma que há </w:t>
      </w:r>
      <w:r>
        <w:rPr>
          <w:rFonts w:eastAsia="georgia" w:cs="georgia" w:ascii="georgia" w:hAnsi="georgia"/>
          <w:b/>
          <w:color w:val="000000"/>
        </w:rPr>
        <w:t xml:space="preserve">evidência insuficiente</w:t>
      </w:r>
      <w:r>
        <w:rPr>
          <w:rFonts w:eastAsia="georgia" w:cs="georgia" w:ascii="georgia" w:hAnsi="georgia"/>
          <w:color w:val="000000"/>
        </w:rPr>
        <w:t xml:space="preserve"> para recomendar AM IV em adultos com choque séptico refratário e escalada de vasopressores, embora reconheça que alguns pacientes com doença potencialmente tratável podem valorizar uma tentativa individualizada (</w:t>
      </w:r>
      <w:hyperlink r:id="rId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SCCM 2026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racional_fisiopatológico"/>
      <w:r>
        <w:rPr>
          <w:rFonts w:eastAsia="georgia" w:cs="georgia" w:ascii="georgia" w:hAnsi="georgia"/>
          <w:b/>
          <w:color w:val="000000"/>
          <w:sz w:val="24"/>
        </w:rPr>
        <w:t xml:space="preserve">🧠 Racional fisiopatológico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No choque séptico vasoplégico, a disfunção endotelial e a produção excessiva de óxido nítrico (NO) ativam a guanilato ciclase solúvel (sGC), aumentam cGMP e promovem relaxamento do músculo liso vascular, contribuindo para hipotensão refratária a catecolaminas (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Arias-Ortiz e Vincent, Critical Care 2024</w:t>
        </w:r>
      </w:hyperlink>
      <w:r>
        <w:rPr>
          <w:rFonts w:eastAsia="georgia" w:cs="georgia" w:ascii="georgia" w:hAnsi="georgia"/>
          <w:color w:val="000000"/>
        </w:rPr>
        <w:t xml:space="preserve">). O AM bloqueia principalmente a sGC e também interfere na via da NO sintase, funcionando como agente não adrenérgico poupador de catecolamina em estados de vasoplegia por suprarregulação de NO (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Sari-Yavuz et al., Frontiers in Medicine 2022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racional é atraente, mas não equivale a comprovação de benefício clínico robusto. Revisão crítica de 2024 conclui que o AM aumenta tônus vascular e PAM e reduz necessidade de vasopressores, porém ainda não há evidência consistente de benefício clínico relevante suficiente para uso rotineiro no choque séptico (</w:t>
      </w:r>
      <w:hyperlink r:id="rId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Arias-Ortiz e Vincent, Critical Care 2024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estado_atual_das_diretrizes"/>
      <w:r>
        <w:rPr>
          <w:rFonts w:eastAsia="georgia" w:cs="georgia" w:ascii="georgia" w:hAnsi="georgia"/>
          <w:b/>
          <w:color w:val="000000"/>
          <w:sz w:val="24"/>
        </w:rPr>
        <w:t xml:space="preserve">📌 Estado atual das diretrizes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Posição prática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PAM alvo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Alvo inicial de PAM 65 mmHg em adultos com choque séptico; em idosos ≥65 anos, SSC 2026 sugere faixa 60 a 65 mmHg.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SCCM 2026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Vasopressor de primeira linha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Norepinefrina segue como primeira linha em choque séptico.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SCCM 2026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Vasopressina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 escalada de norepinefrina, adicionar vasopressina é sugerido; SSC 2021 cita início usual quando norepinefrina está em 0,25 a 0,5 µg/kg/min.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SCCM 2021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Epinefrina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 PAM inadequada apesar de norepinefrina e vasopressina, adicionar epinefrina é sugerido.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SCCM 2026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Corticosteroide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Hidrocortisona IV 200 mg/dia é recomendada/sugerida em choque séptico com necessidade persistente de vasopressor.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SCCM 2021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Azul de metileno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Evidência insuficiente para recomendar AM IV em choque séptico refratário com escalada de vasopressor.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SCCM 2026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Tradução de beira-leito:</w:t>
      </w:r>
      <w:r>
        <w:rPr>
          <w:rFonts w:eastAsia="georgia" w:cs="georgia" w:ascii="georgia" w:hAnsi="georgia"/>
          <w:color w:val="000000"/>
        </w:rPr>
        <w:t xml:space="preserve"> AM não é “terceira linha padrão” após vasopressina. Deve ser considerado apenas como adjuvante individualizado, em paciente com vasoplegia predominante, após reanimação adequada, antibioticoterapia e controle de foco, com documentação de risco/benefício e exclusões de segurança.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protocolos_de_dosagem_comparados"/>
      <w:r>
        <w:rPr>
          <w:rFonts w:eastAsia="georgia" w:cs="georgia" w:ascii="georgia" w:hAnsi="georgia"/>
          <w:b/>
          <w:color w:val="000000"/>
          <w:sz w:val="24"/>
        </w:rPr>
        <w:t xml:space="preserve">💊 Protocolos de dosagem comparados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Estratégia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Dose e duração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Evidência-chave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Leitura crítica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Bolus único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a 3 mg/kg IV em 10 a 60 min, conforme estudos históricos.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 6 pacientes com choque séptico grave, 3 mg/kg aumentou PAM e SVRI, mas também aumentou resistência vascular pulmonar e reduziu PaO2/FiO2 (</w:t>
            </w:r>
            <w:hyperlink r:id="rId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Gachot et al., PubMed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Útil para resposta hemodinâmica aguda, mas pode ter efeito curto e maior risco de piora de oxigenação em SDRA/HAP.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Bolus + infusão escalonada curta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mg/kg IV, depois 0,25, 0,5, 1 e 2 mg/kg/h, 1 h cada etapa.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ECR piloto aberto com 20 pacientes reduziu necessidade de norepinefrina, epinefrina e dopamina e manteve transporte de O2 (</w:t>
            </w:r>
            <w:hyperlink r:id="rId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Kirov et al., PubMed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Sinal fisiológico forte, mas estudo pequeno, aberto e antigo.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Infusão contínua isolada curta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0,5 mg/kg/h por 6 h.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ECR duplo-cego em sepse grave com 30 pacientes aumentou PAM, elevou discretamente metemoglobina e não mudou citocinas nem mortalidade (</w:t>
            </w:r>
            <w:hyperlink r:id="rId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Memis et al., Sage Journals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Esquema com resposta pressórica transitória, sem prova de benefício clínico.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100 mg/dia por 3 dias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 mg em 500 mL de SF 0,9% por 6 h, 1 vez/dia, total de 3 doses.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ECR duplo-cego, 91 pacientes, reduziu tempo até descontinuação de vasopressores: 69 h vs 94 h, p &lt; 0,001, sem diferença significativa de mortalidade (</w:t>
            </w:r>
            <w:hyperlink r:id="rId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Ibarra-Estrada et al., Critical Care 2023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Melhor evidência pragmática em sepse pura; dose diária mediana 1,2 mg/kg e cumulativa aproximada 3,6 mg/kg.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Bolus + infusão contínua 0,25 mg/kg/h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Bolus 2 mg/kg + 0,25 mg/kg/h.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Coorte retrospectiva com 209 pacientes em choque mostrou menor mortalidade em 28 dias no grupo bolus + infusão: 53,1% vs 71,2% bolus isolado vs 74,3% infusão isolada (</w:t>
            </w:r>
            <w:hyperlink r:id="rId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Sari-Yavuz et al., Frontiers in Medicine 2022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Sugere vantagem farmacocinética da manutenção, mas não é ECR e mistura etiologias de choque.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Bolus 3 mg/kg + infusão 48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mg/kg em 20 min + 0,5 mg/kg/h por 48 h.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ECR piloto brasileiro com 42 pacientes iniciou AM junto com vasopressina, com redução precoce de norepinefrina e vasopressina, sem eventos adversos reportados (</w:t>
            </w:r>
            <w:hyperlink r:id="rId2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Luis-Silva et al., Frontiers in Medicine 2024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Esquema agressivo e prolongado, promissor, mas pequeno e não desenhado para mortalidade.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Bolus + infusão 12 h focada em microcirculação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mg/kg em 15 min + 1 mg/kg diluído em 500 mL SF por 12 h.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ECR chinês com 72 pacientes melhorou MFI, TVD, PVD e heterogeneidade microcirculatória, sem diferença em mortalidade, dias livres de vasopressor ou LOS de UTI (</w:t>
            </w:r>
            <w:hyperlink r:id="rId2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Dong et al., Drug Design, Development and Therapy 2025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Mostra melhora microcirculatória, mas sem tradução clínica demonstrada até o momento.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dose_prática_mais_defensável_hoje"/>
      <w:r>
        <w:rPr>
          <w:rFonts w:eastAsia="georgia" w:cs="georgia" w:ascii="georgia" w:hAnsi="georgia"/>
          <w:b/>
          <w:color w:val="000000"/>
          <w:sz w:val="24"/>
        </w:rPr>
        <w:t xml:space="preserve">Dose prática mais defensável hoje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Opção com melhor evidência pragmática em sepse:</w:t>
      </w:r>
      <w:r>
        <w:rPr>
          <w:rFonts w:eastAsia="georgia" w:cs="georgia" w:ascii="georgia" w:hAnsi="georgia"/>
          <w:color w:val="000000"/>
        </w:rPr>
        <w:t xml:space="preserve"> 100 mg em 500 mL SF 0,9% em 6 h, 1 vez/dia por 3 doses, como no ECR de Ibarra-Estrada 2023 (</w:t>
      </w:r>
      <w:hyperlink r:id="rId2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Ibarra-Estrada et al., Critical Care 2023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Opção com racional farmacocinético forte, mas evidência observacional:</w:t>
      </w:r>
      <w:r>
        <w:rPr>
          <w:rFonts w:eastAsia="georgia" w:cs="georgia" w:ascii="georgia" w:hAnsi="georgia"/>
          <w:color w:val="000000"/>
        </w:rPr>
        <w:t xml:space="preserve"> 2 mg/kg em 20 a 30 min seguido de 0,25 mg/kg/h por período definido institucionalmente, com reavaliação em 2 a 6 h, como na coorte de Sari-Yavuz 2022 (</w:t>
      </w:r>
      <w:hyperlink r:id="rId2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Sari-Yavuz et al., Frontiers in Medicine 2022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critérios_específicos_para_consid_d89690"/>
      <w:r>
        <w:rPr>
          <w:rFonts w:eastAsia="georgia" w:cs="georgia" w:ascii="georgia" w:hAnsi="georgia"/>
          <w:b/>
          <w:color w:val="000000"/>
          <w:sz w:val="24"/>
        </w:rPr>
        <w:t xml:space="preserve">🎯 Critérios específicos para considerar início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Domínio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Critério sugerido para uso individualizado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Evidência/racional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Diagnóstico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Choque séptico Sepsis-3: infecção suspeita/confirmada, vasopressor para PAM ≥65 mmHg e lactato &gt;2 mmol/L após reanimação adequada.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Critério usado no ECR de Ibarra-Estrada 2023 (</w:t>
            </w:r>
            <w:hyperlink r:id="rId2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Critical Care 2023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Janela temporal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Preferir primeiras 6 a 24 h de norepinefrina, não como “último recurso” tardio.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ECR de Ibarra-Estrada excluiu &gt;24 h desde início de norepinefrina (</w:t>
            </w:r>
            <w:hyperlink r:id="rId2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Critical Care 2023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Vasopressor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Norepinefrina em escalada, tipicamente ≥0,25 µg/kg/min, com vasopressina já iniciada ou indicada.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SSC sugere vasopressina em escalada de norepinefrina, e o ECR brasileiro iniciou AM quando vasopressina era indicada com NE ≥0,2 µg/kg/min (</w:t>
            </w:r>
            <w:hyperlink r:id="rId2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SCCM 2026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</w:t>
            </w:r>
            <w:hyperlink r:id="rId2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Luis-Silva et al., Frontiers 2024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Volume/perfusão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Confirmar reanimação volêmica adequada e ausência de responsividade a volume por métodos dinâmicos, quando disponíveis.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Ibarra-Estrada definiu ressuscitação adequada com bolus e testes dinâmicos negativos de responsividade (</w:t>
            </w:r>
            <w:hyperlink r:id="rId2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Critical Care 2023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Fenótipo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Vasoplegia predominante: choque distributivo “quente”, baixo tônus vascular, sem choque cardiogênico/obstrutivo/hipovolêmico dominante.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Estudos excluíram choque hemorrágico, obstrutivo e hipovolêmico concomitantes (</w:t>
            </w:r>
            <w:hyperlink r:id="rId2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Critical Care 2023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Não resposta provável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Acidose profunda, lactato muito alto persistente e P(v-a)CO2/C(a-v)O2 elevado sugerem hipóxia tecidual profunda e menor chance de resposta.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 coorte de choque distributivo refratário, não respondedores tinham P(v-a)CO2/C(a-v)O2 3,24 vs 1,79, pH 7,16 vs 7,26 e lactato 12 h 9,9 vs 3,4 mmol/L (</w:t>
            </w:r>
            <w:hyperlink r:id="rId3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Porizka et al., Scientific Reports 2020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síntese_quantitativa_dos_desfechos"/>
      <w:r>
        <w:rPr>
          <w:rFonts w:eastAsia="georgia" w:cs="georgia" w:ascii="georgia" w:hAnsi="georgia"/>
          <w:b/>
          <w:color w:val="000000"/>
          <w:sz w:val="24"/>
        </w:rPr>
        <w:t xml:space="preserve">📊 Síntese quantitativa dos desfechos</w:t>
      </w:r>
      <w:bookmarkEnd w:id="7"/>
    </w:p>
    <w:p>
      <w:pPr>
        <w:spacing w:line="360" w:after="0" w:lineRule="auto"/>
        <w:jc w:val="center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952500" cy="952500"/>
            <wp:effectExtent b="0" l="0" r="0" t="0"/>
            <wp:docPr id="1" name="image-not-found.png" descr="Síntese de Evidências do Azul de Metileno"/>
            <a:graphic>
              <a:graphicData uri="http://schemas.openxmlformats.org/drawingml/2006/picture">
                <pic:pic>
                  <pic:nvPicPr>
                    <pic:cNvPr id="1" name="image-not-found.png" descr="Síntese de Evidências do Azul de Metileno"/>
                    <pic:cNvPicPr/>
                  </pic:nvPicPr>
                  <pic:blipFill>
                    <a:blip r:embed="rId3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8" w:name="mortalidade"/>
      <w:r>
        <w:rPr>
          <w:rFonts w:eastAsia="georgia" w:cs="georgia" w:ascii="georgia" w:hAnsi="georgia"/>
          <w:b/>
          <w:color w:val="000000"/>
          <w:sz w:val="24"/>
        </w:rPr>
        <w:t xml:space="preserve">Mortalidade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metanálise de choque vasodilatador com 15 estudos e 832 pacientes encontrou menor mortalidade associada ao AM, OR 0,54, IC 95% 0,34 a 0,85, mas combinou etiologias de choque e estudos observacionais, reduzindo a certeza causal (</w:t>
      </w:r>
      <w:hyperlink r:id="rId3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Zhao et al., Frontiers in Medicine 2022</w:t>
        </w:r>
      </w:hyperlink>
      <w:r>
        <w:rPr>
          <w:rFonts w:eastAsia="georgia" w:cs="georgia" w:ascii="georgia" w:hAnsi="georgia"/>
          <w:color w:val="000000"/>
        </w:rPr>
        <w:t xml:space="preserve">). A metanálise focada em choque séptico com 6 ECRs e 302 pacientes encontrou possível redução de mortalidade de curto prazo, RR 0,66, IC 95% 0,47 a 0,94, com </w:t>
      </w:r>
      <w:r>
        <w:rPr>
          <w:rFonts w:eastAsia="georgia" w:cs="georgia" w:ascii="georgia" w:hAnsi="georgia"/>
          <w:b/>
          <w:color w:val="000000"/>
        </w:rPr>
        <w:t xml:space="preserve">baixa certeza</w:t>
      </w:r>
      <w:r>
        <w:rPr>
          <w:rFonts w:eastAsia="georgia" w:cs="georgia" w:ascii="georgia" w:hAnsi="georgia"/>
          <w:color w:val="000000"/>
        </w:rPr>
        <w:t xml:space="preserve"> (</w:t>
      </w:r>
      <w:hyperlink r:id="rId3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Fernando et al., Critical Care Medicine 2024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ECR de Ibarra-Estrada 2023 não demonstrou diferença estatisticamente significativa de mortalidade em 28 dias, com 33% no grupo AM vs 46% no controle, RR 0,76, IC 95% 0,55 a 1,05, p = 0,23, e foi subdimensionado para mortalidade (</w:t>
      </w:r>
      <w:hyperlink r:id="rId34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Ibarra-Estrada et al., Critical Care 2023</w:t>
        </w:r>
      </w:hyperlink>
      <w:r>
        <w:rPr>
          <w:rFonts w:eastAsia="georgia" w:cs="georgia" w:ascii="georgia" w:hAnsi="georgia"/>
          <w:color w:val="000000"/>
        </w:rPr>
        <w:t xml:space="preserve">). A metanálise BMJ Open 2024 em choque distributivo encontrou mortalidade global não significativa, OR 0,59, IC 95% 0,32 a 1,06, e no subgrupo choque séptico OR 0,62, IC 95% 0,31 a 1,25 (</w:t>
      </w:r>
      <w:hyperlink r:id="rId3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BMJ Open 2024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Conclusão sobre mortalidade:</w:t>
      </w:r>
      <w:r>
        <w:rPr>
          <w:rFonts w:eastAsia="georgia" w:cs="georgia" w:ascii="georgia" w:hAnsi="georgia"/>
          <w:color w:val="000000"/>
        </w:rPr>
        <w:t xml:space="preserve"> há sinal favorável em algumas metanálises, mas a evidência é baixa, heterogênea e ainda insuficiente para recomendar uso rotineiro com objetivo de reduzir mortalidade.</w:t>
      </w:r>
    </w:p>
    <w:p>
      <w:pPr>
        <w:spacing w:line="360" w:before="315" w:after="105" w:lineRule="auto"/>
        <w:ind w:left="-30"/>
        <w:jc w:val="left"/>
      </w:pPr>
      <w:bookmarkStart w:id="9" w:name="tempo_de_desmame_de_vasopressores"/>
      <w:r>
        <w:rPr>
          <w:rFonts w:eastAsia="georgia" w:cs="georgia" w:ascii="georgia" w:hAnsi="georgia"/>
          <w:b/>
          <w:color w:val="000000"/>
          <w:sz w:val="24"/>
        </w:rPr>
        <w:t xml:space="preserve">Tempo de desmame de vasopressores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desfecho mais consistente é redução do tempo até descontinuação de vasopressores. O ECR de Ibarra-Estrada mostrou 69 h vs 94 h, diferença mediana 29,4 h, p &lt; 0,001, e mais dias livres de vasopressor no dia 28 (</w:t>
      </w:r>
      <w:hyperlink r:id="rId3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Ibarra-Estrada et al., Critical Care 2023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metanálise Frontiers 2024 de sepse/choque séptico encontrou redução de 31,49 h no tempo até descontinuação de vasopressor, IC 95% -46,02 a -16,96, I2 0%, p &lt; 0,0001, com certeza moderada para esse desfecho (</w:t>
      </w:r>
      <w:hyperlink r:id="rId3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Ballarin et al., Frontiers in Medicine 2024</w:t>
        </w:r>
      </w:hyperlink>
      <w:r>
        <w:rPr>
          <w:rFonts w:eastAsia="georgia" w:cs="georgia" w:ascii="georgia" w:hAnsi="georgia"/>
          <w:color w:val="000000"/>
        </w:rPr>
        <w:t xml:space="preserve">). A metanálise de Fernando 2024 também encontrou redução de duração de vasopressores, MD -31,1 h, IC 95% -45,6 a -16,5, mas classificou a certeza como baixa (</w:t>
      </w:r>
      <w:hyperlink r:id="rId3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Fernando et al., Critical Care Medicine 2024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0" w:name="lactato_e_perfusão"/>
      <w:r>
        <w:rPr>
          <w:rFonts w:eastAsia="georgia" w:cs="georgia" w:ascii="georgia" w:hAnsi="georgia"/>
          <w:b/>
          <w:color w:val="000000"/>
          <w:sz w:val="24"/>
        </w:rPr>
        <w:t xml:space="preserve">Lactato e perfusão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metanálise de choque vasodilatador de 2022 encontrou redução de lactato com AM, MD -0,97 mmol/L, IC 95% -1,34 a -0,59, p &lt; 0,001, mas com heterogeneidade relevante, I2 72% (</w:t>
      </w:r>
      <w:hyperlink r:id="rId3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Zhao et al., Frontiers in Medicine 2022</w:t>
        </w:r>
      </w:hyperlink>
      <w:r>
        <w:rPr>
          <w:rFonts w:eastAsia="georgia" w:cs="georgia" w:ascii="georgia" w:hAnsi="georgia"/>
          <w:color w:val="000000"/>
        </w:rPr>
        <w:t xml:space="preserve">). A metanálise de 2025 em adultos com choque séptico encontrou redução de lactato, MD -0,76 mmol/L, IC 95% -1,22 a -0,31, com evidência de baixa certeza (</w:t>
      </w:r>
      <w:hyperlink r:id="rId4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Brazilian Journal of Anesthesiology 2025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No ECR de Ibarra-Estrada, os lactatos em 24, 48 e 72 h foram numericamente menores no grupo AM em alguns pontos, mas sem diferença estatística robusta entre grupos, e o estudo reportou lactato semelhante nos primeiros 3 dias (</w:t>
      </w:r>
      <w:hyperlink r:id="rId4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Ibarra-Estrada et al., Critical Care 2023</w:t>
        </w:r>
      </w:hyperlink>
      <w:r>
        <w:rPr>
          <w:rFonts w:eastAsia="georgia" w:cs="georgia" w:ascii="georgia" w:hAnsi="georgia"/>
          <w:color w:val="000000"/>
        </w:rPr>
        <w:t xml:space="preserve">). Portanto, usar queda de lactato como principal expectativa terapêutica é menos defensável que usar redução de vasopressor como desfecho-alvo.</w:t>
      </w:r>
    </w:p>
    <w:p>
      <w:pPr>
        <w:spacing w:line="360" w:before="315" w:after="105" w:lineRule="auto"/>
        <w:ind w:left="-30"/>
        <w:jc w:val="left"/>
      </w:pPr>
      <w:bookmarkStart w:id="11" w:name="uti_hospital_e_ventilação_mecânica"/>
      <w:r>
        <w:rPr>
          <w:rFonts w:eastAsia="georgia" w:cs="georgia" w:ascii="georgia" w:hAnsi="georgia"/>
          <w:b/>
          <w:color w:val="000000"/>
          <w:sz w:val="24"/>
        </w:rPr>
        <w:t xml:space="preserve">UTI, hospital e ventilação mecânica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No ECR de 2023, AM reduziu tempo de UTI em 1,5 dia e tempo hospitalar em 2,7 dias, mas dias em ventilação mecânica não diferiram de forma estatisticamente significativa (</w:t>
      </w:r>
      <w:hyperlink r:id="rId4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Ibarra-Estrada et al., Critical Care 2023</w:t>
        </w:r>
      </w:hyperlink>
      <w:r>
        <w:rPr>
          <w:rFonts w:eastAsia="georgia" w:cs="georgia" w:ascii="georgia" w:hAnsi="georgia"/>
          <w:color w:val="000000"/>
        </w:rPr>
        <w:t xml:space="preserve">). A metanálise Frontiers 2024 encontrou menor tempo de UTI, MD -1,58 dia, e menos dias em ventilação mecânica, MD -0,72 dia, mas classificou esses resultados como baixa certeza por imprecisão e tamanho amostral pequeno (</w:t>
      </w:r>
      <w:hyperlink r:id="rId4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Ballarin et al., Frontiers in Medicine 2024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️_precauções_hemodinâmicas_e_r_184530"/>
      <w:r>
        <w:rPr>
          <w:rFonts w:eastAsia="georgia" w:cs="georgia" w:ascii="georgia" w:hAnsi="georgia"/>
          <w:b/>
          <w:color w:val="000000"/>
          <w:sz w:val="24"/>
        </w:rPr>
        <w:t xml:space="preserve">⚠️ Precauções hemodinâmicas e respiratórias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Risco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que acontece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 de monitorização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Aumento de resistência vascular pulmonar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Bolus de 3 mg/kg em choque séptico aumentou pressão pulmonar média, PVRI e reduziu PaO2/FiO2; isso pode limitar uso em SDRA/HAP.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Preferir infusão lenta, gasometria seriada, avaliar VD por eco e considerar monitorização avançada se HAP/VD frágil (</w:t>
            </w:r>
            <w:hyperlink r:id="rId4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Gachot et al., PubMed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Piora de troca gasosa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Infusão de 4 mg/kg em 1 h aumentou SVRI e PAM, mas aumentou PVRI, reduziu SvO2 e reduziu PaO2/FiO2.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atribuir dessaturação apenas a artefato; confirmar com gasometria arterial e, se possível, co-oximetria (</w:t>
            </w:r>
            <w:hyperlink r:id="rId4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Weingartner et al., PubMed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Falsa dessaturação no oxímetro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 absorve luz em torno de 660 nm e pode subestimar SpO2.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Durante e logo após infusão, usar PaO2/SaO2 por gasometria e co-oximetria quando disponível (</w:t>
            </w:r>
            <w:hyperlink r:id="rId4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Saudi Journal of Anaesthesia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Microcirculação vs desfecho clínico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ECR de 2025 melhorou MFI, TVD, PVD e HI, mas não melhorou mortalidade, dias livres de vasopressor ou SOFA.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confundir melhora microcirculatória com benefício clínico comprovado (</w:t>
            </w:r>
            <w:hyperlink r:id="rId4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Dong et al., 2025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Hipóxia tecidual profunda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P(v-a)CO2/C(a-v)O2 elevado, acidose e lactato persistente alto associaram-se a não resposta hemodinâmica.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Considerar AM antes da fase metabolicamente irreversível; se pH muito baixo e lactato muito alto persistente, reavaliar futilidade e foco/controle de fonte (</w:t>
            </w:r>
            <w:hyperlink r:id="rId4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Porizka et al., Scientific Reports 2020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eventos_adversos_contraindicações_33337e"/>
      <w:r>
        <w:rPr>
          <w:rFonts w:eastAsia="georgia" w:cs="georgia" w:ascii="georgia" w:hAnsi="georgia"/>
          <w:b/>
          <w:color w:val="000000"/>
          <w:sz w:val="24"/>
        </w:rPr>
        <w:t xml:space="preserve">🚨 Eventos adversos, contraindicações e interações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Situação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Gravidade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Detalhe prático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ISRS/IRSN/IMAO e outros serotoninérgicos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 é potente inibidor reversível de MAO-A e pode precipitar síndrome serotoninérgica, inclusive com doses &lt;1 mg/kg; monitorar toxicidade neurológica por 24 h após última dose se uso for inevitável (</w:t>
            </w:r>
            <w:hyperlink r:id="rId4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APSF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Fármacos a checar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Fluoxetina, sertralina, escitalopram, paroxetina, venlafaxina, duloxetina, tricíclicos, tramadol, meperidina, metadona, fentanil e dextrometorfano são exemplos relevantes (</w:t>
            </w:r>
            <w:hyperlink r:id="rId5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APSF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Síndrome serotoninérgica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Emergência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Procurar alteração mental, hiperatividade autonômica, hiperreflexia, clônus, rigidez e hipertermia; tratar com suspensão de serotoninérgicos, suporte, benzodiazepínicos, resfriamento e considerar antagonistas serotoninérgicos em casos moderados/graves (</w:t>
            </w:r>
            <w:hyperlink r:id="rId5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APSF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Deficiência de G6PD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Contraindicação forte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Estudos excluíram história pessoal/familiar de G6PD e revisões citam contraindicação pelo risco de hemólise (</w:t>
            </w:r>
            <w:hyperlink r:id="rId5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Ibarra-Estrada et al., Critical Care 2023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</w:t>
            </w:r>
            <w:hyperlink r:id="rId5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Brazilian Journal of Anesthesiology 2025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Gestação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Contraindicação/evitar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ECRs excluíram gestantes e revisão crítica cita contraindicação em gravidez (</w:t>
            </w:r>
            <w:hyperlink r:id="rId5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Ibarra-Estrada et al., Critical Care 2023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</w:t>
            </w:r>
            <w:hyperlink r:id="rId5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Arias-Ortiz e Vincent 2024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Metemoglobinemia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Monitorar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ECR de 2023, metemoglobina máxima foi 2,9% vs 0,5% no controle, abaixo do limiar clínico de 10% citado pelos autores (</w:t>
            </w:r>
            <w:hyperlink r:id="rId5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Ibarra-Estrada et al., Critical Care 2023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Dose alta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Evitar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Revisões citam toxicidade dose-dependente, incluindo vasoconstrição mesentérica e metemoglobinemia paradoxal em doses mais altas, com preocupação especial em disfunção renal/hepática (</w:t>
            </w:r>
            <w:hyperlink r:id="rId5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Arias-Ortiz e Vincent 2024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checklist_de_monitorização_na_uti"/>
      <w:r>
        <w:rPr>
          <w:rFonts w:eastAsia="georgia" w:cs="georgia" w:ascii="georgia" w:hAnsi="georgia"/>
          <w:b/>
          <w:color w:val="000000"/>
          <w:sz w:val="24"/>
        </w:rPr>
        <w:t xml:space="preserve">🧪 Checklist de monitorização na UTI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Antes da infusão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Confirmar choque séptico vasoplégico, volume adequado, controle de foco em andamento, antibiótico, PAM alvo, norepinefrina/vasopressina/hidrocortisona conforme SSC.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Antes da infusão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Checar gestação, G6PD, alergia a AM/fenotiazinas/corantes, uso recente de serotoninérgicos, SDRA grave, HAP e disfunção de VD.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 a 2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PAM invasiva se disponível, dose de norepinefrina a cada 15 a 30 min, ritmo cardíaco, diurese, necessidade de vasopressina/epinefrina e sinais de excesso de vasoconstrição.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 a 6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Gasometria arterial e lactato; não tomar decisão por SpO2 isolada, porque AM pode causar falsa queda da oximetria.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6 a 24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Metemoglobina se co-oximetria disponível, PaO2/FiO2, creatinina, bilirrubina/transaminases, pele/extremidades, perfusão periférica e balanço hídrico.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Resposta esperada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Redução de vasopressor em 2 a 6 h é o sinal prático mais útil; Porizka definiu resposta como redução ≥10% de norepinefrina em 2 h em choque distributivo refratário (</w:t>
            </w:r>
            <w:hyperlink r:id="rId5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Porizka et al., Scientific Reports 2020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algoritmo_prático_tdah_friendly"/>
      <w:r>
        <w:rPr>
          <w:rFonts w:eastAsia="georgia" w:cs="georgia" w:ascii="georgia" w:hAnsi="georgia"/>
          <w:b/>
          <w:color w:val="000000"/>
          <w:sz w:val="24"/>
        </w:rPr>
        <w:t xml:space="preserve">🧭 Algoritmo prático TDAH-friendly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Confirmar choque séptico vasoplégico, não cardiogênico/obstrutivo/hipovolêmico.</w:t>
        <w:br/>
        <w:t xml:space="preserve">2. Garantir bundle padrão: antibiótico, foco, cristaloide guiado por responsividade, PAM alvo.</w:t>
        <w:br/>
        <w:t xml:space="preserve">3. Norepinefrina em escalada? Se sim, adicionar vasopressina conforme SSC.</w:t>
        <w:br/>
        <w:t xml:space="preserve">4. Hidrocortisona 200 mg/dia se necessidade persistente de vasopressor.</w:t>
        <w:br/>
        <w:t xml:space="preserve">5. Se vasoplegia persiste nas primeiras 6 a 24 h, discutir AM como adjuvante off-label.</w:t>
        <w:br/>
        <w:t xml:space="preserve">6. Antes do AM: checar G6PD, gestação, serotoninérgicos, HAP/VD, SDRA e gasometria basal.</w:t>
        <w:br/>
        <w:t xml:space="preserve">7. Preferir protocolo institucional: 100 mg/6 h/dia por 3 dias OU 2 mg/kg + 0,25 mg/kg/h.</w:t>
        <w:br/>
        <w:t xml:space="preserve">8. Monitorar PAM, norepinefrina, lactato, gasometria, metemoglobina e perfusão periférica.</w:t>
        <w:br/>
        <w:t xml:space="preserve">9. Se queda de NE ≥10% em 2 a 6 h: provável respondedor, seguir vigilância.</w:t>
        <w:br/>
        <w:t xml:space="preserve">10. Se sem resposta e hipóxia tecidual profunda: não insistir cegamente; reavaliar foco, fenótipo e objetivos.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pegadinhas_temi_e_prova_oral"/>
      <w:r>
        <w:rPr>
          <w:rFonts w:eastAsia="georgia" w:cs="georgia" w:ascii="georgia" w:hAnsi="georgia"/>
          <w:b/>
          <w:color w:val="000000"/>
          <w:sz w:val="24"/>
        </w:rPr>
        <w:t xml:space="preserve">🎓 Pegadinhas TEMI e prova oral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Afirmação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Julgamento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Comentário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“Azul de metileno é recomendado pela SSC 2026 no choque séptico refratário.”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Falso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SSC 2026 diz evidência insuficiente para recomendação (</w:t>
            </w:r>
            <w:hyperlink r:id="rId5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SCCM 2026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“O principal desfecho favorável é menor tempo de vasopressor.”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Verdadeiro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ECR 2023 e metanálises mostram redução de cerca de 29 a 31 h (</w:t>
            </w:r>
            <w:hyperlink r:id="rId6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Ibarra-Estrada et al. 2023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</w:t>
            </w:r>
            <w:hyperlink r:id="rId6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Ballarin et al. 2024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“Mortalidade está resolvida: AM salva vidas.”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Falso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Metanálises sugerem benefício, mas com baixa certeza e inconsistência; ECR de 2023 não foi positivo para mortalidade (</w:t>
            </w:r>
            <w:hyperlink r:id="rId6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Fernando et al. 2024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</w:t>
            </w:r>
            <w:hyperlink r:id="rId6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Ibarra-Estrada et al. 2023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“SpO2 baixa durante AM pode ser artefato.”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Verdadeiro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 interfere na oximetria, mas queda de PaO2 verdadeira também pode ocorrer; confirmar com gasometria/co-oximetria (</w:t>
            </w:r>
            <w:hyperlink r:id="rId6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Saudi Journal of Anaesthesia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“AM + fluoxetina é uma combinação banal.”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Falso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Fluoxetina e outros serotoninérgicos aumentam risco de síndrome serotoninérgica por inibição de MAO-A (</w:t>
            </w:r>
            <w:hyperlink r:id="rId6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APSF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“Bolus em SDRA/HAP merece cautela.”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Verdadeiro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Estudos antigos demonstraram aumento de PVRI e redução de PaO2/FiO2 após bolus/infusão curta em choque séptico (</w:t>
            </w:r>
            <w:hyperlink r:id="rId6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Gachot et al.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</w:t>
            </w:r>
            <w:hyperlink r:id="rId6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Weingartner et al.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conclusão_operacional"/>
      <w:r>
        <w:rPr>
          <w:rFonts w:eastAsia="georgia" w:cs="georgia" w:ascii="georgia" w:hAnsi="georgia"/>
          <w:b/>
          <w:color w:val="000000"/>
          <w:sz w:val="24"/>
        </w:rPr>
        <w:t xml:space="preserve">✅ Conclusão operacional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AM é mais bem entendido como </w:t>
      </w:r>
      <w:r>
        <w:rPr>
          <w:rFonts w:eastAsia="georgia" w:cs="georgia" w:ascii="georgia" w:hAnsi="georgia"/>
          <w:b/>
          <w:color w:val="000000"/>
        </w:rPr>
        <w:t xml:space="preserve">vasopressor não adrenérgico adjuvante</w:t>
      </w:r>
      <w:r>
        <w:rPr>
          <w:rFonts w:eastAsia="georgia" w:cs="georgia" w:ascii="georgia" w:hAnsi="georgia"/>
          <w:color w:val="000000"/>
        </w:rPr>
        <w:t xml:space="preserve"> para choque séptico vasoplégico selecionado, preferencialmente precoce, após norepinefrina, vasopressina, hidrocortisona quando indicada, reanimação adequada e controle de foco. A melhor expectativa realista é reduzir tempo/dose de vasopressores; a mortalidade permanece incerta e não deve ser vendida como benefício comprovado.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Em paciente com vasoplegia clara, escalada de norepinefrina, vasopressina já indicada/em uso e sem contraindicações, o protocolo de 100 mg em 6 h por 3 dias tem a evidência pragmática mais limpa em sepse pura. Bolus + infusão contínua tem forte racional farmacocinético e sinal observacional favorável, mas precisa de validação em ECR grande.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aprofundamentos_sugeridos"/>
      <w:r>
        <w:rPr>
          <w:rFonts w:eastAsia="georgia" w:cs="georgia" w:ascii="georgia" w:hAnsi="georgia"/>
          <w:b/>
          <w:color w:val="000000"/>
          <w:sz w:val="24"/>
        </w:rPr>
        <w:t xml:space="preserve">📚 Aprofundamentos sugeridos</w:t>
      </w:r>
      <w:bookmarkEnd w:id="18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Tabela de dose por peso</w:t>
      </w:r>
      <w:r>
        <w:rPr>
          <w:rFonts w:eastAsia="georgia" w:cs="georgia" w:ascii="georgia" w:hAnsi="georgia"/>
          <w:color w:val="000000"/>
          <w:sz w:val="21"/>
        </w:rPr>
        <w:t xml:space="preserve">: 60, 70, 80, 90 e 100 kg para bolus 1, 2 e 3 mg/kg e infusões 0,25, 0,5 e 1 mg/kg/h.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Fluxograma visual</w:t>
      </w:r>
      <w:r>
        <w:rPr>
          <w:rFonts w:eastAsia="georgia" w:cs="georgia" w:ascii="georgia" w:hAnsi="georgia"/>
          <w:color w:val="000000"/>
          <w:sz w:val="21"/>
        </w:rPr>
        <w:t xml:space="preserve">: decisão AM vs não AM em choque séptico vasoplégico refratário.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Cartão de bolso UTI</w:t>
      </w:r>
      <w:r>
        <w:rPr>
          <w:rFonts w:eastAsia="georgia" w:cs="georgia" w:ascii="georgia" w:hAnsi="georgia"/>
          <w:color w:val="000000"/>
          <w:sz w:val="21"/>
        </w:rPr>
        <w:t xml:space="preserve">: contraindicações, interações serotoninérgicas, monitorização e critérios de resposta.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Banco TEMI</w:t>
      </w:r>
      <w:r>
        <w:rPr>
          <w:rFonts w:eastAsia="georgia" w:cs="georgia" w:ascii="georgia" w:hAnsi="georgia"/>
          <w:color w:val="000000"/>
          <w:sz w:val="21"/>
        </w:rPr>
        <w:t xml:space="preserve">: 20 questões comentadas sobre vasoplegia, NO, AM, vasopressina, angiotensina II e corticoide.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Imagem didática</w:t>
      </w:r>
      <w:r>
        <w:rPr>
          <w:rFonts w:eastAsia="georgia" w:cs="georgia" w:ascii="georgia" w:hAnsi="georgia"/>
          <w:color w:val="000000"/>
          <w:sz w:val="21"/>
        </w:rPr>
        <w:t xml:space="preserve">: via NO → sGC → cGMP → vasodilatação, com ponto de ação do AM e risco de vasoconstrição pulmonar.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Nota clínica:</w:t>
      </w:r>
      <w:r>
        <w:rPr>
          <w:rFonts w:eastAsia="georgia" w:cs="georgia" w:ascii="georgia" w:hAnsi="georgia"/>
          <w:color w:val="000000"/>
        </w:rPr>
        <w:t xml:space="preserve"> este relatório resume uso off-label e não substitui julgamento clínico, protocolo institucional, consentimento/registro em prontuário quando aplicável, nem diretrizes de sepse. Em caso real, remover identificadores do paciente e documentar indicação, alternativas, contraindicações checadas e resposta hemodinâmica.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ccm.org/clinical-resources/guidelines/guidelines/surviving-sepsis-campaign-international-guidelines-for-management-of-sepsis-and-septic-shock-2026" TargetMode="External"/><Relationship Id="rId6" Type="http://schemas.openxmlformats.org/officeDocument/2006/relationships/hyperlink" Target="https://pmc.ncbi.nlm.nih.gov/articles/PMC10870439/" TargetMode="External"/><Relationship Id="rId7" Type="http://schemas.openxmlformats.org/officeDocument/2006/relationships/hyperlink" Target="https://pmc.ncbi.nlm.nih.gov/articles/PMC9650001/" TargetMode="External"/><Relationship Id="rId8" Type="http://schemas.openxmlformats.org/officeDocument/2006/relationships/hyperlink" Target="https://pmc.ncbi.nlm.nih.gov/articles/PMC10870439/" TargetMode="External"/><Relationship Id="rId9" Type="http://schemas.openxmlformats.org/officeDocument/2006/relationships/hyperlink" Target="https://www.sccm.org/clinical-resources/guidelines/guidelines/surviving-sepsis-campaign-international-guidelines-for-management-of-sepsis-and-septic-shock-2026" TargetMode="External"/><Relationship Id="rId10" Type="http://schemas.openxmlformats.org/officeDocument/2006/relationships/hyperlink" Target="https://www.sccm.org/clinical-resources/guidelines/guidelines/surviving-sepsis-campaign-international-guidelines-for-management-of-sepsis-and-septic-shock-2026" TargetMode="External"/><Relationship Id="rId11" Type="http://schemas.openxmlformats.org/officeDocument/2006/relationships/hyperlink" Target="https://www.sccm.org/clinical-resources/guidelines/guidelines/surviving-sepsis-guidelines-2021" TargetMode="External"/><Relationship Id="rId12" Type="http://schemas.openxmlformats.org/officeDocument/2006/relationships/hyperlink" Target="https://www.sccm.org/clinical-resources/guidelines/guidelines/surviving-sepsis-campaign-international-guidelines-for-management-of-sepsis-and-septic-shock-2026" TargetMode="External"/><Relationship Id="rId13" Type="http://schemas.openxmlformats.org/officeDocument/2006/relationships/hyperlink" Target="https://www.sccm.org/clinical-resources/guidelines/guidelines/surviving-sepsis-guidelines-2021" TargetMode="External"/><Relationship Id="rId14" Type="http://schemas.openxmlformats.org/officeDocument/2006/relationships/hyperlink" Target="https://www.sccm.org/clinical-resources/guidelines/guidelines/surviving-sepsis-campaign-international-guidelines-for-management-of-sepsis-and-septic-shock-2026" TargetMode="External"/><Relationship Id="rId15" Type="http://schemas.openxmlformats.org/officeDocument/2006/relationships/hyperlink" Target="https://pubmed.ncbi.nlm.nih.gov/8750129/" TargetMode="External"/><Relationship Id="rId16" Type="http://schemas.openxmlformats.org/officeDocument/2006/relationships/hyperlink" Target="https://pubmed.ncbi.nlm.nih.gov/11588440/" TargetMode="External"/><Relationship Id="rId17" Type="http://schemas.openxmlformats.org/officeDocument/2006/relationships/hyperlink" Target="https://journals.sagepub.com/doi/10.1177/0310057X0203000606" TargetMode="External"/><Relationship Id="rId18" Type="http://schemas.openxmlformats.org/officeDocument/2006/relationships/hyperlink" Target="https://pmc.ncbi.nlm.nih.gov/articles/PMC10010212/" TargetMode="External"/><Relationship Id="rId19" Type="http://schemas.openxmlformats.org/officeDocument/2006/relationships/hyperlink" Target="https://pmc.ncbi.nlm.nih.gov/articles/PMC9650001/" TargetMode="External"/><Relationship Id="rId20" Type="http://schemas.openxmlformats.org/officeDocument/2006/relationships/hyperlink" Target="https://www.frontiersin.org/journals/medicine/articles/10.3389/fmed.2024.1431321/full" TargetMode="External"/><Relationship Id="rId21" Type="http://schemas.openxmlformats.org/officeDocument/2006/relationships/hyperlink" Target="https://pmc.ncbi.nlm.nih.gov/articles/PMC12751372/" TargetMode="External"/><Relationship Id="rId22" Type="http://schemas.openxmlformats.org/officeDocument/2006/relationships/hyperlink" Target="https://pmc.ncbi.nlm.nih.gov/articles/PMC10010212/" TargetMode="External"/><Relationship Id="rId23" Type="http://schemas.openxmlformats.org/officeDocument/2006/relationships/hyperlink" Target="https://pmc.ncbi.nlm.nih.gov/articles/PMC9650001/" TargetMode="External"/><Relationship Id="rId24" Type="http://schemas.openxmlformats.org/officeDocument/2006/relationships/hyperlink" Target="https://pmc.ncbi.nlm.nih.gov/articles/PMC10010212/" TargetMode="External"/><Relationship Id="rId25" Type="http://schemas.openxmlformats.org/officeDocument/2006/relationships/hyperlink" Target="https://pmc.ncbi.nlm.nih.gov/articles/PMC10010212/" TargetMode="External"/><Relationship Id="rId26" Type="http://schemas.openxmlformats.org/officeDocument/2006/relationships/hyperlink" Target="https://www.sccm.org/clinical-resources/guidelines/guidelines/surviving-sepsis-campaign-international-guidelines-for-management-of-sepsis-and-septic-shock-2026" TargetMode="External"/><Relationship Id="rId27" Type="http://schemas.openxmlformats.org/officeDocument/2006/relationships/hyperlink" Target="https://www.frontiersin.org/journals/medicine/articles/10.3389/fmed.2024.1431321/full" TargetMode="External"/><Relationship Id="rId28" Type="http://schemas.openxmlformats.org/officeDocument/2006/relationships/hyperlink" Target="https://pmc.ncbi.nlm.nih.gov/articles/PMC10010212/" TargetMode="External"/><Relationship Id="rId29" Type="http://schemas.openxmlformats.org/officeDocument/2006/relationships/hyperlink" Target="https://pmc.ncbi.nlm.nih.gov/articles/PMC10010212/" TargetMode="External"/><Relationship Id="rId30" Type="http://schemas.openxmlformats.org/officeDocument/2006/relationships/hyperlink" Target="https://www.nature.com/articles/s41598-020-58828-4" TargetMode="External"/><Relationship Id="rId31" Type="http://schemas.openxmlformats.org/officeDocument/2006/relationships/image" Target="media/image-not-found.png" TargetMode="Internal"/><Relationship Id="rId32" Type="http://schemas.openxmlformats.org/officeDocument/2006/relationships/hyperlink" Target="https://www.frontiersin.org/journals/medicine/articles/10.3389/fmed.2022.950596/full" TargetMode="External"/><Relationship Id="rId33" Type="http://schemas.openxmlformats.org/officeDocument/2006/relationships/hyperlink" Target="https://pubmed.ncbi.nlm.nih.gov/38904978/" TargetMode="External"/><Relationship Id="rId34" Type="http://schemas.openxmlformats.org/officeDocument/2006/relationships/hyperlink" Target="https://pmc.ncbi.nlm.nih.gov/articles/PMC10010212/" TargetMode="External"/><Relationship Id="rId35" Type="http://schemas.openxmlformats.org/officeDocument/2006/relationships/hyperlink" Target="https://bmjopen.bmj.com/content/14/1/e080065" TargetMode="External"/><Relationship Id="rId36" Type="http://schemas.openxmlformats.org/officeDocument/2006/relationships/hyperlink" Target="https://pmc.ncbi.nlm.nih.gov/articles/PMC10010212/" TargetMode="External"/><Relationship Id="rId37" Type="http://schemas.openxmlformats.org/officeDocument/2006/relationships/hyperlink" Target="https://www.frontiersin.org/journals/medicine/articles/10.3389/fmed.2024.1366062/full" TargetMode="External"/><Relationship Id="rId38" Type="http://schemas.openxmlformats.org/officeDocument/2006/relationships/hyperlink" Target="https://pubmed.ncbi.nlm.nih.gov/38904978/" TargetMode="External"/><Relationship Id="rId39" Type="http://schemas.openxmlformats.org/officeDocument/2006/relationships/hyperlink" Target="https://www.frontiersin.org/journals/medicine/articles/10.3389/fmed.2022.950596/full" TargetMode="External"/><Relationship Id="rId40" Type="http://schemas.openxmlformats.org/officeDocument/2006/relationships/hyperlink" Target="https://pmc.ncbi.nlm.nih.gov/articles/PMC11754512/" TargetMode="External"/><Relationship Id="rId41" Type="http://schemas.openxmlformats.org/officeDocument/2006/relationships/hyperlink" Target="https://pmc.ncbi.nlm.nih.gov/articles/PMC10010212/" TargetMode="External"/><Relationship Id="rId42" Type="http://schemas.openxmlformats.org/officeDocument/2006/relationships/hyperlink" Target="https://pmc.ncbi.nlm.nih.gov/articles/PMC10010212/" TargetMode="External"/><Relationship Id="rId43" Type="http://schemas.openxmlformats.org/officeDocument/2006/relationships/hyperlink" Target="https://www.frontiersin.org/journals/medicine/articles/10.3389/fmed.2024.1366062/full" TargetMode="External"/><Relationship Id="rId44" Type="http://schemas.openxmlformats.org/officeDocument/2006/relationships/hyperlink" Target="https://pubmed.ncbi.nlm.nih.gov/8750129/" TargetMode="External"/><Relationship Id="rId45" Type="http://schemas.openxmlformats.org/officeDocument/2006/relationships/hyperlink" Target="https://pubmed.ncbi.nlm.nih.gov/10585632/" TargetMode="External"/><Relationship Id="rId46" Type="http://schemas.openxmlformats.org/officeDocument/2006/relationships/hyperlink" Target="https://pmc.ncbi.nlm.nih.gov/articles/PMC3101745/" TargetMode="External"/><Relationship Id="rId47" Type="http://schemas.openxmlformats.org/officeDocument/2006/relationships/hyperlink" Target="https://pmc.ncbi.nlm.nih.gov/articles/PMC12751372/" TargetMode="External"/><Relationship Id="rId48" Type="http://schemas.openxmlformats.org/officeDocument/2006/relationships/hyperlink" Target="https://www.nature.com/articles/s41598-020-58828-4" TargetMode="External"/><Relationship Id="rId49" Type="http://schemas.openxmlformats.org/officeDocument/2006/relationships/hyperlink" Target="https://www.apsf.org/article/methylene-blue-and-the-risk-of-serotonin-toxicity/" TargetMode="External"/><Relationship Id="rId50" Type="http://schemas.openxmlformats.org/officeDocument/2006/relationships/hyperlink" Target="https://www.apsf.org/article/methylene-blue-and-the-risk-of-serotonin-toxicity/" TargetMode="External"/><Relationship Id="rId51" Type="http://schemas.openxmlformats.org/officeDocument/2006/relationships/hyperlink" Target="https://www.apsf.org/article/methylene-blue-and-the-risk-of-serotonin-toxicity/" TargetMode="External"/><Relationship Id="rId52" Type="http://schemas.openxmlformats.org/officeDocument/2006/relationships/hyperlink" Target="https://pmc.ncbi.nlm.nih.gov/articles/PMC10010212/" TargetMode="External"/><Relationship Id="rId53" Type="http://schemas.openxmlformats.org/officeDocument/2006/relationships/hyperlink" Target="https://pmc.ncbi.nlm.nih.gov/articles/PMC11754512/" TargetMode="External"/><Relationship Id="rId54" Type="http://schemas.openxmlformats.org/officeDocument/2006/relationships/hyperlink" Target="https://pmc.ncbi.nlm.nih.gov/articles/PMC10010212/" TargetMode="External"/><Relationship Id="rId55" Type="http://schemas.openxmlformats.org/officeDocument/2006/relationships/hyperlink" Target="https://pmc.ncbi.nlm.nih.gov/articles/PMC10870439/" TargetMode="External"/><Relationship Id="rId56" Type="http://schemas.openxmlformats.org/officeDocument/2006/relationships/hyperlink" Target="https://pmc.ncbi.nlm.nih.gov/articles/PMC10010212/" TargetMode="External"/><Relationship Id="rId57" Type="http://schemas.openxmlformats.org/officeDocument/2006/relationships/hyperlink" Target="https://pmc.ncbi.nlm.nih.gov/articles/PMC10870439/" TargetMode="External"/><Relationship Id="rId58" Type="http://schemas.openxmlformats.org/officeDocument/2006/relationships/hyperlink" Target="https://www.nature.com/articles/s41598-020-58828-4" TargetMode="External"/><Relationship Id="rId59" Type="http://schemas.openxmlformats.org/officeDocument/2006/relationships/hyperlink" Target="https://www.sccm.org/clinical-resources/guidelines/guidelines/surviving-sepsis-campaign-international-guidelines-for-management-of-sepsis-and-septic-shock-2026" TargetMode="External"/><Relationship Id="rId60" Type="http://schemas.openxmlformats.org/officeDocument/2006/relationships/hyperlink" Target="https://pmc.ncbi.nlm.nih.gov/articles/PMC10010212/" TargetMode="External"/><Relationship Id="rId61" Type="http://schemas.openxmlformats.org/officeDocument/2006/relationships/hyperlink" Target="https://www.frontiersin.org/journals/medicine/articles/10.3389/fmed.2024.1366062/full" TargetMode="External"/><Relationship Id="rId62" Type="http://schemas.openxmlformats.org/officeDocument/2006/relationships/hyperlink" Target="https://pubmed.ncbi.nlm.nih.gov/38904978/" TargetMode="External"/><Relationship Id="rId63" Type="http://schemas.openxmlformats.org/officeDocument/2006/relationships/hyperlink" Target="https://pmc.ncbi.nlm.nih.gov/articles/PMC10010212/" TargetMode="External"/><Relationship Id="rId64" Type="http://schemas.openxmlformats.org/officeDocument/2006/relationships/hyperlink" Target="https://pmc.ncbi.nlm.nih.gov/articles/PMC3101745/" TargetMode="External"/><Relationship Id="rId65" Type="http://schemas.openxmlformats.org/officeDocument/2006/relationships/hyperlink" Target="https://www.apsf.org/article/methylene-blue-and-the-risk-of-serotonin-toxicity/" TargetMode="External"/><Relationship Id="rId66" Type="http://schemas.openxmlformats.org/officeDocument/2006/relationships/hyperlink" Target="https://pubmed.ncbi.nlm.nih.gov/8750129/" TargetMode="External"/><Relationship Id="rId67" Type="http://schemas.openxmlformats.org/officeDocument/2006/relationships/hyperlink" Target="https://pubmed.ncbi.nlm.nih.gov/10585632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2026-05-21T12:30:41.773Z</dcterms:created>
  <dcterms:modified xsi:type="dcterms:W3CDTF">2026-05-21T12:30:41.773Z</dcterms:modified>
</cp:coreProperties>
</file>