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2E7D52"/>
          <w:sz w:val="22"/>
          <w:szCs w:val="22"/>
        </w:rPr>
        <w:t xml:space="preserve">NEFROLOGIA · DOENÇA RENAL CRÔNICA</w:t>
      </w:r>
    </w:p>
    <w:p>
      <w:pPr>
        <w:shd w:fill="1B4D2E" w:val="clear"/>
        <w:spacing w:after="160" w:before="1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COMPLICAÇÕES DA DIÁLISE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4D2E"/>
          <w:sz w:val="28"/>
          <w:szCs w:val="28"/>
        </w:rPr>
        <w:t xml:space="preserve">NO PACIENTE CRÔNICO — DRC EM HEMODIÁLISE</w:t>
      </w:r>
    </w:p>
    <w:p>
      <w:pPr>
        <w:spacing w:after="6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Complicações Agudas · Crônicas · Relacionadas ao Acesso Vascular · Manejo e Prevenção</w:t>
      </w:r>
    </w:p>
    <w:p>
      <w:pPr>
        <w:spacing w:after="60" w:before="6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Baseado em: KDIGO 2012/2024 · NKF-KDOQI · SBN · ERA-EDTA · UpToDate 2025</w:t>
      </w:r>
    </w:p>
    <w:p>
      <w:pPr>
        <w:spacing w:after="300" w:before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Atualização: 2025</w:t>
      </w:r>
    </w:p>
    <w:p>
      <w:r>
        <w:br w:type="pag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CONTEXTO: DRC E HEMODIÁLISE CRÔNICA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Doença Renal Crônica (DRC) afeta aproximadamente 10% da população mundial e constitui importante problema de saúde pública. No Brasil, dados da Sociedade Brasileira de Nefrologia (SBN) estimam mais de 140.000 pacientes em terapia renal substitutiva, dos quais cerca de 90% realizam hemodiálise. A sobrevida em 5 anos no paciente dialítico gira em torno de 35–40%, sendo as complicações cardiovasculares e infecciosas as principais causas de morte.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 paciente crônico em hemodiálise apresenta perfil de complicações distinto do paciente agudo: além das complicações intradialíticas agudas (que também ocorrem, porém com menor instabilidade de base), há um extenso espectro de complicações crônicas, metabólicas, cardiovasculares, ósseas e relacionadas ao acesso vascular, que impactam qualidade de vida e sobrevida a longo prazo.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50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Prevalência DRC no Brasil (estimativa)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13 milhões de pessoas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Pacientes em hemodiálise (BR, 2023)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 145.000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Sessões/semana padrão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3x/semana, 4h cada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Sobrevida 5 anos em HD crônica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35–40% (DM + DCV pior prognóstico)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Principal causa de morte em DRC-HD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Cardiovascular (40–50%)</w:t>
            </w:r>
          </w:p>
        </w:tc>
      </w:tr>
      <w:tr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Segunda causa de morte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Infecciosa (20–30%)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HIPOTENSÃO INTRADIALÍTICA (HID) NO CRÔNICO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HID é a complicação intradialítica mais frequente, ocorrendo em 20–30% das sessões de pacientes crônicos. Diferentemente do paciente agudo, no crônico os principais fatores são a perda da reserva cardiovascular acumulada, neuropatia autonômica diabética e uso crônico de anti-hipertensivos.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2.1 Causas Específicas no Paciente Crônico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Fator</w:t>
            </w:r>
          </w:p>
        </w:tc>
        <w:tc>
          <w:tcPr>
            <w:tcW w:type="dxa" w:w="3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5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Prevalência no Crônico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Neuropatia autonômica (DM, uremia)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Resposta vasoconstritora inadequada à queda de pré-carga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30–50% dos diabéticos em HD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Ganho de peso interdialítico excessivo (&gt; 4%)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Meta de UF inatingível sem hipotensão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 dos pacientes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Disfunção diastólica por HVE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Dependência excessiva do enchimento ventricular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70–80% dos HD crônicos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Hipoalbuminemia crônica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Baixa pressão oncótica → refilling lento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Frequente em desnutridos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Cardiopatia isquêmica crônica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Reserva funcional reduzida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25–40% dos crônicos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Temperatura dialisato &gt; 37°C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Vasodilatação por transferência de calor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Modificável — evitar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Anti-hipertensivos pré-HD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Queda pressórica aditiva</w:t>
            </w:r>
          </w:p>
        </w:tc>
        <w:tc>
          <w:tcPr>
            <w:tcW w:type="dxa" w:w="3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Orientar não tomar antes da HD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2.2 Manejo e Prevenção Específicos para Crônico</w:t>
      </w:r>
    </w:p>
    <w:p>
      <w:pPr>
        <w:spacing w:after="60" w:before="60"/>
      </w:pPr>
      <w:r>
        <w:t xml:space="preserve"/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8"/>
      </w:tblGrid>
      <w:tr>
        <w:trPr>
          <w:tblHeader/>
        </w:trPr>
        <w:tc>
          <w:tcPr>
            <w:tcW w:type="dxa" w:w="28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</w:t>
            </w:r>
          </w:p>
        </w:tc>
        <w:tc>
          <w:tcPr>
            <w:tcW w:type="dxa" w:w="18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  <w:tc>
          <w:tcPr>
            <w:tcW w:type="dxa" w:w="4428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Prático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Temperatura dialisato 35–36°C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Forte (KDOQI)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Reduz HID em 25%; tolerância inicialmente ruim — adaptar gradualmente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Biofeedback de volume/UF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Perfil de UF variável (maior no início); disponível em máquinas modernas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Na⁺ dialisato 140–145 mEq/L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Evitar hipernatremia iatrogênica — não usar sódio &gt; 148 mEq/L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Evitar anti-hipertensivos pré-HD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Fraca/prática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Orientar tomar após a sessão (especialmente IECA/BRA/BB)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Reduzir ganho interdialítico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Forte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2 kg entre sessões; sal &lt; 5 g/dia; restrição hídrica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Midodrina 2,5–10 mg VO pré-HD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Moderada (RCTs)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Agonista alfa-1; útil nos refratários; contraindicado: ICC grave, coronariopata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Solução tamponante bicarbonato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Forte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Nunca usar acetato em crônico — bicitosolução padrão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Revisar peso seco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Prática essencial</w:t>
            </w:r>
          </w:p>
        </w:tc>
        <w:tc>
          <w:tcPr>
            <w:tcW w:type="dxa" w:w="44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Pesagem pré/pós, avaliação de edema, bioimpedância quando disponível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C17F24" w:sz="14"/>
        </w:pBdr>
        <w:shd w:fill="FFFDE7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C17F24"/>
          <w:sz w:val="20"/>
          <w:szCs w:val="20"/>
        </w:rPr>
        <w:t xml:space="preserve">⚠️  ⚠️ O GANHO DE PESO INTERDIALÍTICO &gt; 4% é o principal fator modificável de HID crônica. Educação nutricional, restrição de sódio e fluidos — abordagem multidisciplinar.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CÂIMBRAS MUSCULARES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Câimbras ocorrem em 5–20% das sessões, predominantemente ao final da HD quando a UF se aproxima do peso seco. No crônico, têm causas cumulativas e abordagem preventiva sistemática.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42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Prevenção / Manejo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Hipotensão associada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Isquemia muscular relativa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Tratar HID (SF 0,9% + reduzir UF)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Peso seco muito baixo (superultrafiltração)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Depleção do volume intersticial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Reavaliar peso seco; aumentar 0,5 kg e observar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Hiponatremia relativa pós-UF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Edema intracelular muscular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Na⁺ dialisato 140–145; SF hipertônica 3%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Hipocalcemia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Hiperexcitabilidade neuromuscular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Ajustar Ca²⁺ dialisato para 2,5–3,0 mEq/L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Carnitina deficiente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Alteração metabolismo muscular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L-carnitina 20 mg/kg IV pós-HD (evidência limitada)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Vitamina E deficiente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Dano oxidativo muscular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Vitamina E 400 UI/dia VO (estudo pequeno)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Quinina (histórico)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Bloqueio junção neuromuscular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NÃO usar — risco de trombocitopenia grave (FDA Warning)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B22222" w:sz="14"/>
        </w:pBdr>
        <w:shd w:fill="FFE4E4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B22222"/>
          <w:sz w:val="20"/>
          <w:szCs w:val="20"/>
        </w:rPr>
        <w:t xml:space="preserve">🔴  ⚠️ Quinina para câimbras em diálise: CONTRAINDICADA — risco de trombocitopenia autoimune grave e morte. Não há dose segura aprovada para esta indicação.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HIPERTENSÃO INTRADIALÍTICA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Paradoxalmente, alguns pacientes crônicos em HD apresentam ELEVAÇÃO da PA durante ou após a sessão. Ocorre em 5–15% dos dialíticos crônicos e é associada a maior mortalidade cardiovascular que a própria HID.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60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Ativação do SRAA intradialítico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HD remove inibidores do SRAA (bradiquinina) → renina aumenta durante sessão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Aumento do débito simpático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Estimulação reflexa + remoção de substâncias vasoativas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Hipervolemia residual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Peso seco subestimado — paciente com sobrecarga mesmo após sessão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Desequilíbrio de potássio/cálcio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Hipocalemia pós-HD → vasoconstrição; hipercalcemia → vasopressão</w:t>
            </w:r>
          </w:p>
        </w:tc>
      </w:tr>
      <w:t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Redução de agentes vasodilatadores endógenos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Óxido nítrico removido pelo dialisato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4.1 Manejo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Avaliar peso seco — hipervolemia residual é causa mais comum e corrigível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Ajustar anti-hipertensivos: preferir administração PÓS-HD para beta-bloqueadores e IECA/BRA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Reavaliação de carvedilol, losartana, amlodipina — evitar suspensão abrupta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Considerar ultrafiltração lenta adicional se peso seco subestimado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Mineralocorticoides e espironolactona: benefício em diálise ainda incerto — cautela</w:t>
      </w:r>
    </w:p>
    <w:p>
      <w:pPr>
        <w:spacing w:after="60" w:before="60"/>
      </w:pPr>
      <w:r>
        <w:t xml:space="preserve"/>
      </w:r>
    </w:p>
    <w:p>
      <w:pPr>
        <w:pBdr>
          <w:left w:val="thick" w:color="4A148C" w:sz="14"/>
        </w:pBdr>
        <w:shd w:fill="EDE7F6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🔬  🔬 Curiosidade: A hipertensão pós-HD é mais preditora de mortalidade cardiovascular do que a PA pré-HD em pacientes crônicos. Importante monitorar PA em todas as fases da sessão.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COMPLICAÇÕES CARDIOVASCULARES — O GRANDE DESAFIO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Eventos cardiovasculares são responsáveis por 40–50% da mortalidade em pacientes em hemodiálise crônica. O risco cardiovascular no dialítico é 10–20x maior que na população geral, mesmo após ajuste por idade e diabetes. A patogênese é multifatorial e inclui fatores urêmicos específicos.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5.1 Hipertrofia Ventricular Esquerda (HVE)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Presente em 70–80% dos pacientes em início de hemodiálise. É o marcador ecocardiográfico mais prevalente e prediz mortalidade cardiovascular de forma independente.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826"/>
      </w:tblGrid>
      <w:tr>
        <w:trPr>
          <w:tblHeader/>
        </w:trPr>
        <w:tc>
          <w:tcPr>
            <w:tcW w:type="dxa" w:w="25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 de HVE em HD</w:t>
            </w:r>
          </w:p>
        </w:tc>
        <w:tc>
          <w:tcPr>
            <w:tcW w:type="dxa" w:w="27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38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Hipertensão arterial crônica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Sobrecarga de pressão → HVE excêntrica/concêntrica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Controle pressórico rigoroso (PA pré &lt; 140/90)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Sobrecarga hídrica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Sobrecarga de volume → dilatação VE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Atingir e manter peso seco real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Anemia crônica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Débito cardíaco alto → remodelamento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Manter Hb 10–12 g/dL com EPO/ferro IV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Fístula arteriovenosa de alto fluxo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Shunt hemodinâmico → sobrecarga volume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FAV com fluxo &lt; 1500 mL/min; ligar se shunt &gt; 2L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Uremia per se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Fatores cardiotóxicos urêmicos (FGF-23, PTH)</w:t>
            </w:r>
          </w:p>
        </w:tc>
        <w:tc>
          <w:tcPr>
            <w:tcW w:type="dxa" w:w="3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Diálise adequada (Kt/V ≥ 1,4)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5.2 Doença Arterial Coronária e SCA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Prevalência de DAC em HD: 40–60% — maioria assintomática (neuropatia autonômica mascarando angina)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SCA em dialítico: mortalidade hospitalar 3–5x maior que na população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ECG pode ser difícil de interpretar: alterações de repolarização por distúrbios eletrolíticos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Troponina: elevada cronicamente (clearance reduzido) — usar série temporal (variação &gt; 20%)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Cateterismo: necessário para estratificação — risco de contraste (pré-hidratação relativa, N-acetilcisteína questionável)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5.3 Fibrilação Atrial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Prevalência: 15–25% dos HD crônicos — 3x maior que população geral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Anticoagulação: dilema real — risco trombótico vs sangramento (PTR aumentado pela uremia)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Warfarina: benefício controverso em FA + HD; metanálises mostram AUMENTO de AVC e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Apixabana 2,5 mg 2x/dia: mais segura que warfarina em DRC-HD (RENAL-AF, 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Cardioversão: estratégia válida se FA &lt; 48h ou anticoagulação adequada por 3 semanas</w:t>
      </w:r>
    </w:p>
    <w:p>
      <w:pPr>
        <w:spacing w:after="60" w:before="60"/>
      </w:pPr>
      <w:r>
        <w:t xml:space="preserve"/>
      </w:r>
    </w:p>
    <w:p>
      <w:pPr>
        <w:pBdr>
          <w:left w:val="thick" w:color="B22222" w:sz="14"/>
        </w:pBdr>
        <w:shd w:fill="FFE4E4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B22222"/>
          <w:sz w:val="20"/>
          <w:szCs w:val="20"/>
        </w:rPr>
        <w:t xml:space="preserve">🔴  🔴 Warfarina em paciente dialítico com FA: risco de calcificação vascular por depleção de vitamina K (carboxilação de MGP). Apixabana ou rivaroxabana em doses reduzidas são alternativas mais seguras segundo evidências atuais.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DISTÚRBIO MINERAL E ÓSSEO (DMO-DRC)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O DMO-DRC é um complexo síndrome envolvendo alterações do cálcio, fósforo, PTH, vitamina D e FGF-23 que impacta o esqueleto e, crucialmente, promove calcificação vascular e valvar — principal fator de mortalidade cardiovascular no dialítico.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Distúrbio</w:t>
            </w:r>
          </w:p>
        </w:tc>
        <w:tc>
          <w:tcPr>
            <w:tcW w:type="dxa" w:w="22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Laboratorial</w:t>
            </w:r>
          </w:p>
        </w:tc>
        <w:tc>
          <w:tcPr>
            <w:tcW w:type="dxa" w:w="44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Abordagem Terapêutica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Fósforo (P)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3,5–5,5 mg/dL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Quelantes: carbonato de Ca (barato), sevelâmer (sem Ca, menos calcificação), carbonato de lantânio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PTH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150–600 pg/mL (2–9x LSN)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Vitamina D ativa (calcitriol), cinacalcete, paricalcitol; paratireoidectomia se refratário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Cálcio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8,4–10,2 mg/dL (ionizado 1,1–1,3)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 dialisato 2,5 mEq/L padrão; evitar Ca dialisato &gt; 3 mEq/L (hipercalcemia)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Vitamina D (25-OH)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Corrigir deficiência (&gt; 30 ng/mL)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Colecalciferol 2000–4000 UI/dia; evitar excesso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FGF-23 (Fator crescimento fibroblástico 23)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Reduzir (elevado prediz mortalidade)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Quelantes de fósforo + diálise adequada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Fosfatase alcalina óssea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120 U/L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Marcador de doença óssea alta rotatividade; orientar conduta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6.1 Calcificação Vascular — A Complicação Mais Fatal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Mecanismo: hiperfosfatemia + hipercalcemia → deposição de hidroxiapatita na camada média vascular (arteriosclerose de Monckeberg)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Score de calcificação (TC): lateral abdominal simples — score de Agatston nas coronárias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Impacto: rigidez aórtica → HVE → ICC → morte. Calcificação valvar (aórtica &gt; mitral) → insuficiência valvar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Prevenção: Fósforo &lt; 5,5 mg/dL; sevelâmer preferível ao Ca em pacientes com calcificação documentada</w:t>
      </w:r>
    </w:p>
    <w:p>
      <w:pPr>
        <w:spacing w:after="60" w:before="60"/>
      </w:pPr>
      <w:r>
        <w:t xml:space="preserve"/>
      </w:r>
    </w:p>
    <w:p>
      <w:pPr>
        <w:pBdr>
          <w:left w:val="thick" w:color="4A148C" w:sz="14"/>
        </w:pBdr>
        <w:shd w:fill="EDE7F6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🔬  🔬 FGF-23: Fator de crescimento fibroblástico 23 — hormônio fosfatúrico produzido pelo osteócito. Eleva-se muito precocemente na DRC (antes da hiperfosfatemia manifesta) e é preditor independente de mortalidade cardiovascular. Alvo indireto da redução de fósforo.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ANEMIA DA DRC EM DIÁLISE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rPr>
          <w:tblHeader/>
        </w:trPr>
        <w:tc>
          <w:tcPr>
            <w:tcW w:type="dxa" w:w="25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2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Contribuição</w:t>
            </w:r>
          </w:p>
        </w:tc>
        <w:tc>
          <w:tcPr>
            <w:tcW w:type="dxa" w:w="45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Manejo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Deficiência de EPO endógena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Principal causa (70–80%)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Eritropoetina SC/IV: darbepoetina, metoxi-PEG-epoetina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Deficiência de ferro (funcional/absoluta)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Presente em 50–80%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Ferro IV (sacarose, carboximaltose, isomaltosídeo) — superior ao VO em HD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Hiperparatireoidismo grave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Fibrose medular óssea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Controle PTH → paratiroidectomia se refratário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Inflamação crônica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Hepcidina alta → ferro sequestrado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Tratar comorbidades inflamatórias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Perdas pelo circuito HD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~ 2–3 g Fe/ano no circuito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Ferro IV rotineiro; minimizar sangue residual</w:t>
            </w:r>
          </w:p>
        </w:tc>
      </w:tr>
      <w:tr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Déficit nutricional (B12, folato)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Co-fator eritropoiese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B12 IM mensal; ácido fólico 5 mg/dia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7.1 Metas e Protocolos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Meta Hb: 10–12 g/dL (KDIGO 2012; NKF-KDOQI) — não exceder 13 g/dL (TREAT trial: AVC)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Ferritina alvo: 200–500 ng/mL; saturação de transferrina: 20–40%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EPO resistência (necessidade &gt; 450 UI/kg/semana): investigar infecção oculta, hiperparatireoidismo, deficiência B12/folato, hemólise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Ferro IV: sacarose 100–200 mg/semana ou carboximaltose férrica 500–1000 mg (menos frequente)</w:t>
      </w:r>
    </w:p>
    <w:p>
      <w:pPr>
        <w:spacing w:after="60" w:before="60"/>
      </w:pPr>
      <w:r>
        <w:t xml:space="preserve"/>
      </w:r>
    </w:p>
    <w:p>
      <w:pPr>
        <w:pBdr>
          <w:left w:val="thick" w:color="C17F24" w:sz="14"/>
        </w:pBdr>
        <w:shd w:fill="FFFDE7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C17F24"/>
          <w:sz w:val="20"/>
          <w:szCs w:val="20"/>
        </w:rPr>
        <w:t xml:space="preserve">⚠️  ⚠️ NÃO manter Hb &gt; 13 g/dL com EPO: o estudo TREAT (NEJM 2009) demonstrou aumento de AVC com darbepoetina visando Hb &gt; 13. Meta 10–12 é evidência forte.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COMPLICAÇÕES DO ACESSO VASCULAR CRÔNICO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8.1 Fístula Arteriovenosa (FAV) — Problemas Frequentes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400"/>
        <w:gridCol w:w="3226"/>
      </w:tblGrid>
      <w:tr>
        <w:trPr>
          <w:tblHeader/>
        </w:trPr>
        <w:tc>
          <w:tcPr>
            <w:tcW w:type="dxa" w:w="2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1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Frequência</w:t>
            </w:r>
          </w:p>
        </w:tc>
        <w:tc>
          <w:tcPr>
            <w:tcW w:type="dxa" w:w="2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  <w:tc>
          <w:tcPr>
            <w:tcW w:type="dxa" w:w="32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Manejo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Trombose da FAV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 em 2 anos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Perda do frêmito/sopro; flebografia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Angioplastia percutânea; trombectomia cirúrgica &lt; 24h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Estenose venosa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Causa + comum de trombose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Doppler: velocidade &gt; 400 cm/s na estenose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Angioplastia; stent se recorrente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Infecção da FAV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3–5% ao ano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Sinais flogísticos; hemocultura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ATB (vancomicina + piperacilina); raramente exérese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Aneurisma/pseudoaneurisma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Punção repetida mesma área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Visual + ultrassonografia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Rotação dos sítios de punção; ligadura se &gt; 3x diâmetro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Síndrome do roubo vascular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1–5% das FAV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Dor isquêmica distal + palidez ao elevar membro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DRIL (arterial de interposição); pode exigir ligadura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FAV de alto débito (cardíaco)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Fluxo &gt; 2 L/min</w:t>
            </w:r>
          </w:p>
        </w:tc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ICC com Hb estável</w:t>
            </w:r>
          </w:p>
        </w:tc>
        <w:tc>
          <w:tcPr>
            <w:tcW w:type="dxa" w:w="3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Banding (redução do calibre cirúrgico)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8.2 Cateter de Diálise Crônico (CDT) — Complicações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rPr>
          <w:tblHeader/>
        </w:trPr>
        <w:tc>
          <w:tcPr>
            <w:tcW w:type="dxa" w:w="2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22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Taxa</w:t>
            </w:r>
          </w:p>
        </w:tc>
        <w:tc>
          <w:tcPr>
            <w:tcW w:type="dxa" w:w="44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Infecção da corrente sanguínea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1–3 episódios/1000 cateteres-dia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Hemoculturas + vancomicina + piperacilina; manter ou retirar cateter conforme evolução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Trombose intraluminal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Alta — principal causa de mau funcionamento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Fibrinolítico (alteplase 1 mg/lúmen por 2h) — alta taxa de sucesso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Trombose pericanular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Fibrina ao redor do cateter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Alteplase 2 mg/lúmen; troca de cateter se refratário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Infecção do óstio/túnel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Frequente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ATB local + sistêmico; remoção se extensão ao túnel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Dislodgamento / migração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Mecânico</w:t>
            </w:r>
          </w:p>
        </w:tc>
        <w:tc>
          <w:tcPr>
            <w:tcW w:type="dxa" w:w="4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Fluoroscopia para reposicionamento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B5E20" w:sz="14"/>
        </w:pBdr>
        <w:shd w:fill="E8F5E9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 ✅ PIRÂMIDE DE ACESSO NKF-KDOQI: 1º FAV nativa (melhor sobrevida e menor infecção) → 2º Enxerto protético → 3º CDT tunelizado (último recurso). Nunca indicar HD crônica por CDT sem busca ativa de FAV.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COMPLICAÇÕES INFECCIOSAS NO DIALÍTICO CRÔNICO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As infecções constituem a 2ª causa de morte em pacientes em hemodiálise, responsáveis por 20–30% dos óbitos. A imunodeficiência urêmica, a desnutrição crônica e o acesso vascular permanente são os principais fatores predisponentes.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626"/>
      </w:tblGrid>
      <w:tr>
        <w:trPr>
          <w:tblHeader/>
        </w:trPr>
        <w:tc>
          <w:tcPr>
            <w:tcW w:type="dxa" w:w="18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Agente Prevalente</w:t>
            </w:r>
          </w:p>
        </w:tc>
        <w:tc>
          <w:tcPr>
            <w:tcW w:type="dxa" w:w="26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Peculiaridade no Dialítico</w:t>
            </w:r>
          </w:p>
        </w:tc>
        <w:tc>
          <w:tcPr>
            <w:tcW w:type="dxa" w:w="26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Conduta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Bacteremia por CDT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S. aureus (55%), Gram-negativos (30%)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Mortalidade 25–35%; endocardite em 10–15% do S. aureus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Vancomicina + pip/tazo; ATB por 14–21d; ecocardiograma obrigatório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Pneumonia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Pneumococo, S. aureus, Gram-neg.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3x maior; vacina pneumocócica obrigatória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ATB guiado por culturas; ATB empírico = cobertura dupla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Peritonite (DP)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Não aplicável (HD)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Hepatite B / C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VHB, VHC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Transmissão nosocomial pelo circuito HD; sala isolada para VHB+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Vacinação VHB (doses dobradas: 40 mcg); triagem mensal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Tuberculose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M. tuberculosis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Risco 6–25x maior; PPD pode ser negativo (anergia)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IGRA preferível; isoniazida profilática se infecção latente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COVID-19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SARS-CoV-2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Mortalidade 20–25% em crônicos HD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Vacina prioritária; antivirais precoces se alto risco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C17F24" w:sz="14"/>
        </w:pBdr>
        <w:shd w:fill="FFFDE7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C17F24"/>
          <w:sz w:val="20"/>
          <w:szCs w:val="20"/>
        </w:rPr>
        <w:t xml:space="preserve">⚠️  ⚠️ Vacinação no dialítico crônico: VHB (4 doses 40 mcg — dobrado), Influenza (anual), Pneumocócica (VPC13 + VPP23), COVID-19 (atualizado), Tdap. Resposta imune diminuída — considerar titulação anti-HBs após vacinação.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COMPLICAÇÕES NEUROLÓGICAS E QUALIDADE DE VIDA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10.1 Encefalopatia Urêmica Residual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Déficit cognitivo presente em 30–60% dos HD crônicos — subdiagnosticado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Domínios afetados: atenção, memória de trabalho, velocidade de processamento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Correlação com: hipertensão não controlada, calcificação cerebrovascular, episódios hipotensivos frequentes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Avaliação: MOCA (Montreal Cognitive Assessment) — sensível para DRC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10.2 Distúrbios do Sono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Síndrome das pernas inquietas (SPI): 30–70% dos dialíticos — déficit de dopamina + ferro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Manejo SPI: correção de ferritina &gt; 300 ng/mL; agonistas dopaminérgicos (pramipexol, ropinirol); gabapentina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Apneia obstrutiva: prevalência de 50–70% em HD — associada à HVE e morte súbita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CPAP: tratamento da SAOS reduz eventos cardiovasculares no dialítico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10.3 Depressão e Saúde Mental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Prevalência de depressão: 20–40% dos pacientes em HD — fortemente associada a não-adesão e mortalidade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Rastreio: PHQ-9 (Patient Health Questionnaire) — aplicar 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Tratamento: psicoterapia + antidepressivos; ISRS são seguros (ajuste de dose); TCAs — evitar (cardiotóxicos)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Suporte multidisciplinar: enfermagem, psicólogo, assistente social — essencial para adesão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DESNUTRIÇÃO PROTEICO-CALÓRICA (DPC) E MIA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Síndrome de Malnutrição-Inflamação-Aterosclerose (MIA) é um ciclo vicioso característico do dialítico crônico: desnutrição alimenta a inflamação que perpetua a caquexia e a doença cardiovascular. Presente em 30–50% dos pacientes em HD.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Marcador Nutricional</w:t>
            </w:r>
          </w:p>
        </w:tc>
        <w:tc>
          <w:tcPr>
            <w:tcW w:type="dxa" w:w="20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Alvo</w:t>
            </w:r>
          </w:p>
        </w:tc>
        <w:tc>
          <w:tcPr>
            <w:tcW w:type="dxa" w:w="42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Albumina sérica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 4,0 g/dL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3,5 = alto risco; &lt; 2,5 = crítico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Pré-albumina (transtirretina)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&gt; 30 mg/dL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Melhor marcador agudo que albumina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Proteína C-reativa (PCR)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&lt; 5 mg/L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Inflamação ativa deprime albumina independente da nutrição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Índice de Massa Corporal (IMC)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23–30 kg/m² (paradoxo da obesidade)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Baixo peso (&lt; 22) pior prognóstico em HD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Índice de creatinina (nPCR)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1,0–1,2 g/kg/dia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Reflete ingestão proteica real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Pontuação SGA (Subjective Global Assessment)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Bem nutrido (A)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SGA B ou C = intervenção nutricional urgente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11.1 Intervenções Nutricionais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Proteína: 1,2–1,4 g/kg/dia (maior que população geral — perdas dialíticas + catabolismo)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Calorias: 30–35 kcal/kg/dia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Suplementação oral: Fórmulas renais durante a sessão (Renilon, Nepro) — custo-efetivos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Nutrição parenteral intradialítica (IDPN): quando suplementação oral insuficiente; infundida no retorno venoso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Vitaminas: B1, B6, B12, ácido fólico, vitamina C (com restrição &gt; 60 mg/dia — oxalato); vitamina D conforme nível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TABELA-RESUMO: COMPLICAÇÕES NO PACIENTE CRÔNICO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25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Complicação</w:t>
            </w:r>
          </w:p>
        </w:tc>
        <w:tc>
          <w:tcPr>
            <w:tcW w:type="dxa" w:w="15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Prevalência</w:t>
            </w:r>
          </w:p>
        </w:tc>
        <w:tc>
          <w:tcPr>
            <w:tcW w:type="dxa" w:w="25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Principal Causa</w:t>
            </w:r>
          </w:p>
        </w:tc>
        <w:tc>
          <w:tcPr>
            <w:tcW w:type="dxa" w:w="26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Estratégia Central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Hipotensão intradialítica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20–30%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UF excessiva / neuropatia autonômica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Dialisato 35°C + peso seco real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HVE / ICC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70–80%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Hipertensão + sobrecarga vol.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Controle PA + diálise adequada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DAC / SCA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40–60%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Calcif. acelerada + uremia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Estratificação precoce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DMO-DRC / Calcificação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Quase universal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Hiperfosfatemia + hipercalcemia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 &lt; 5,5; PTH 150–600; sevelâmer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Anemia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90–95%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Def. EPO + ferro funcional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EPO + ferro IV; Hb 10–12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22222"/>
                <w:sz w:val="18"/>
                <w:szCs w:val="18"/>
              </w:rPr>
              <w:t xml:space="preserve">Infecções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2ª causa morte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Imunodef. urêmica + CDT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Vacinação + FAV nativa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Trombose FAV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 em 2a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Estenose venosa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Doppler semestral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Desnutrição (MIA)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30–50%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MIA + perdas dialíticas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SGA + proteína 1,2 g/kg/dia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Depressão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20–40%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Carga psicossocial + uremia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PHQ-9 anual + ISRS/psicoterapia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Câimbras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5–20%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HID + peso seco inadequado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SF 0,9% + reavaliar peso seco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8"/>
                <w:szCs w:val="18"/>
              </w:rPr>
              <w:t xml:space="preserve">FA / arritmias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15–25%</w:t>
            </w:r>
          </w:p>
        </w:tc>
        <w:tc>
          <w:tcPr>
            <w:tcW w:type="dxa" w:w="2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HVE + eletrólitos</w:t>
            </w:r>
          </w:p>
        </w:tc>
        <w:tc>
          <w:tcPr>
            <w:tcW w:type="dxa" w:w="2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Apixabana; controle K⁺/Ca²⁺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TRANSIÇÃO PARA TRANSPLANTE RENAL E CUIDADOS PALIATIVOS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13.1 Quando Encaminhar para Transplante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Encaminhar para avaliação de transplante renal quando TFG &lt; 20 mL/min/1,73m²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Transplante preemptivo (antes de iniciar diálise): melhor sobrevida do enxerto e do paciente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Critérios de exclusão absoluta: neoplasia ativa, infecção crônica não controlada, não-aderência grave, doença cardiovascular grave sem revascularização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Lista de espera: HLA, PRA (painel de anticorpos reativos), compatibilidade ABO</w:t>
      </w:r>
    </w:p>
    <w:p>
      <w:pPr>
        <w:spacing w:after="60" w:before="60"/>
      </w:pPr>
      <w:r>
        <w:t xml:space="preserve"/>
      </w:r>
    </w:p>
    <w:p>
      <w:pPr>
        <w:pStyle w:val="Heading2"/>
        <w:shd w:fill="2E7D52" w:val="clear"/>
        <w:spacing w:after="120" w:before="160"/>
        <w:ind w:lef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13.2 Cuidados Paliativos e Suspensão da Diálise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 suspensão da diálise é uma decisão médica e ética legítima, especialmente em pacientes com: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 para Considerar Suspensão</w:t>
            </w:r>
          </w:p>
        </w:tc>
        <w:tc>
          <w:tcPr>
            <w:tcW w:type="dxa" w:w="4526"/>
            <w:tcBorders>
              <w:top w:val="single" w:color="2E7D52" w:sz="4"/>
              <w:left w:val="single" w:color="2E7D52" w:sz="4"/>
              <w:bottom w:val="single" w:color="2E7D52" w:sz="4"/>
              <w:right w:val="single" w:color="2E7D52" w:sz="4"/>
            </w:tcBorders>
            <w:shd w:fill="1B4D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Fundamentação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Expectativa de vida &lt; 3–6 meses (múltiplas comorbidades terminais)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Futilidade terapêutica; diálise não altera desfecho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Demência avançada sem autonomia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Incapacidade de consentimento; sofrimento procedimental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Recusa do paciente após informação adequada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Direito à autodeterminação — Resolução CFM 1995/2012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Falência de múltiplos órgãos irreversível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Diálise prolonga o morrer, não a vida</w:t>
            </w:r>
          </w:p>
        </w:tc>
      </w:tr>
      <w:t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Neoplasia metastática em fase terminal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8"/>
                <w:szCs w:val="18"/>
              </w:rPr>
              <w:t xml:space="preserve">Cuidados paliativos &gt; TSR no conforto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thick" w:color="1B5E20" w:sz="14"/>
        </w:pBdr>
        <w:shd w:fill="E8F5E9" w:val="clear"/>
        <w:spacing w:after="80" w:before="80"/>
        <w:ind w:left="300" w:right="30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✅  ✅ Após suspensão da diálise, a sobrevida média é 8–12 dias. Manejo paliativo: controle de dispneia (morfina 2–4 mg IV), prurido (gabapentina, antihistamínico), sedação se refratário. Equipe de cuidados paliativos deve ser acionada antecipadamente.</w:t>
      </w:r>
    </w:p>
    <w:p>
      <w:pPr>
        <w:spacing w:after="60" w:before="60"/>
      </w:pPr>
      <w:r>
        <w:t xml:space="preserve"/>
      </w:r>
    </w:p>
    <w:p>
      <w:pPr>
        <w:pStyle w:val="Heading1"/>
        <w:shd w:fill="1B4D2E" w:val="clear"/>
        <w:spacing w:after="160" w:before="200"/>
        <w:ind w:left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REFERÊNCIAS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KDIGO Clinical Practice Guideline for CKD-MBD. Kidney Int Suppl. 2017;7(1).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NKF-KDOQI Clinical Practice Guidelines for Hemodialysis Adequacy. Am J Kidney Dis. 2015;66(5).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Sociedade Brasileira de Nefrologia. Censo de Diálise 2023.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Locatelli F et al. ERA-EDTA Guidelines for Anaemia Management in CKD. Nephrol Dial Transplant 2013.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Holdaas H et al. Cardiovascular Risk in Dialysis Patients. Curr Opin Nephrol Hypertens 2016.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Pfeffer MA et al. TREAT: A Trial of Darbepoetin Alfa in Type 2 Diabetes and CKD. NEJM 2009.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RENAL-AF Investigators. Apixaban versus Warfarin in Patients with ESRD on Hemodialysis. J Am Coll Cardiol 2020.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Pisoni R et al. Vascular Access Use in Europe and USA: DOPPS Results. Nephrol Dial Transplant 2002.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Kalantar-Zadeh K et al. Malnutrition-Inflammation Continuum and Cachexia Syndrome in Chronic Kidney Disease. Semin Dial 2004.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Murphy EL et al. Evidence-Based Practice Guideline: Management of Restless Legs Syndrome in the ESRD population. JASN 2018.</w:t>
      </w:r>
    </w:p>
    <w:p>
      <w:pPr>
        <w:spacing w:after="60" w:before="60"/>
      </w:pPr>
      <w:r>
        <w:t xml:space="preserve"/>
      </w:r>
    </w:p>
    <w:p>
      <w:pPr>
        <w:shd w:fill="DCDCDC" w:val="clear"/>
        <w:spacing w:after="140" w:before="140"/>
        <w:ind w:left="300" w:right="300"/>
        <w:jc w:val="center"/>
      </w:pPr>
      <w:r>
        <w:rPr>
          <w:rFonts w:ascii="Arial" w:cs="Arial" w:eastAsia="Arial" w:hAnsi="Arial"/>
          <w:color w:val="555555"/>
          <w:sz w:val="16"/>
          <w:szCs w:val="16"/>
        </w:rPr>
        <w:t xml:space="preserve">Documento de uso clínico-educacional. Decisões terapêuticas devem ser individualizadas conforme contexto clínico e julgamento do médico assistente. Atualização: 2025.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52" w:sz="4"/>
      </w:pBdr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Nefrologia  •  Hemodiálise Crônica  •  DRC  •  Manejo de Complicações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52" w:sz="6"/>
      </w:pBdr>
      <w:spacing w:after="80"/>
      <w:jc w:val="right"/>
    </w:pPr>
    <w:r>
      <w:rPr>
        <w:rFonts w:ascii="Arial" w:cs="Arial" w:eastAsia="Arial" w:hAnsi="Arial"/>
        <w:b/>
        <w:bCs/>
        <w:color w:val="2E7D52"/>
        <w:sz w:val="16"/>
        <w:szCs w:val="16"/>
      </w:rPr>
      <w:t xml:space="preserve">COMPLICAÇÕES DA DIÁLISE NO PACIENTE CRÔNICO — DRC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1B4D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2026-05-26T04:14:40.804Z</dcterms:created>
  <dcterms:modified xsi:type="dcterms:W3CDTF">2026-05-26T04:14:40.804Z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