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300"/>
        <w:jc w:val="center"/>
      </w:pPr>
      <w:r>
        <w:rPr>
          <w:rFonts w:ascii="Arial" w:cs="Arial" w:eastAsia="Arial" w:hAnsi="Arial"/>
          <w:b/>
          <w:bCs/>
          <w:color w:val="2C6FAC"/>
          <w:sz w:val="22"/>
          <w:szCs w:val="22"/>
        </w:rPr>
        <w:t xml:space="preserve">MEDICINA INTENSIVA</w:t>
      </w:r>
    </w:p>
    <w:p>
      <w:pPr>
        <w:shd w:fill="1A3A5C" w:val="clear"/>
        <w:spacing w:after="160" w:before="160"/>
        <w:ind w:left="0"/>
        <w:jc w:val="center"/>
      </w:pPr>
      <w:r>
        <w:rPr>
          <w:rFonts w:ascii="Arial" w:cs="Arial" w:eastAsia="Arial" w:hAnsi="Arial"/>
          <w:b/>
          <w:bCs/>
          <w:color w:val="FFFFFF"/>
          <w:sz w:val="52"/>
          <w:szCs w:val="52"/>
        </w:rPr>
        <w:t xml:space="preserve">COMPLICAÇÕES INTRADIALÍTICAS</w:t>
      </w:r>
    </w:p>
    <w:p>
      <w:pPr>
        <w:spacing w:after="60" w:before="60"/>
        <w:jc w:val="center"/>
      </w:pPr>
      <w:r>
        <w:rPr>
          <w:rFonts w:ascii="Arial" w:cs="Arial" w:eastAsia="Arial" w:hAnsi="Arial"/>
          <w:b/>
          <w:bCs/>
          <w:color w:val="1A3A5C"/>
          <w:sz w:val="28"/>
          <w:szCs w:val="28"/>
        </w:rPr>
        <w:t xml:space="preserve">NO PACIENTE CRÍTICO — LRA EM UTI</w:t>
      </w:r>
    </w:p>
    <w:p>
      <w:pPr>
        <w:spacing w:after="60" w:before="60"/>
      </w:pPr>
      <w:r>
        <w:t xml:space="preserve"/>
      </w:r>
    </w:p>
    <w:p>
      <w:pPr>
        <w:spacing w:after="40" w:before="40"/>
        <w:jc w:val="center"/>
      </w:pPr>
      <w:r>
        <w:rPr>
          <w:rFonts w:ascii="Arial" w:cs="Arial" w:eastAsia="Arial" w:hAnsi="Arial"/>
          <w:color w:val="555555"/>
          <w:sz w:val="20"/>
          <w:szCs w:val="20"/>
        </w:rPr>
        <w:t xml:space="preserve">Manejo Clínico · Ajuste da Terapia de Substituição Renal · Critérios de Interrupção</w:t>
      </w:r>
    </w:p>
    <w:p>
      <w:pPr>
        <w:spacing w:after="60" w:before="60"/>
      </w:pPr>
      <w:r>
        <w:t xml:space="preserve"/>
      </w:r>
    </w:p>
    <w:p>
      <w:pPr>
        <w:spacing w:after="40" w:before="40"/>
        <w:jc w:val="center"/>
      </w:pPr>
      <w:r>
        <w:rPr>
          <w:rFonts w:ascii="Arial" w:cs="Arial" w:eastAsia="Arial" w:hAnsi="Arial"/>
          <w:color w:val="888888"/>
          <w:sz w:val="18"/>
          <w:szCs w:val="18"/>
        </w:rPr>
        <w:t xml:space="preserve">Baseado em: KDIGO 2012/2024 · SCCM · AMIB · Surviving Sepsis Campaign 2021</w:t>
      </w:r>
    </w:p>
    <w:p>
      <w:pPr>
        <w:spacing w:after="300" w:before="40"/>
        <w:jc w:val="center"/>
      </w:pPr>
      <w:r>
        <w:rPr>
          <w:rFonts w:ascii="Arial" w:cs="Arial" w:eastAsia="Arial" w:hAnsi="Arial"/>
          <w:color w:val="888888"/>
          <w:sz w:val="18"/>
          <w:szCs w:val="18"/>
        </w:rPr>
        <w:t xml:space="preserve">Atualização: 2025</w:t>
      </w:r>
    </w:p>
    <w:p>
      <w:r>
        <w:br w:type="page"/>
      </w:r>
    </w:p>
    <w:p>
      <w:pPr>
        <w:pStyle w:val="Heading1"/>
        <w:shd w:fill="1A3A5C" w:val="clear"/>
        <w:spacing w:after="160" w:before="200"/>
        <w:ind w:left="240"/>
      </w:pPr>
      <w:r>
        <w:rPr>
          <w:rFonts w:ascii="Arial" w:cs="Arial" w:eastAsia="Arial" w:hAnsi="Arial"/>
          <w:b/>
          <w:bCs/>
          <w:color w:val="FFFFFF"/>
          <w:sz w:val="28"/>
          <w:szCs w:val="28"/>
        </w:rPr>
        <w:t xml:space="preserve">1. CONTEXTO CLÍNICO: LRA E TSR NA UTI</w:t>
      </w:r>
    </w:p>
    <w:p>
      <w:pPr>
        <w:spacing w:after="60" w:before="60"/>
      </w:pPr>
      <w:r>
        <w:t xml:space="preserve"/>
      </w:r>
    </w:p>
    <w:p>
      <w:pPr>
        <w:spacing w:after="60" w:before="60"/>
        <w:jc w:val="both"/>
      </w:pPr>
      <w:r>
        <w:rPr>
          <w:rFonts w:ascii="Arial" w:cs="Arial" w:eastAsia="Arial" w:hAnsi="Arial"/>
          <w:b w:val="false"/>
          <w:bCs w:val="false"/>
          <w:color w:val="1C1C1C"/>
          <w:sz w:val="20"/>
          <w:szCs w:val="20"/>
        </w:rPr>
        <w:t xml:space="preserve">A Lesão Renal Aguda (LRA) acomete 30–60% dos pacientes internados em Unidade de Terapia Intensiva (UTI) e constitui uma das principais causas de morbimortalidade no paciente crítico. Dentre esses, 5–10% necessitam de Terapia de Substituição Renal (TSR), seja por meio de hemodiálise intermitente (IHD), terapia contínua (TCRR) ou modalidades híbridas (SLED/EDD).</w:t>
      </w:r>
    </w:p>
    <w:p>
      <w:pPr>
        <w:spacing w:after="60" w:before="60"/>
      </w:pPr>
      <w:r>
        <w:t xml:space="preserve"/>
      </w:r>
    </w:p>
    <w:p>
      <w:pPr>
        <w:spacing w:after="60" w:before="60"/>
        <w:jc w:val="both"/>
      </w:pPr>
      <w:r>
        <w:rPr>
          <w:rFonts w:ascii="Arial" w:cs="Arial" w:eastAsia="Arial" w:hAnsi="Arial"/>
          <w:b w:val="false"/>
          <w:bCs w:val="false"/>
          <w:color w:val="1C1C1C"/>
          <w:sz w:val="20"/>
          <w:szCs w:val="20"/>
        </w:rPr>
        <w:t xml:space="preserve">As complicações intradialíticas no paciente agudo diferem substancialmente daquelas observadas no paciente crônico. A instabilidade hemodinâmica de base, a síndrome inflamatória sistêmica, o uso de vasopressores e as alterações metabólicas agudas tornam o manejo da TSR no ambiente de UTI um desafio clínico de elevada complexidade.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Variável</w:t>
            </w:r>
          </w:p>
        </w:tc>
        <w:tc>
          <w:tcPr>
            <w:tcW w:type="dxa" w:w="50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Dado</w:t>
            </w:r>
          </w:p>
        </w:tc>
      </w:tr>
      <w:tr>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Incidência LRA em UTI</w:t>
            </w:r>
          </w:p>
        </w:tc>
        <w:tc>
          <w:tcPr>
            <w:tcW w:type="dxa" w:w="5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30–60% dos admitidos</w:t>
            </w:r>
          </w:p>
        </w:tc>
      </w:tr>
      <w:tr>
        <w:tc>
          <w:tcPr>
            <w:tcW w:type="dxa" w:w="4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Necessidade de TSR na LRA grave</w:t>
            </w:r>
          </w:p>
        </w:tc>
        <w:tc>
          <w:tcPr>
            <w:tcW w:type="dxa" w:w="5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5–10% (até 25% nos sépticos graves)</w:t>
            </w:r>
          </w:p>
        </w:tc>
      </w:tr>
      <w:tr>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Mortalidade LRA + TSR em UTI</w:t>
            </w:r>
          </w:p>
        </w:tc>
        <w:tc>
          <w:tcPr>
            <w:tcW w:type="dxa" w:w="5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40–70% (variável por etiologia)</w:t>
            </w:r>
          </w:p>
        </w:tc>
      </w:tr>
      <w:tr>
        <w:tc>
          <w:tcPr>
            <w:tcW w:type="dxa" w:w="4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Complicações intradialíticas em UTI</w:t>
            </w:r>
          </w:p>
        </w:tc>
        <w:tc>
          <w:tcPr>
            <w:tcW w:type="dxa" w:w="5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Até 30–40% das sessões</w:t>
            </w:r>
          </w:p>
        </w:tc>
      </w:tr>
      <w:tr>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Recuperação renal após TSR na LRA</w:t>
            </w:r>
          </w:p>
        </w:tc>
        <w:tc>
          <w:tcPr>
            <w:tcW w:type="dxa" w:w="5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50–70% dos sobreviventes</w:t>
            </w:r>
          </w:p>
        </w:tc>
      </w:tr>
    </w:tbl>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2. HIPOTENSÃO INTRADIALÍTICA (HID)</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2.1 Definição e Epidemiologia</w:t>
      </w:r>
    </w:p>
    <w:p>
      <w:pPr>
        <w:spacing w:after="60" w:before="60"/>
      </w:pPr>
      <w:r>
        <w:t xml:space="preserve"/>
      </w:r>
    </w:p>
    <w:p>
      <w:pPr>
        <w:spacing w:after="60" w:before="60"/>
        <w:jc w:val="both"/>
      </w:pPr>
      <w:r>
        <w:rPr>
          <w:rFonts w:ascii="Arial" w:cs="Arial" w:eastAsia="Arial" w:hAnsi="Arial"/>
          <w:b w:val="false"/>
          <w:bCs w:val="false"/>
          <w:color w:val="1C1C1C"/>
          <w:sz w:val="20"/>
          <w:szCs w:val="20"/>
        </w:rPr>
        <w:t xml:space="preserve">A hipotensão intradialítica é definida pela NKF-KDOQI como queda da pressão arterial sistólica (PAS) ≥ 20 mmHg ou da pressão arterial média (PAM) ≥ 10 mmHg, associada a sintomas ou necessidade de intervenção. No paciente crítico, é a complicação mais frequente, ocorrendo em 20–30% das sessões de IHD.</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2.2 Fisiopatologia no Paciente Agudo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62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Descrição</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Ultrafiltração excessiva</w:t>
            </w:r>
          </w:p>
        </w:tc>
        <w:tc>
          <w:tcPr>
            <w:tcW w:type="dxa" w:w="6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Remoção de volume &gt; capacidade de reenchimento vascular (plasma refilling rate)</w:t>
            </w:r>
          </w:p>
        </w:tc>
      </w:tr>
      <w:tr>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Disfunção miocárdica aguda</w:t>
            </w:r>
          </w:p>
        </w:tc>
        <w:tc>
          <w:tcPr>
            <w:tcW w:type="dxa" w:w="6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Sepse, miocardite, pós-parada — reduz reserva cardíaca durante UF</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Vasoplegia séptica</w:t>
            </w:r>
          </w:p>
        </w:tc>
        <w:tc>
          <w:tcPr>
            <w:tcW w:type="dxa" w:w="6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Vasomotricidade comprometida; incapacidade de compensar redução de pré-carga</w:t>
            </w:r>
          </w:p>
        </w:tc>
      </w:tr>
      <w:tr>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Hipoalbuminemia grave</w:t>
            </w:r>
          </w:p>
        </w:tc>
        <w:tc>
          <w:tcPr>
            <w:tcW w:type="dxa" w:w="6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Reduz pressão oncótica → menor refilling intravascular</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Temperatura dialisato elevada</w:t>
            </w:r>
          </w:p>
        </w:tc>
        <w:tc>
          <w:tcPr>
            <w:tcW w:type="dxa" w:w="6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Vasodilatação periférica → queda da RVP</w:t>
            </w:r>
          </w:p>
        </w:tc>
      </w:tr>
      <w:tr>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Hipocalcemia / Hipomagnesemia</w:t>
            </w:r>
          </w:p>
        </w:tc>
        <w:tc>
          <w:tcPr>
            <w:tcW w:type="dxa" w:w="6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Redução da contratilidade miocárdica</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Uso de anti-hipertensivos pré-HD</w:t>
            </w:r>
          </w:p>
        </w:tc>
        <w:tc>
          <w:tcPr>
            <w:tcW w:type="dxa" w:w="6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Potencializam queda pressórica</w:t>
            </w:r>
          </w:p>
        </w:tc>
      </w:tr>
      <w:tr>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Arritmias intercorrentes</w:t>
            </w:r>
          </w:p>
        </w:tc>
        <w:tc>
          <w:tcPr>
            <w:tcW w:type="dxa" w:w="6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Reduzem débito cardíaco durante a sessão</w:t>
            </w:r>
          </w:p>
        </w:tc>
      </w:tr>
    </w:tbl>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2.3 Reconhecimento Clínico</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PAS &lt; 90 mmHg ou PAM &lt; 65 mmHg em monitorização contínua</w:t>
      </w:r>
    </w:p>
    <w:p>
      <w:pPr>
        <w:pStyle w:val="ListParagraph"/>
        <w:numPr>
          <w:ilvl w:val="0"/>
          <w:numId w:val="2"/>
        </w:numPr>
        <w:spacing w:after="40" w:before="40"/>
      </w:pPr>
      <w:r>
        <w:rPr>
          <w:rFonts w:ascii="Arial" w:cs="Arial" w:eastAsia="Arial" w:hAnsi="Arial"/>
          <w:b w:val="false"/>
          <w:bCs w:val="false"/>
          <w:color w:val="1C1C1C"/>
          <w:sz w:val="20"/>
          <w:szCs w:val="20"/>
        </w:rPr>
        <w:t xml:space="preserve">Sinais precoces: sudorese, palidez, náuseas, bocejos — frequentemente precedem queda pressórica</w:t>
      </w:r>
    </w:p>
    <w:p>
      <w:pPr>
        <w:pStyle w:val="ListParagraph"/>
        <w:numPr>
          <w:ilvl w:val="0"/>
          <w:numId w:val="2"/>
        </w:numPr>
        <w:spacing w:after="40" w:before="40"/>
      </w:pPr>
      <w:r>
        <w:rPr>
          <w:rFonts w:ascii="Arial" w:cs="Arial" w:eastAsia="Arial" w:hAnsi="Arial"/>
          <w:b w:val="false"/>
          <w:bCs w:val="false"/>
          <w:color w:val="1C1C1C"/>
          <w:sz w:val="20"/>
          <w:szCs w:val="20"/>
        </w:rPr>
        <w:t xml:space="preserve">Em paciente sedado/intubado: taquicardia reflexa ou piora da necessidade de vasopressor</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2.4 Algoritmo de Manejo — Passo a Passo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Passo</w:t>
            </w:r>
          </w:p>
        </w:tc>
        <w:tc>
          <w:tcPr>
            <w:tcW w:type="dxa" w:w="26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58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Detalhamento</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Zerar / pausar ultrafiltração</w:t>
            </w:r>
          </w:p>
        </w:tc>
        <w:tc>
          <w:tcPr>
            <w:tcW w:type="dxa" w:w="5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Suspender imediatamente a taxa de UF — ação prioritária</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2</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Posição de Trendelenburg</w:t>
            </w:r>
          </w:p>
        </w:tc>
        <w:tc>
          <w:tcPr>
            <w:tcW w:type="dxa" w:w="58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30° se não houver contraindicação (HIC, DPOC grave, pós-cirurgia abdominal recente)</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3</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Bolus de SF 0,9%</w:t>
            </w:r>
          </w:p>
        </w:tc>
        <w:tc>
          <w:tcPr>
            <w:tcW w:type="dxa" w:w="5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100–250 mL rápido; repetir se necessário; avaliar resposta em 5 min</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4</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Reduzir temperatura do dialisato</w:t>
            </w:r>
          </w:p>
        </w:tc>
        <w:tc>
          <w:tcPr>
            <w:tcW w:type="dxa" w:w="58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Programar 35,0–35,5°C (reduz vasodilatação periférica)</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5</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Reduzir fluxo de sangue (Qb)</w:t>
            </w:r>
          </w:p>
        </w:tc>
        <w:tc>
          <w:tcPr>
            <w:tcW w:type="dxa" w:w="5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Reduzir para 200 mL/min temporariamente</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6</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Avaliar causa subjacente</w:t>
            </w:r>
          </w:p>
        </w:tc>
        <w:tc>
          <w:tcPr>
            <w:tcW w:type="dxa" w:w="58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SCA, TEP, tamponamento, pneumotórax, sepse nova, sangramento oculto</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7</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Noradrenalina / vasopressor</w:t>
            </w:r>
          </w:p>
        </w:tc>
        <w:tc>
          <w:tcPr>
            <w:tcW w:type="dxa" w:w="5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 PAM &lt; 65 após 2 bolus: titular vasopressor para PAM ≥ 65 mmHg</w:t>
            </w:r>
          </w:p>
        </w:tc>
      </w:tr>
      <w:tr>
        <w:tc>
          <w:tcPr>
            <w:tcW w:type="dxa" w:w="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8</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Considerar TCRR ou SLED</w:t>
            </w:r>
          </w:p>
        </w:tc>
        <w:tc>
          <w:tcPr>
            <w:tcW w:type="dxa" w:w="58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 HID recorrente: mudar modalidade para remoção hídrica mais gradual</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9</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Encerrar sessão</w:t>
            </w:r>
          </w:p>
        </w:tc>
        <w:tc>
          <w:tcPr>
            <w:tcW w:type="dxa" w:w="5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 instabilidade hemodinâmica persistente &gt; 15–20 min sem resposta</w:t>
            </w:r>
          </w:p>
        </w:tc>
      </w:tr>
    </w:tbl>
    <w:p>
      <w:pPr>
        <w:spacing w:after="60" w:before="60"/>
      </w:pPr>
      <w:r>
        <w:t xml:space="preserve"/>
      </w:r>
    </w:p>
    <w:p>
      <w:pPr>
        <w:pBdr>
          <w:left w:val="thick" w:color="C17F24" w:sz="14"/>
        </w:pBdr>
        <w:shd w:fill="FFFDE7" w:val="clear"/>
        <w:spacing w:after="80" w:before="80"/>
        <w:ind w:left="300" w:right="300"/>
      </w:pPr>
      <w:r>
        <w:rPr>
          <w:rFonts w:ascii="Arial" w:cs="Arial" w:eastAsia="Arial" w:hAnsi="Arial"/>
          <w:b/>
          <w:bCs/>
          <w:color w:val="1A3A5C"/>
          <w:sz w:val="20"/>
          <w:szCs w:val="20"/>
        </w:rPr>
        <w:t xml:space="preserve">⚠️  ⚠️ PREVENÇÃO — Evidência Grau A: Temperatura do dialisato 35–36°C reduz HID em 25%. Taxa de UF ≤ 13 mL/kg/h (NKF-KDOQI 2015). Solução bicarbonato, não acetato. Na⁺ dialisato 140–145 mEq/L. Evitar anti-hipertensivos 4–6h antes.</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2.5 Quando Mudar de Modalidade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Situação</w:t>
            </w:r>
          </w:p>
        </w:tc>
        <w:tc>
          <w:tcPr>
            <w:tcW w:type="dxa" w:w="2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Modalidade Preferida</w:t>
            </w:r>
          </w:p>
        </w:tc>
        <w:tc>
          <w:tcPr>
            <w:tcW w:type="dxa" w:w="40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Justificativa</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HID recorrente (≥ 2 episódios/sessão)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TCRR ou SLED</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Remoção hídrica &lt; 1 mL/min vs 15–25 mL/min na IHD</w:t>
            </w:r>
          </w:p>
        </w:tc>
      </w:tr>
      <w:tr>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Vasopressor ≥ 2 drogas</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TCRR</w:t>
            </w:r>
          </w:p>
        </w:tc>
        <w:tc>
          <w:tcPr>
            <w:tcW w:type="dxa" w:w="4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Estabilidade hemodinâmica superior demonstrada</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Choque cardiogênico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TCRR</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Menor impacto no pré-carga e pós-carga</w:t>
            </w:r>
          </w:p>
        </w:tc>
      </w:tr>
      <w:tr>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Insuficiência hepática aguda</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TCRR (CVVHDF)</w:t>
            </w:r>
          </w:p>
        </w:tc>
        <w:tc>
          <w:tcPr>
            <w:tcW w:type="dxa" w:w="4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Controle de PIC, gradual</w:t>
            </w:r>
          </w:p>
        </w:tc>
      </w:tr>
    </w:tbl>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3. SÍNDROME DE DESEQUILÍBRIO DIALÍTICO (SDD)</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3.1 Fisiopatologia</w:t>
      </w:r>
    </w:p>
    <w:p>
      <w:pPr>
        <w:spacing w:after="60" w:before="60"/>
      </w:pPr>
      <w:r>
        <w:t xml:space="preserve"/>
      </w:r>
    </w:p>
    <w:p>
      <w:pPr>
        <w:spacing w:after="60" w:before="60"/>
        <w:jc w:val="both"/>
      </w:pPr>
      <w:r>
        <w:rPr>
          <w:rFonts w:ascii="Arial" w:cs="Arial" w:eastAsia="Arial" w:hAnsi="Arial"/>
          <w:b w:val="false"/>
          <w:bCs w:val="false"/>
          <w:color w:val="1C1C1C"/>
          <w:sz w:val="20"/>
          <w:szCs w:val="20"/>
        </w:rPr>
        <w:t xml:space="preserve">A SDD resulta da remoção rápida de ureia do plasma em relação ao compartimento cerebral. O gradiente osmótico gerado promove influxo de água para o SNC, causando edema cerebral. O fenômeno é agravado pela geração de osmóis idiogênicos no tecido cerebral durante a uremia prolongada.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Aspecto</w:t>
            </w:r>
          </w:p>
        </w:tc>
        <w:tc>
          <w:tcPr>
            <w:tcW w:type="dxa" w:w="60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Conteúdo</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Fisiopatologia central</w:t>
            </w:r>
          </w:p>
        </w:tc>
        <w:tc>
          <w:tcPr>
            <w:tcW w:type="dxa" w:w="6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Gradiente osmótico plasma-SNC → edema cerebral osmótico</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Fatores de risco</w:t>
            </w:r>
          </w:p>
        </w:tc>
        <w:tc>
          <w:tcPr>
            <w:tcW w:type="dxa" w:w="6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Ureia &gt; 150–200 mg/dL, primeira sessão, hiponatremia, uremia &gt; 72h, TCE associado</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Tempo de instalação</w:t>
            </w:r>
          </w:p>
        </w:tc>
        <w:tc>
          <w:tcPr>
            <w:tcW w:type="dxa" w:w="6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Durante ou nas primeiras 24h pós-sessão</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Manifestações leves</w:t>
            </w:r>
          </w:p>
        </w:tc>
        <w:tc>
          <w:tcPr>
            <w:tcW w:type="dxa" w:w="6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Cefaleia, náuseas, câimbras, agitação, turvação visual</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Manifestações graves</w:t>
            </w:r>
          </w:p>
        </w:tc>
        <w:tc>
          <w:tcPr>
            <w:tcW w:type="dxa" w:w="6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Confusão aguda, convulsão, coma, herniação transtentorial</w:t>
            </w:r>
          </w:p>
        </w:tc>
      </w:tr>
    </w:tbl>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3.2 Manejo</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Leve: Reduzir Qb para 150–180 mL/min; encurtar sessão; SF 0,9% ou manitol 20% 100 mL IV</w:t>
      </w:r>
    </w:p>
    <w:p>
      <w:pPr>
        <w:pStyle w:val="ListParagraph"/>
        <w:numPr>
          <w:ilvl w:val="0"/>
          <w:numId w:val="2"/>
        </w:numPr>
        <w:spacing w:after="40" w:before="40"/>
      </w:pPr>
      <w:r>
        <w:rPr>
          <w:rFonts w:ascii="Arial" w:cs="Arial" w:eastAsia="Arial" w:hAnsi="Arial"/>
          <w:b w:val="false"/>
          <w:bCs w:val="false"/>
          <w:color w:val="1C1C1C"/>
          <w:sz w:val="20"/>
          <w:szCs w:val="20"/>
        </w:rPr>
        <w:t xml:space="preserve">Moderada: Interromper sessão; manitol 20% 1 g/kg IV; elevar cabeceira 30°; monitorização neurológica</w:t>
      </w:r>
    </w:p>
    <w:p>
      <w:pPr>
        <w:pStyle w:val="ListParagraph"/>
        <w:numPr>
          <w:ilvl w:val="0"/>
          <w:numId w:val="2"/>
        </w:numPr>
        <w:spacing w:after="40" w:before="40"/>
      </w:pPr>
      <w:r>
        <w:rPr>
          <w:rFonts w:ascii="Arial" w:cs="Arial" w:eastAsia="Arial" w:hAnsi="Arial"/>
          <w:b w:val="false"/>
          <w:bCs w:val="false"/>
          <w:color w:val="1C1C1C"/>
          <w:sz w:val="20"/>
          <w:szCs w:val="20"/>
        </w:rPr>
        <w:t xml:space="preserve">Grave: Interrupção imediata + TC crânio de urgência + manitol + suporte neurointensivo</w:t>
      </w:r>
    </w:p>
    <w:p>
      <w:pPr>
        <w:spacing w:after="60" w:before="60"/>
      </w:pPr>
      <w:r>
        <w:t xml:space="preserve"/>
      </w:r>
    </w:p>
    <w:p>
      <w:pPr>
        <w:pBdr>
          <w:left w:val="thick" w:color="B22222" w:sz="14"/>
        </w:pBdr>
        <w:shd w:fill="FFE4E4" w:val="clear"/>
        <w:spacing w:after="80" w:before="80"/>
        <w:ind w:left="300" w:right="300"/>
      </w:pPr>
      <w:r>
        <w:rPr>
          <w:rFonts w:ascii="Arial" w:cs="Arial" w:eastAsia="Arial" w:hAnsi="Arial"/>
          <w:b/>
          <w:bCs/>
          <w:color w:val="B22222"/>
          <w:sz w:val="20"/>
          <w:szCs w:val="20"/>
        </w:rPr>
        <w:t xml:space="preserve">🔴  🔴 PREVENÇÃO OBRIGATÓRIA: Na 1ª sessão de qualquer paciente com ureia &gt; 150 mg/dL: Qb máximo 200 mL/min, duração ≤ 2h, meta de redução de ureia ≤ 30–40%. Melhor prescrever 3 sessões curtas do que 1 longa.</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4. ARRITMIAS CARDÍACAS INTRADIALÍTICAS</w:t>
      </w:r>
    </w:p>
    <w:p>
      <w:pPr>
        <w:spacing w:after="60" w:before="60"/>
      </w:pPr>
      <w:r>
        <w:t xml:space="preserve"/>
      </w:r>
    </w:p>
    <w:p>
      <w:pPr>
        <w:spacing w:after="60" w:before="60"/>
        <w:jc w:val="both"/>
      </w:pPr>
      <w:r>
        <w:rPr>
          <w:rFonts w:ascii="Arial" w:cs="Arial" w:eastAsia="Arial" w:hAnsi="Arial"/>
          <w:b w:val="false"/>
          <w:bCs w:val="false"/>
          <w:color w:val="1C1C1C"/>
          <w:sz w:val="20"/>
          <w:szCs w:val="20"/>
        </w:rPr>
        <w:t xml:space="preserve">No paciente crítico, as arritmias durante TSR são frequentes (3–10%) e associadas a elevada mortalidade. A causa mais comum é o distúrbio eletrolítico iatrogênico — em especial hipocalemia aguda pós-diálise e hipocalcemia em uso de citrato.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rPr>
          <w:tblHeader/>
        </w:trPr>
        <w:tc>
          <w:tcPr>
            <w:tcW w:type="dxa" w:w="2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Causa</w:t>
            </w:r>
          </w:p>
        </w:tc>
        <w:tc>
          <w:tcPr>
            <w:tcW w:type="dxa" w:w="18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Distúrbio</w:t>
            </w:r>
          </w:p>
        </w:tc>
        <w:tc>
          <w:tcPr>
            <w:tcW w:type="dxa" w:w="18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Arritmia Típica</w:t>
            </w:r>
          </w:p>
        </w:tc>
        <w:tc>
          <w:tcPr>
            <w:tcW w:type="dxa" w:w="32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Manejo Imediato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UF excessiva + dialisato K⁺ 1–2 mEq/L</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Hipocalemia aguda</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ESV, TVNS, TV, FV</w:t>
            </w:r>
          </w:p>
        </w:tc>
        <w:tc>
          <w:tcPr>
            <w:tcW w:type="dxa" w:w="3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Aumentar K⁺ dialisato para 3 mEq/L; KCl IV se &lt; 3,0</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Citrato sem reposição adequada</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Hipocalcemia ionizada</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QT longo, BAV, assistolia</w:t>
            </w:r>
          </w:p>
        </w:tc>
        <w:tc>
          <w:tcPr>
            <w:tcW w:type="dxa" w:w="3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CaCl₂ ou gluconato Ca²⁺ IV imediato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Hipomagnesemia pós-diálise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Mg²⁺ &lt; 1,5 mg/dL</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FA, torsades de pointes</w:t>
            </w:r>
          </w:p>
        </w:tc>
        <w:tc>
          <w:tcPr>
            <w:tcW w:type="dxa" w:w="3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MgSO₄ 2–4 g IV em 20 min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HID severa + isquemia miocárdica</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Eletrolítico + isquemia</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FA, TVNS, BRE novo</w:t>
            </w:r>
          </w:p>
        </w:tc>
        <w:tc>
          <w:tcPr>
            <w:tcW w:type="dxa" w:w="3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Tratar HID; ECG + troponina; cardiologista</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Desequilíbrio dialítico grave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Edema cerebral → adrenérgico</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Bradicardia, BAV</w:t>
            </w:r>
          </w:p>
        </w:tc>
        <w:tc>
          <w:tcPr>
            <w:tcW w:type="dxa" w:w="3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Interromper sessão; atropina se necessário</w:t>
            </w:r>
          </w:p>
        </w:tc>
      </w:tr>
    </w:tbl>
    <w:p>
      <w:pPr>
        <w:spacing w:after="60" w:before="60"/>
      </w:pPr>
      <w:r>
        <w:t xml:space="preserve"/>
      </w:r>
    </w:p>
    <w:p>
      <w:pPr>
        <w:pBdr>
          <w:left w:val="thick" w:color="C17F24" w:sz="14"/>
        </w:pBdr>
        <w:shd w:fill="FFFDE7" w:val="clear"/>
        <w:spacing w:after="80" w:before="80"/>
        <w:ind w:left="300" w:right="300"/>
      </w:pPr>
      <w:r>
        <w:rPr>
          <w:rFonts w:ascii="Arial" w:cs="Arial" w:eastAsia="Arial" w:hAnsi="Arial"/>
          <w:b/>
          <w:bCs/>
          <w:color w:val="1A3A5C"/>
          <w:sz w:val="20"/>
          <w:szCs w:val="20"/>
        </w:rPr>
        <w:t xml:space="preserve">⚠️  ⚠️ Monitorização cardíaca contínua durante toda sessão de TSR é OBRIGATÓRIA em UTI. K⁺ dialisato &lt; 2 mEq/L deve ser evitado no paciente crítico — risco de hipocalemia perigosa.</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5. SANGRAMENTO RELACIONADO À ANTICOAGULAÇÃO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Anticoagulante</w:t>
            </w:r>
          </w:p>
        </w:tc>
        <w:tc>
          <w:tcPr>
            <w:tcW w:type="dxa" w:w="2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Risco Hemorrágico</w:t>
            </w:r>
          </w:p>
        </w:tc>
        <w:tc>
          <w:tcPr>
            <w:tcW w:type="dxa" w:w="48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Reversão / Manejo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HNF sistêmica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3–5% — médio</w:t>
            </w:r>
          </w:p>
        </w:tc>
        <w:tc>
          <w:tcPr>
            <w:tcW w:type="dxa" w:w="4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Protamina 1 mg/100 UI heparina última hora (máx 50 mg IV lento)</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Citrato regional</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&lt; 1% — baixo</w:t>
            </w:r>
          </w:p>
        </w:tc>
        <w:tc>
          <w:tcPr>
            <w:tcW w:type="dxa" w:w="48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Sem reversão necessária (citrato é metabolizado); checar Ca²⁺</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Argatrobana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Variável</w:t>
            </w:r>
          </w:p>
        </w:tc>
        <w:tc>
          <w:tcPr>
            <w:tcW w:type="dxa" w:w="4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Sem antídoto — suspender e aguardar (meia-vida 45 min)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Sem anticoagulação</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Sangramento por uremia</w:t>
            </w:r>
          </w:p>
        </w:tc>
        <w:tc>
          <w:tcPr>
            <w:tcW w:type="dxa" w:w="48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DDAVP 0,3 mcg/kg IV; crioprecipitado; concentrado de hemácias</w:t>
            </w:r>
          </w:p>
        </w:tc>
      </w:tr>
    </w:tbl>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5.1 Situações Especiais de Alto Risco Hemorrágico</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Pós-operatório de cirurgia cardíaca ou neurocirurgia &lt; 24–48h: preferir TCRR sem anticoagulação + flush</w:t>
      </w:r>
    </w:p>
    <w:p>
      <w:pPr>
        <w:pStyle w:val="ListParagraph"/>
        <w:numPr>
          <w:ilvl w:val="0"/>
          <w:numId w:val="2"/>
        </w:numPr>
        <w:spacing w:after="40" w:before="40"/>
      </w:pPr>
      <w:r>
        <w:rPr>
          <w:rFonts w:ascii="Arial" w:cs="Arial" w:eastAsia="Arial" w:hAnsi="Arial"/>
          <w:b w:val="false"/>
          <w:bCs w:val="false"/>
          <w:color w:val="1C1C1C"/>
          <w:sz w:val="20"/>
          <w:szCs w:val="20"/>
        </w:rPr>
        <w:t xml:space="preserve">Trombocitopenia induzida por heparina (HIT): suspender HNF IMEDIATAMENTE → argatrobana 0,5–1 mcg/kg/min</w:t>
      </w:r>
    </w:p>
    <w:p>
      <w:pPr>
        <w:pStyle w:val="ListParagraph"/>
        <w:numPr>
          <w:ilvl w:val="0"/>
          <w:numId w:val="2"/>
        </w:numPr>
        <w:spacing w:after="40" w:before="40"/>
      </w:pPr>
      <w:r>
        <w:rPr>
          <w:rFonts w:ascii="Arial" w:cs="Arial" w:eastAsia="Arial" w:hAnsi="Arial"/>
          <w:b w:val="false"/>
          <w:bCs w:val="false"/>
          <w:color w:val="1C1C1C"/>
          <w:sz w:val="20"/>
          <w:szCs w:val="20"/>
        </w:rPr>
        <w:t xml:space="preserve">Coagulopatia grave (INR &gt; 2,5, plaquetas &lt; 30.000): avaliar relação risco-benefício; TCRR sem anticoag.</w:t>
      </w:r>
    </w:p>
    <w:p>
      <w:pPr>
        <w:pStyle w:val="ListParagraph"/>
        <w:numPr>
          <w:ilvl w:val="0"/>
          <w:numId w:val="2"/>
        </w:numPr>
        <w:spacing w:after="40" w:before="40"/>
      </w:pPr>
      <w:r>
        <w:rPr>
          <w:rFonts w:ascii="Arial" w:cs="Arial" w:eastAsia="Arial" w:hAnsi="Arial"/>
          <w:b w:val="false"/>
          <w:bCs w:val="false"/>
          <w:color w:val="1C1C1C"/>
          <w:sz w:val="20"/>
          <w:szCs w:val="20"/>
        </w:rPr>
        <w:t xml:space="preserve">Pericardite urémica: risco de hemopericárdio com HNF — preferir citrato ou sem anticoagulação</w:t>
      </w:r>
    </w:p>
    <w:p>
      <w:pPr>
        <w:spacing w:after="60" w:before="60"/>
      </w:pPr>
      <w:r>
        <w:t xml:space="preserve"/>
      </w:r>
    </w:p>
    <w:p>
      <w:pPr>
        <w:pBdr>
          <w:left w:val="thick" w:color="B22222" w:sz="14"/>
        </w:pBdr>
        <w:shd w:fill="FFE4E4" w:val="clear"/>
        <w:spacing w:after="80" w:before="80"/>
        <w:ind w:left="300" w:right="300"/>
      </w:pPr>
      <w:r>
        <w:rPr>
          <w:rFonts w:ascii="Arial" w:cs="Arial" w:eastAsia="Arial" w:hAnsi="Arial"/>
          <w:b/>
          <w:bCs/>
          <w:color w:val="B22222"/>
          <w:sz w:val="20"/>
          <w:szCs w:val="20"/>
        </w:rPr>
        <w:t xml:space="preserve">🔴  🔴 HIT: NUNCA reiniciar heparina (incluindo HBPM) após diagnóstico de HIT. Confirmação por anticorpos anti-FP4. Usar argatrobana ou fondaparinux até resolução.</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6. REAÇÃO AO DIALISADOR / REAÇÃO ANAFILÁTICA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500"/>
        <w:gridCol w:w="2126"/>
      </w:tblGrid>
      <w:tr>
        <w:trPr>
          <w:tblHeader/>
        </w:trPr>
        <w:tc>
          <w:tcPr>
            <w:tcW w:type="dxa" w:w="1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Início</w:t>
            </w:r>
          </w:p>
        </w:tc>
        <w:tc>
          <w:tcPr>
            <w:tcW w:type="dxa" w:w="2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2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Clínica</w:t>
            </w:r>
          </w:p>
        </w:tc>
        <w:tc>
          <w:tcPr>
            <w:tcW w:type="dxa" w:w="21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Conduta</w:t>
            </w:r>
          </w:p>
        </w:tc>
      </w:tr>
      <w:tr>
        <w:tc>
          <w:tcPr>
            <w:tcW w:type="dxa" w:w="12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TIPO 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Primeiros 5 min</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Hipersens. IgE (ETO, heparina, membrana)</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Prurido generalizado, urticária, broncoespasmo, choque anafilático</w:t>
            </w:r>
          </w:p>
        </w:tc>
        <w:tc>
          <w:tcPr>
            <w:tcW w:type="dxa" w:w="21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PARAR + NÃO retornar sangue + adrenalina 0,5 mg IM + anti-H1 + corticoide</w:t>
            </w:r>
          </w:p>
        </w:tc>
      </w:tr>
      <w:tr>
        <w:tc>
          <w:tcPr>
            <w:tcW w:type="dxa" w:w="12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TIPO B</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30–60 min</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Ativação complemento (membrana bioincompatível)</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Dor torácica e/ou lombar, dispneia leve, febre</w:t>
            </w:r>
          </w:p>
        </w:tc>
        <w:tc>
          <w:tcPr>
            <w:tcW w:type="dxa" w:w="21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Reduzir Qb; O₂ suplementar; trocar para membrana sintética high-flux nas próximas sessões</w:t>
            </w:r>
          </w:p>
        </w:tc>
      </w:tr>
    </w:tbl>
    <w:p>
      <w:pPr>
        <w:spacing w:after="60" w:before="60"/>
      </w:pPr>
      <w:r>
        <w:t xml:space="preserve"/>
      </w:r>
    </w:p>
    <w:p>
      <w:pPr>
        <w:pBdr>
          <w:left w:val="thick" w:color="B22222" w:sz="14"/>
        </w:pBdr>
        <w:shd w:fill="FFE4E4" w:val="clear"/>
        <w:spacing w:after="80" w:before="80"/>
        <w:ind w:left="300" w:right="300"/>
      </w:pPr>
      <w:r>
        <w:rPr>
          <w:rFonts w:ascii="Arial" w:cs="Arial" w:eastAsia="Arial" w:hAnsi="Arial"/>
          <w:b/>
          <w:bCs/>
          <w:color w:val="B22222"/>
          <w:sz w:val="20"/>
          <w:szCs w:val="20"/>
        </w:rPr>
        <w:t xml:space="preserve">🔴  🔴 TIPO A: NÃO retornar o sangue do circuito — ele contém o alérgeno. Trocar membrana e dialisador nas sessões subsequentes. Investigar causa (kit ETO, heparina bovina, látex).</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7. EMBOLIA GASOSA — EMERGÊNCIA RARA E LETAL</w:t>
      </w:r>
    </w:p>
    <w:p>
      <w:pPr>
        <w:spacing w:after="60" w:before="60"/>
      </w:pPr>
      <w:r>
        <w:t xml:space="preserve"/>
      </w:r>
    </w:p>
    <w:p>
      <w:pPr>
        <w:spacing w:after="60" w:before="60"/>
        <w:jc w:val="both"/>
      </w:pPr>
      <w:r>
        <w:rPr>
          <w:rFonts w:ascii="Arial" w:cs="Arial" w:eastAsia="Arial" w:hAnsi="Arial"/>
          <w:b w:val="false"/>
          <w:bCs w:val="false"/>
          <w:color w:val="1C1C1C"/>
          <w:sz w:val="20"/>
          <w:szCs w:val="20"/>
        </w:rPr>
        <w:t xml:space="preserve">A embolia gasosa intradialítica ocorre por falha no sistema de detecção de ar do circuito extracorpóreo, desconexão de linhas ou entrada de ar durante manipulação do acesso. Embora rara com equipamentos modernos, é potencialmente fatal.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Causa</w:t>
            </w:r>
          </w:p>
        </w:tc>
        <w:tc>
          <w:tcPr>
            <w:tcW w:type="dxa" w:w="3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Reconhecimento</w:t>
            </w:r>
          </w:p>
        </w:tc>
        <w:tc>
          <w:tcPr>
            <w:tcW w:type="dxa" w:w="35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Volume Letal Estimado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Desconexão de linha venosa</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Dispneia súbita + cianose + colapso</w:t>
            </w:r>
          </w:p>
        </w:tc>
        <w:tc>
          <w:tcPr>
            <w:tcW w:type="dxa" w:w="3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 5–8 mL de ar IV em bolus</w:t>
            </w:r>
          </w:p>
        </w:tc>
      </w:tr>
      <w:tr>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Falha no detector de ar</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Barulho de 'moinho' à ausculta cardíaca</w:t>
            </w:r>
          </w:p>
        </w:tc>
        <w:tc>
          <w:tcPr>
            <w:tcW w:type="dxa" w:w="35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Manipulação do acesso com seringa</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Confusão + convulsão + parada</w:t>
            </w:r>
          </w:p>
        </w:tc>
        <w:tc>
          <w:tcPr>
            <w:tcW w:type="dxa" w:w="3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&lt; 5 mL se intracoronário/cerebral</w:t>
            </w:r>
          </w:p>
        </w:tc>
      </w:tr>
    </w:tbl>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7.1 Conduta Imediata — Sequência Obrigatória</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1. Clampar IMEDIATAMENTE a linha venosa do circuito</w:t>
      </w:r>
    </w:p>
    <w:p>
      <w:pPr>
        <w:pStyle w:val="ListParagraph"/>
        <w:numPr>
          <w:ilvl w:val="0"/>
          <w:numId w:val="2"/>
        </w:numPr>
        <w:spacing w:after="40" w:before="40"/>
      </w:pPr>
      <w:r>
        <w:rPr>
          <w:rFonts w:ascii="Arial" w:cs="Arial" w:eastAsia="Arial" w:hAnsi="Arial"/>
          <w:b w:val="false"/>
          <w:bCs w:val="false"/>
          <w:color w:val="1C1C1C"/>
          <w:sz w:val="20"/>
          <w:szCs w:val="20"/>
        </w:rPr>
        <w:t xml:space="preserve">2. Posição de Trendelenburg 30° com decúbito lateral ESQUERDO (ar fica no VD, longe da via de saída)</w:t>
      </w:r>
    </w:p>
    <w:p>
      <w:pPr>
        <w:pStyle w:val="ListParagraph"/>
        <w:numPr>
          <w:ilvl w:val="0"/>
          <w:numId w:val="2"/>
        </w:numPr>
        <w:spacing w:after="40" w:before="40"/>
      </w:pPr>
      <w:r>
        <w:rPr>
          <w:rFonts w:ascii="Arial" w:cs="Arial" w:eastAsia="Arial" w:hAnsi="Arial"/>
          <w:b w:val="false"/>
          <w:bCs w:val="false"/>
          <w:color w:val="1C1C1C"/>
          <w:sz w:val="20"/>
          <w:szCs w:val="20"/>
        </w:rPr>
        <w:t xml:space="preserve">3. O₂ a 100% (FiO₂ = 1,0) — reduz tamanho das bolhas por efeito de lavagem de N₂</w:t>
      </w:r>
    </w:p>
    <w:p>
      <w:pPr>
        <w:pStyle w:val="ListParagraph"/>
        <w:numPr>
          <w:ilvl w:val="0"/>
          <w:numId w:val="2"/>
        </w:numPr>
        <w:spacing w:after="40" w:before="40"/>
      </w:pPr>
      <w:r>
        <w:rPr>
          <w:rFonts w:ascii="Arial" w:cs="Arial" w:eastAsia="Arial" w:hAnsi="Arial"/>
          <w:b w:val="false"/>
          <w:bCs w:val="false"/>
          <w:color w:val="1C1C1C"/>
          <w:sz w:val="20"/>
          <w:szCs w:val="20"/>
        </w:rPr>
        <w:t xml:space="preserve">4. Considerar aspiração de ar pelo cateter central ou acesso VD (cateter de Swan-Ganz se disponível)</w:t>
      </w:r>
    </w:p>
    <w:p>
      <w:pPr>
        <w:pStyle w:val="ListParagraph"/>
        <w:numPr>
          <w:ilvl w:val="0"/>
          <w:numId w:val="2"/>
        </w:numPr>
        <w:spacing w:after="40" w:before="40"/>
      </w:pPr>
      <w:r>
        <w:rPr>
          <w:rFonts w:ascii="Arial" w:cs="Arial" w:eastAsia="Arial" w:hAnsi="Arial"/>
          <w:b w:val="false"/>
          <w:bCs w:val="false"/>
          <w:color w:val="1C1C1C"/>
          <w:sz w:val="20"/>
          <w:szCs w:val="20"/>
        </w:rPr>
        <w:t xml:space="preserve">5. Câmara hiperbárica — se disponível e paciente transportável</w:t>
      </w:r>
    </w:p>
    <w:p>
      <w:pPr>
        <w:spacing w:after="60" w:before="60"/>
      </w:pPr>
      <w:r>
        <w:t xml:space="preserve"/>
      </w:r>
    </w:p>
    <w:p>
      <w:pPr>
        <w:pBdr>
          <w:left w:val="thick" w:color="B22222" w:sz="14"/>
        </w:pBdr>
        <w:shd w:fill="FFE4E4" w:val="clear"/>
        <w:spacing w:after="80" w:before="80"/>
        <w:ind w:left="300" w:right="300"/>
      </w:pPr>
      <w:r>
        <w:rPr>
          <w:rFonts w:ascii="Arial" w:cs="Arial" w:eastAsia="Arial" w:hAnsi="Arial"/>
          <w:b/>
          <w:bCs/>
          <w:color w:val="B22222"/>
          <w:sz w:val="20"/>
          <w:szCs w:val="20"/>
        </w:rPr>
        <w:t xml:space="preserve">🔴  🔴 A posição lateral ESQUERDA é crítica: mantém o ar aprisionado no ventrículo direito, prevenindo obstrução do trato de saída pulmonar. NÃO sentar ou deixar o paciente sentado.</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8. HEMÓLISE INTRADIALÍTICA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Causa</w:t>
            </w:r>
          </w:p>
        </w:tc>
        <w:tc>
          <w:tcPr>
            <w:tcW w:type="dxa" w:w="2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40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Identificação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Dialisato superaquecido (&gt; 42°C)</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Desnaturação proteica + dano osmótico</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Sangue porta venosa: 'vinho rosé'</w:t>
            </w:r>
          </w:p>
        </w:tc>
      </w:tr>
      <w:tr>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Dialisato hiposmolar / contaminação</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Lise osmótica dos eritrócitos</w:t>
            </w:r>
          </w:p>
        </w:tc>
        <w:tc>
          <w:tcPr>
            <w:tcW w:type="dxa" w:w="4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Plasma rosa-avermelhado no circuito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Contaminação por cloramina/cobre/formol</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Toxicidade direta na membrana eritrocitária</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Teste de qualidade da água</w:t>
            </w:r>
          </w:p>
        </w:tc>
      </w:tr>
      <w:tr>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Dobradura ou kinking de linha</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Trauma mecânico (hemólise física)</w:t>
            </w:r>
          </w:p>
        </w:tc>
        <w:tc>
          <w:tcPr>
            <w:tcW w:type="dxa" w:w="4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Inspeção visual do circuito</w:t>
            </w:r>
          </w:p>
        </w:tc>
      </w:tr>
    </w:tbl>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8.1 Manejo</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PARAR a sessão IMEDIATAMENTE</w:t>
      </w:r>
    </w:p>
    <w:p>
      <w:pPr>
        <w:pStyle w:val="ListParagraph"/>
        <w:numPr>
          <w:ilvl w:val="0"/>
          <w:numId w:val="2"/>
        </w:numPr>
        <w:spacing w:after="40" w:before="40"/>
      </w:pPr>
      <w:r>
        <w:rPr>
          <w:rFonts w:ascii="Arial" w:cs="Arial" w:eastAsia="Arial" w:hAnsi="Arial"/>
          <w:b w:val="false"/>
          <w:bCs w:val="false"/>
          <w:color w:val="1C1C1C"/>
          <w:sz w:val="20"/>
          <w:szCs w:val="20"/>
        </w:rPr>
        <w:t xml:space="preserve">NÃO retornar o sangue hemolisado ao paciente (K⁺ intracelular liberado pode causar PCR)</w:t>
      </w:r>
    </w:p>
    <w:p>
      <w:pPr>
        <w:pStyle w:val="ListParagraph"/>
        <w:numPr>
          <w:ilvl w:val="0"/>
          <w:numId w:val="2"/>
        </w:numPr>
        <w:spacing w:after="40" w:before="40"/>
      </w:pPr>
      <w:r>
        <w:rPr>
          <w:rFonts w:ascii="Arial" w:cs="Arial" w:eastAsia="Arial" w:hAnsi="Arial"/>
          <w:b w:val="false"/>
          <w:bCs w:val="false"/>
          <w:color w:val="1C1C1C"/>
          <w:sz w:val="20"/>
          <w:szCs w:val="20"/>
        </w:rPr>
        <w:t xml:space="preserve">ECG imediato — hiperkalemia de rebote é emergência</w:t>
      </w:r>
    </w:p>
    <w:p>
      <w:pPr>
        <w:pStyle w:val="ListParagraph"/>
        <w:numPr>
          <w:ilvl w:val="0"/>
          <w:numId w:val="2"/>
        </w:numPr>
        <w:spacing w:after="40" w:before="40"/>
      </w:pPr>
      <w:r>
        <w:rPr>
          <w:rFonts w:ascii="Arial" w:cs="Arial" w:eastAsia="Arial" w:hAnsi="Arial"/>
          <w:b w:val="false"/>
          <w:bCs w:val="false"/>
          <w:color w:val="1C1C1C"/>
          <w:sz w:val="20"/>
          <w:szCs w:val="20"/>
        </w:rPr>
        <w:t xml:space="preserve">Colher: hemograma, K⁺, LDH, bilirrubina, haptoglobina, Coombs</w:t>
      </w:r>
    </w:p>
    <w:p>
      <w:pPr>
        <w:pStyle w:val="ListParagraph"/>
        <w:numPr>
          <w:ilvl w:val="0"/>
          <w:numId w:val="2"/>
        </w:numPr>
        <w:spacing w:after="40" w:before="40"/>
      </w:pPr>
      <w:r>
        <w:rPr>
          <w:rFonts w:ascii="Arial" w:cs="Arial" w:eastAsia="Arial" w:hAnsi="Arial"/>
          <w:b w:val="false"/>
          <w:bCs w:val="false"/>
          <w:color w:val="1C1C1C"/>
          <w:sz w:val="20"/>
          <w:szCs w:val="20"/>
        </w:rPr>
        <w:t xml:space="preserve">Hemotransfusão se Hb &lt; 7 g/dL ou instabilidade hemodinâmica</w:t>
      </w:r>
    </w:p>
    <w:p>
      <w:pPr>
        <w:pStyle w:val="ListParagraph"/>
        <w:numPr>
          <w:ilvl w:val="0"/>
          <w:numId w:val="2"/>
        </w:numPr>
        <w:spacing w:after="40" w:before="40"/>
      </w:pPr>
      <w:r>
        <w:rPr>
          <w:rFonts w:ascii="Arial" w:cs="Arial" w:eastAsia="Arial" w:hAnsi="Arial"/>
          <w:b w:val="false"/>
          <w:bCs w:val="false"/>
          <w:color w:val="1C1C1C"/>
          <w:sz w:val="20"/>
          <w:szCs w:val="20"/>
        </w:rPr>
        <w:t xml:space="preserve">Tratar hiperkalemia aguda (gluconato de Ca²⁺ + insulina + glicose + bicarbonato)</w:t>
      </w:r>
    </w:p>
    <w:p>
      <w:pPr>
        <w:spacing w:after="60" w:before="60"/>
      </w:pPr>
      <w:r>
        <w:t xml:space="preserve"/>
      </w:r>
    </w:p>
    <w:p>
      <w:pPr>
        <w:pBdr>
          <w:left w:val="thick" w:color="B22222" w:sz="14"/>
        </w:pBdr>
        <w:shd w:fill="FFE4E4" w:val="clear"/>
        <w:spacing w:after="80" w:before="80"/>
        <w:ind w:left="300" w:right="300"/>
      </w:pPr>
      <w:r>
        <w:rPr>
          <w:rFonts w:ascii="Arial" w:cs="Arial" w:eastAsia="Arial" w:hAnsi="Arial"/>
          <w:b/>
          <w:bCs/>
          <w:color w:val="B22222"/>
          <w:sz w:val="20"/>
          <w:szCs w:val="20"/>
        </w:rPr>
        <w:t xml:space="preserve">🔴  🔴 Hemólise = Hiperkalemia de rebote potencialmente fatal. Todo K⁺ intracelular dos eritrócitos lisados é liberado no plasma. ECG imediato após identificação — risco real de PCR.</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9. OUTRAS COMPLICAÇÕES NO PACIENTE AGUDO</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9.1 Câimbras Musculares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Frequência: 5–20% — mais frequente em hipotensão associada</w:t>
      </w:r>
    </w:p>
    <w:p>
      <w:pPr>
        <w:pStyle w:val="ListParagraph"/>
        <w:numPr>
          <w:ilvl w:val="0"/>
          <w:numId w:val="2"/>
        </w:numPr>
        <w:spacing w:after="40" w:before="40"/>
      </w:pPr>
      <w:r>
        <w:rPr>
          <w:rFonts w:ascii="Arial" w:cs="Arial" w:eastAsia="Arial" w:hAnsi="Arial"/>
          <w:b w:val="false"/>
          <w:bCs w:val="false"/>
          <w:color w:val="1C1C1C"/>
          <w:sz w:val="20"/>
          <w:szCs w:val="20"/>
        </w:rPr>
        <w:t xml:space="preserve">Manejo: SF 0,9% 100–200 mL IV; reduzir UF; Na⁺ dialisato 145 mEq/L; SF hipertônica 3% 100 mL se hiponatremia</w:t>
      </w:r>
    </w:p>
    <w:p>
      <w:pPr>
        <w:pStyle w:val="ListParagraph"/>
        <w:numPr>
          <w:ilvl w:val="0"/>
          <w:numId w:val="2"/>
        </w:numPr>
        <w:spacing w:after="40" w:before="40"/>
      </w:pPr>
      <w:r>
        <w:rPr>
          <w:rFonts w:ascii="Arial" w:cs="Arial" w:eastAsia="Arial" w:hAnsi="Arial"/>
          <w:b w:val="false"/>
          <w:bCs w:val="false"/>
          <w:color w:val="1C1C1C"/>
          <w:sz w:val="20"/>
          <w:szCs w:val="20"/>
        </w:rPr>
        <w:t xml:space="preserve">Gluconato de cálcio 10% 10–20 mL se Ca²⁺ ionizado baixo</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9.2 Hipoglicemia</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Risco: paciente crítico com jejum + insulinoterapia intensiva + dialisato sem glicose</w:t>
      </w:r>
    </w:p>
    <w:p>
      <w:pPr>
        <w:pStyle w:val="ListParagraph"/>
        <w:numPr>
          <w:ilvl w:val="0"/>
          <w:numId w:val="2"/>
        </w:numPr>
        <w:spacing w:after="40" w:before="40"/>
      </w:pPr>
      <w:r>
        <w:rPr>
          <w:rFonts w:ascii="Arial" w:cs="Arial" w:eastAsia="Arial" w:hAnsi="Arial"/>
          <w:b w:val="false"/>
          <w:bCs w:val="false"/>
          <w:color w:val="1C1C1C"/>
          <w:sz w:val="20"/>
          <w:szCs w:val="20"/>
        </w:rPr>
        <w:t xml:space="preserve">Prevenção: dialisato com glicose 100–200 mg/dL (padrão); monitorar HGT a cada 1h em TCRR</w:t>
      </w:r>
    </w:p>
    <w:p>
      <w:pPr>
        <w:pStyle w:val="ListParagraph"/>
        <w:numPr>
          <w:ilvl w:val="0"/>
          <w:numId w:val="2"/>
        </w:numPr>
        <w:spacing w:after="40" w:before="40"/>
      </w:pPr>
      <w:r>
        <w:rPr>
          <w:rFonts w:ascii="Arial" w:cs="Arial" w:eastAsia="Arial" w:hAnsi="Arial"/>
          <w:b w:val="false"/>
          <w:bCs w:val="false"/>
          <w:color w:val="1C1C1C"/>
          <w:sz w:val="20"/>
          <w:szCs w:val="20"/>
        </w:rPr>
        <w:t xml:space="preserve">Manejo: glicose 50% 20–40 mL IV; ajustar insulina; suspender temporariamente se HGT &lt; 60 persistente</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9.3 Hipotermia (Específica da TCRR)</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Perda de calor pelo circuito extracorpóreo: até 0,5°C/h no paciente grave</w:t>
      </w:r>
    </w:p>
    <w:p>
      <w:pPr>
        <w:pStyle w:val="ListParagraph"/>
        <w:numPr>
          <w:ilvl w:val="0"/>
          <w:numId w:val="2"/>
        </w:numPr>
        <w:spacing w:after="40" w:before="40"/>
      </w:pPr>
      <w:r>
        <w:rPr>
          <w:rFonts w:ascii="Arial" w:cs="Arial" w:eastAsia="Arial" w:hAnsi="Arial"/>
          <w:b w:val="false"/>
          <w:bCs w:val="false"/>
          <w:color w:val="1C1C1C"/>
          <w:sz w:val="20"/>
          <w:szCs w:val="20"/>
        </w:rPr>
        <w:t xml:space="preserve">Risco: arritmias, coagulopatia, disfunção imune</w:t>
      </w:r>
    </w:p>
    <w:p>
      <w:pPr>
        <w:pStyle w:val="ListParagraph"/>
        <w:numPr>
          <w:ilvl w:val="0"/>
          <w:numId w:val="2"/>
        </w:numPr>
        <w:spacing w:after="40" w:before="40"/>
      </w:pPr>
      <w:r>
        <w:rPr>
          <w:rFonts w:ascii="Arial" w:cs="Arial" w:eastAsia="Arial" w:hAnsi="Arial"/>
          <w:b w:val="false"/>
          <w:bCs w:val="false"/>
          <w:color w:val="1C1C1C"/>
          <w:sz w:val="20"/>
          <w:szCs w:val="20"/>
        </w:rPr>
        <w:t xml:space="preserve">Prevenção: aquecimento das soluções de reposição; temperatura alvo 36,5–37,5°C</w:t>
      </w:r>
    </w:p>
    <w:p>
      <w:pPr>
        <w:pStyle w:val="ListParagraph"/>
        <w:numPr>
          <w:ilvl w:val="0"/>
          <w:numId w:val="2"/>
        </w:numPr>
        <w:spacing w:after="40" w:before="40"/>
      </w:pPr>
      <w:r>
        <w:rPr>
          <w:rFonts w:ascii="Arial" w:cs="Arial" w:eastAsia="Arial" w:hAnsi="Arial"/>
          <w:b w:val="false"/>
          <w:bCs w:val="false"/>
          <w:color w:val="1C1C1C"/>
          <w:sz w:val="20"/>
          <w:szCs w:val="20"/>
        </w:rPr>
        <w:t xml:space="preserve">Atenção: em pacientes com hipertermia por sepse, a TCRR pode ser usada terapeuticamente como antipirético</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9.4 Perda de Nutrientes e Medicamentos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Aminoácidos: perda de 5–15 g/sessão em TCRR → ajuste nutricional obrigatório</w:t>
      </w:r>
    </w:p>
    <w:p>
      <w:pPr>
        <w:pStyle w:val="ListParagraph"/>
        <w:numPr>
          <w:ilvl w:val="0"/>
          <w:numId w:val="2"/>
        </w:numPr>
        <w:spacing w:after="40" w:before="40"/>
      </w:pPr>
      <w:r>
        <w:rPr>
          <w:rFonts w:ascii="Arial" w:cs="Arial" w:eastAsia="Arial" w:hAnsi="Arial"/>
          <w:b w:val="false"/>
          <w:bCs w:val="false"/>
          <w:color w:val="1C1C1C"/>
          <w:sz w:val="20"/>
          <w:szCs w:val="20"/>
        </w:rPr>
        <w:t xml:space="preserve">Vitaminas hidrossolúveis (B1, B6, C, folato): repor diariamente em TSR prolongada</w:t>
      </w:r>
    </w:p>
    <w:p>
      <w:pPr>
        <w:pStyle w:val="ListParagraph"/>
        <w:numPr>
          <w:ilvl w:val="0"/>
          <w:numId w:val="2"/>
        </w:numPr>
        <w:spacing w:after="40" w:before="40"/>
      </w:pPr>
      <w:r>
        <w:rPr>
          <w:rFonts w:ascii="Arial" w:cs="Arial" w:eastAsia="Arial" w:hAnsi="Arial"/>
          <w:b w:val="false"/>
          <w:bCs w:val="false"/>
          <w:color w:val="1C1C1C"/>
          <w:sz w:val="20"/>
          <w:szCs w:val="20"/>
        </w:rPr>
        <w:t xml:space="preserve">Antibióticos: meropenem, piperacilina, cefepime — doses extras pós-sessão (ver ajuste renal)</w:t>
      </w:r>
    </w:p>
    <w:p>
      <w:pPr>
        <w:pStyle w:val="ListParagraph"/>
        <w:numPr>
          <w:ilvl w:val="0"/>
          <w:numId w:val="2"/>
        </w:numPr>
        <w:spacing w:after="40" w:before="40"/>
      </w:pPr>
      <w:r>
        <w:rPr>
          <w:rFonts w:ascii="Arial" w:cs="Arial" w:eastAsia="Arial" w:hAnsi="Arial"/>
          <w:b w:val="false"/>
          <w:bCs w:val="false"/>
          <w:color w:val="1C1C1C"/>
          <w:sz w:val="20"/>
          <w:szCs w:val="20"/>
        </w:rPr>
        <w:t xml:space="preserve">Fosfato: hipofosfatemia frequente em TCRR prolongada → monitorar e repor</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10. TABELA-RESUMO: COMPLICAÇÕES NO PACIENTE AGUDO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900"/>
        <w:gridCol w:w="2500"/>
        <w:gridCol w:w="1626"/>
      </w:tblGrid>
      <w:tr>
        <w:trPr>
          <w:tblHeader/>
        </w:trPr>
        <w:tc>
          <w:tcPr>
            <w:tcW w:type="dxa" w:w="2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Complicação</w:t>
            </w:r>
          </w:p>
        </w:tc>
        <w:tc>
          <w:tcPr>
            <w:tcW w:type="dxa" w:w="1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Freq.</w:t>
            </w:r>
          </w:p>
        </w:tc>
        <w:tc>
          <w:tcPr>
            <w:tcW w:type="dxa" w:w="19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Sinal de Alerta</w:t>
            </w:r>
          </w:p>
        </w:tc>
        <w:tc>
          <w:tcPr>
            <w:tcW w:type="dxa" w:w="2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1ª Conduta</w:t>
            </w:r>
          </w:p>
        </w:tc>
        <w:tc>
          <w:tcPr>
            <w:tcW w:type="dxa" w:w="16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Interromper?</w:t>
            </w:r>
          </w:p>
        </w:tc>
      </w:tr>
      <w:tr>
        <w:tc>
          <w:tcPr>
            <w:tcW w:type="dxa" w:w="20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Hipotensão</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20–30%</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PAM ↓ ≥ 10 mmHg</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Pausar UF + SF + Trendelenburg</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 refratária &gt; 15 min</w:t>
            </w:r>
          </w:p>
        </w:tc>
      </w:tr>
      <w:tr>
        <w:tc>
          <w:tcPr>
            <w:tcW w:type="dxa" w:w="20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Arritmia</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3–10%</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Monitor cardíaco</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Corrigir eletrólitos</w:t>
            </w:r>
          </w:p>
        </w:tc>
        <w:tc>
          <w:tcPr>
            <w:tcW w:type="dxa" w:w="16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 instabilidade HD</w:t>
            </w:r>
          </w:p>
        </w:tc>
      </w:tr>
      <w:tr>
        <w:tc>
          <w:tcPr>
            <w:tcW w:type="dxa" w:w="20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Câimbras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5–20%</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Dor muscular</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SF 0,9% + reduzir UF</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Raramente</w:t>
            </w:r>
          </w:p>
        </w:tc>
      </w:tr>
      <w:tr>
        <w:tc>
          <w:tcPr>
            <w:tcW w:type="dxa" w:w="20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Sínd. Desequilíbrio</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&lt; 5%</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Agitação → convulsão</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Manitol + reduzir Qb</w:t>
            </w:r>
          </w:p>
        </w:tc>
        <w:tc>
          <w:tcPr>
            <w:tcW w:type="dxa" w:w="16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 grave: SIM</w:t>
            </w:r>
          </w:p>
        </w:tc>
      </w:tr>
      <w:tr>
        <w:tc>
          <w:tcPr>
            <w:tcW w:type="dxa" w:w="20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Reação Tipo A</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&lt; 1%</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Anafilaxia &lt; 5 min</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PARAR + adrenalina</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SIM — imediato</w:t>
            </w:r>
          </w:p>
        </w:tc>
      </w:tr>
      <w:tr>
        <w:tc>
          <w:tcPr>
            <w:tcW w:type="dxa" w:w="20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Embolia gasosa</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Rara</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Colapso + cianose</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Clampar + lat. esq.</w:t>
            </w:r>
          </w:p>
        </w:tc>
        <w:tc>
          <w:tcPr>
            <w:tcW w:type="dxa" w:w="16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SIM — imediato</w:t>
            </w:r>
          </w:p>
        </w:tc>
      </w:tr>
      <w:tr>
        <w:tc>
          <w:tcPr>
            <w:tcW w:type="dxa" w:w="20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Hemólise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Rara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Sangue rosé + K⁺↑</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PARAR + ECG</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SIM — imediato</w:t>
            </w:r>
          </w:p>
        </w:tc>
      </w:tr>
      <w:tr>
        <w:tc>
          <w:tcPr>
            <w:tcW w:type="dxa" w:w="20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Sangramento</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3–5%</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Hemodinâmica + Hb↓</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Protamina / suspender anticoag.</w:t>
            </w:r>
          </w:p>
        </w:tc>
        <w:tc>
          <w:tcPr>
            <w:tcW w:type="dxa" w:w="16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 grave: SIM</w:t>
            </w:r>
          </w:p>
        </w:tc>
      </w:tr>
      <w:tr>
        <w:tc>
          <w:tcPr>
            <w:tcW w:type="dxa" w:w="20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Hipoglicemia</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Variável</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HGT &lt; 70 mg/dL</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Glicose 50% IV</w:t>
            </w:r>
          </w:p>
        </w:tc>
        <w:tc>
          <w:tcPr>
            <w:tcW w:type="dxa" w:w="1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 &lt; 50 refratária</w:t>
            </w:r>
          </w:p>
        </w:tc>
      </w:tr>
      <w:tr>
        <w:tc>
          <w:tcPr>
            <w:tcW w:type="dxa" w:w="20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Hipotermia (TCRR)</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Frequente</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Tcore &lt; 36°C</w:t>
            </w:r>
          </w:p>
        </w:tc>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Aquec. fluidos</w:t>
            </w:r>
          </w:p>
        </w:tc>
        <w:tc>
          <w:tcPr>
            <w:tcW w:type="dxa" w:w="16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Não — ajustar</w:t>
            </w:r>
          </w:p>
        </w:tc>
      </w:tr>
    </w:tbl>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11. CRITÉRIOS DE INTERRUPÇÃO DA SESSÃO</w:t>
      </w:r>
    </w:p>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11.1 Interrupção IMEDIATA — Absolutos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Situação</w:t>
            </w:r>
          </w:p>
        </w:tc>
        <w:tc>
          <w:tcPr>
            <w:tcW w:type="dxa" w:w="2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Justificativa</w:t>
            </w:r>
          </w:p>
        </w:tc>
        <w:tc>
          <w:tcPr>
            <w:tcW w:type="dxa" w:w="40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Ação Pós-Parada</w:t>
            </w:r>
          </w:p>
        </w:tc>
      </w:tr>
      <w:tr>
        <w:tc>
          <w:tcPr>
            <w:tcW w:type="dxa" w:w="28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Reação anafilática Tipo 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PCR iminente</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Adrenalina + suporte avançado</w:t>
            </w:r>
          </w:p>
        </w:tc>
      </w:tr>
      <w:tr>
        <w:tc>
          <w:tcPr>
            <w:tcW w:type="dxa" w:w="28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Embolia gasosa confirmada</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Obstrução VD</w:t>
            </w:r>
          </w:p>
        </w:tc>
        <w:tc>
          <w:tcPr>
            <w:tcW w:type="dxa" w:w="4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Lat. esq. + O₂ 100%</w:t>
            </w:r>
          </w:p>
        </w:tc>
      </w:tr>
      <w:tr>
        <w:tc>
          <w:tcPr>
            <w:tcW w:type="dxa" w:w="28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Hemólise maciça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Hiperkalemia fatal</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ECG + tto. hiperK</w:t>
            </w:r>
          </w:p>
        </w:tc>
      </w:tr>
      <w:tr>
        <w:tc>
          <w:tcPr>
            <w:tcW w:type="dxa" w:w="28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PCR durante sessão</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RCP inviável com circuito</w:t>
            </w:r>
          </w:p>
        </w:tc>
        <w:tc>
          <w:tcPr>
            <w:tcW w:type="dxa" w:w="40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Retornar sangue → RCP</w:t>
            </w:r>
          </w:p>
        </w:tc>
      </w:tr>
      <w:tr>
        <w:tc>
          <w:tcPr>
            <w:tcW w:type="dxa" w:w="2800"/>
            <w:tcBorders>
              <w:top w:val="single" w:color="BBBBBB" w:sz="4"/>
              <w:left w:val="single" w:color="BBBBBB" w:sz="4"/>
              <w:bottom w:val="single" w:color="BBBBBB" w:sz="4"/>
              <w:right w:val="single" w:color="BBBBBB" w:sz="4"/>
            </w:tcBorders>
            <w:shd w:fill="FFE4E4" w:val="clear"/>
            <w:tcMar>
              <w:top w:type="dxa" w:w="80"/>
              <w:left w:type="dxa" w:w="120"/>
              <w:bottom w:type="dxa" w:w="80"/>
              <w:right w:type="dxa" w:w="120"/>
            </w:tcMar>
          </w:tcPr>
          <w:p>
            <w:r>
              <w:rPr>
                <w:rFonts w:ascii="Arial" w:cs="Arial" w:eastAsia="Arial" w:hAnsi="Arial"/>
                <w:b/>
                <w:bCs/>
                <w:color w:val="B22222"/>
                <w:sz w:val="18"/>
                <w:szCs w:val="18"/>
              </w:rPr>
              <w:t xml:space="preserve">Sangramento com risco de vida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Exsanguinação</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Clampar + hemostasia</w:t>
            </w:r>
          </w:p>
        </w:tc>
      </w:tr>
    </w:tbl>
    <w:p>
      <w:pPr>
        <w:spacing w:after="60" w:before="60"/>
      </w:pPr>
      <w:r>
        <w:t xml:space="preserve"/>
      </w:r>
    </w:p>
    <w:p>
      <w:pPr>
        <w:pStyle w:val="Heading2"/>
        <w:shd w:fill="2C6FAC" w:val="clear"/>
        <w:spacing w:after="120" w:before="160"/>
        <w:ind w:left="200"/>
      </w:pPr>
      <w:r>
        <w:rPr>
          <w:rFonts w:ascii="Arial" w:cs="Arial" w:eastAsia="Arial" w:hAnsi="Arial"/>
          <w:b/>
          <w:bCs/>
          <w:color w:val="FFFFFF"/>
          <w:sz w:val="24"/>
          <w:szCs w:val="24"/>
        </w:rPr>
        <w:t xml:space="preserve">11.2 Interrupção RELATIVA — Clínico-Ponderada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Cenário</w:t>
            </w:r>
          </w:p>
        </w:tc>
        <w:tc>
          <w:tcPr>
            <w:tcW w:type="dxa" w:w="30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Limiar Clínico</w:t>
            </w:r>
          </w:p>
        </w:tc>
        <w:tc>
          <w:tcPr>
            <w:tcW w:type="dxa" w:w="35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Alternativa</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HID refratária</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PAM &lt; 65 após 15–20 min de conduta máxima</w:t>
            </w:r>
          </w:p>
        </w:tc>
        <w:tc>
          <w:tcPr>
            <w:tcW w:type="dxa" w:w="3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Mudar para TCRR ou SLED</w:t>
            </w:r>
          </w:p>
        </w:tc>
      </w:tr>
      <w:tr>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Arritmia maligna sustentada</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TV sustentada / FV</w:t>
            </w:r>
          </w:p>
        </w:tc>
        <w:tc>
          <w:tcPr>
            <w:tcW w:type="dxa" w:w="35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Cardioversão → retomar se estável</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Desequilíbrio neurológico grave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Convulsão / coma durante sessão</w:t>
            </w:r>
          </w:p>
        </w:tc>
        <w:tc>
          <w:tcPr>
            <w:tcW w:type="dxa" w:w="3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TC + suporte neurointensivo</w:t>
            </w:r>
          </w:p>
        </w:tc>
      </w:tr>
      <w:tr>
        <w:tc>
          <w:tcPr>
            <w:tcW w:type="dxa" w:w="2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Sangramento ativo grave</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Perda estimada &gt; 500 mL ou instabilidade</w:t>
            </w:r>
          </w:p>
        </w:tc>
        <w:tc>
          <w:tcPr>
            <w:tcW w:type="dxa" w:w="35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TSR sem anticoag. pós-controle</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Sepse não controlada agudização</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Choque refratário ao reescalonamento</w:t>
            </w:r>
          </w:p>
        </w:tc>
        <w:tc>
          <w:tcPr>
            <w:tcW w:type="dxa" w:w="3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TCRR quando estabilizar mínimo</w:t>
            </w:r>
          </w:p>
        </w:tc>
      </w:tr>
    </w:tbl>
    <w:p>
      <w:pPr>
        <w:spacing w:after="60" w:before="60"/>
      </w:pPr>
      <w:r>
        <w:t xml:space="preserve"/>
      </w:r>
    </w:p>
    <w:p>
      <w:pPr>
        <w:pBdr>
          <w:left w:val="thick" w:color="2C6FAC" w:sz="14"/>
        </w:pBdr>
        <w:shd w:fill="D6E8F7" w:val="clear"/>
        <w:spacing w:after="80" w:before="80"/>
        <w:ind w:left="300" w:right="300"/>
      </w:pPr>
      <w:r>
        <w:rPr>
          <w:rFonts w:ascii="Arial" w:cs="Arial" w:eastAsia="Arial" w:hAnsi="Arial"/>
          <w:b/>
          <w:bCs/>
          <w:color w:val="1A3A5C"/>
          <w:sz w:val="20"/>
          <w:szCs w:val="20"/>
        </w:rPr>
        <w:t xml:space="preserve">ℹ️  ℹ️ Interromper a SESSÃO não significa abandonar a TSR. A conduta correta é replanejar: modalidade, anticoagulação, taxa de UF, timing. TCRR é a escolha nos pacientes que não toleram IHD.</w:t>
      </w:r>
    </w:p>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12. AJUSTE DE PARÂMETROS DA DIÁLISE SEGUNDO COMPLICAÇÃO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600"/>
        <w:gridCol w:w="1500"/>
        <w:gridCol w:w="1426"/>
      </w:tblGrid>
      <w:tr>
        <w:trPr>
          <w:tblHeader/>
        </w:trPr>
        <w:tc>
          <w:tcPr>
            <w:tcW w:type="dxa" w:w="19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Complicação</w:t>
            </w:r>
          </w:p>
        </w:tc>
        <w:tc>
          <w:tcPr>
            <w:tcW w:type="dxa" w:w="12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Qb</w:t>
            </w:r>
          </w:p>
        </w:tc>
        <w:tc>
          <w:tcPr>
            <w:tcW w:type="dxa" w:w="14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Taxa UF</w:t>
            </w:r>
          </w:p>
        </w:tc>
        <w:tc>
          <w:tcPr>
            <w:tcW w:type="dxa" w:w="16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Temperatura</w:t>
            </w:r>
          </w:p>
        </w:tc>
        <w:tc>
          <w:tcPr>
            <w:tcW w:type="dxa" w:w="1500"/>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Dialisato K⁺</w:t>
            </w:r>
          </w:p>
        </w:tc>
        <w:tc>
          <w:tcPr>
            <w:tcW w:type="dxa" w:w="1426"/>
            <w:tcBorders>
              <w:top w:val="single" w:color="2C6FAC" w:sz="4"/>
              <w:left w:val="single" w:color="2C6FAC" w:sz="4"/>
              <w:bottom w:val="single" w:color="2C6FAC" w:sz="4"/>
              <w:right w:val="single" w:color="2C6FAC" w:sz="4"/>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Modalidade</w:t>
            </w:r>
          </w:p>
        </w:tc>
      </w:tr>
      <w:tr>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HID recorrente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 150–200</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Zerar / &lt; 8 mL/kg/h</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 35°C</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 3–4</w:t>
            </w:r>
          </w:p>
        </w:tc>
        <w:tc>
          <w:tcPr>
            <w:tcW w:type="dxa" w:w="1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 TCRR/SLED</w:t>
            </w:r>
          </w:p>
        </w:tc>
      </w:tr>
      <w:tr>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Sínd. desequilíbrio</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 150–180</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Mínima</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Padrão</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Sessões curtas</w:t>
            </w:r>
          </w:p>
        </w:tc>
      </w:tr>
      <w:tr>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Arritmia (hipoK)</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Padrão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 3–4 mEq/L</w:t>
            </w:r>
          </w:p>
        </w:tc>
        <w:tc>
          <w:tcPr>
            <w:tcW w:type="dxa" w:w="1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 IHD</w:t>
            </w:r>
          </w:p>
        </w:tc>
      </w:tr>
      <w:tr>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Hipotermia (TCRR)</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 38°C</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Aquecer fluidos</w:t>
            </w:r>
          </w:p>
        </w:tc>
      </w:tr>
      <w:tr>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Hipofosfatemia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Padrão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Adicionar PO₄ rep.</w:t>
            </w:r>
          </w:p>
        </w:tc>
      </w:tr>
      <w:tr>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Hipoglicemia</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Padrão</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Manter</w:t>
            </w:r>
          </w:p>
        </w:tc>
        <w:tc>
          <w:tcPr>
            <w:tcW w:type="dxa" w:w="14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b w:val="false"/>
                <w:bCs w:val="false"/>
                <w:color w:val="1C1C1C"/>
                <w:sz w:val="18"/>
                <w:szCs w:val="18"/>
              </w:rPr>
              <w:t xml:space="preserve">Dialisato c/ glicose</w:t>
            </w:r>
          </w:p>
        </w:tc>
      </w:tr>
    </w:tbl>
    <w:p>
      <w:pPr>
        <w:spacing w:after="60" w:before="60"/>
      </w:pPr>
      <w:r>
        <w:t xml:space="preserve"/>
      </w:r>
    </w:p>
    <w:p>
      <w:pPr>
        <w:pStyle w:val="Heading1"/>
        <w:shd w:fill="1A3A5C" w:val="clear"/>
        <w:spacing w:after="160" w:before="200"/>
        <w:ind w:left="240"/>
      </w:pPr>
      <w:r>
        <w:rPr>
          <w:rFonts w:ascii="Arial" w:cs="Arial" w:eastAsia="Arial" w:hAnsi="Arial"/>
          <w:b/>
          <w:bCs/>
          <w:color w:val="FFFFFF"/>
          <w:sz w:val="28"/>
          <w:szCs w:val="28"/>
        </w:rPr>
        <w:t xml:space="preserve">13. REFERÊNCIAS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C1C1C"/>
          <w:sz w:val="20"/>
          <w:szCs w:val="20"/>
        </w:rPr>
        <w:t xml:space="preserve">KDIGO Clinical Practice Guideline for Acute Kidney Injury. Kidney Int Suppl. 2012;2(1).</w:t>
      </w:r>
    </w:p>
    <w:p>
      <w:pPr>
        <w:pStyle w:val="ListParagraph"/>
        <w:numPr>
          <w:ilvl w:val="0"/>
          <w:numId w:val="2"/>
        </w:numPr>
        <w:spacing w:after="40" w:before="40"/>
      </w:pPr>
      <w:r>
        <w:rPr>
          <w:rFonts w:ascii="Arial" w:cs="Arial" w:eastAsia="Arial" w:hAnsi="Arial"/>
          <w:b w:val="false"/>
          <w:bCs w:val="false"/>
          <w:color w:val="1C1C1C"/>
          <w:sz w:val="20"/>
          <w:szCs w:val="20"/>
        </w:rPr>
        <w:t xml:space="preserve">Kellum JA et al. KDIGO AKI Guideline 2024 Update — Kidney International.</w:t>
      </w:r>
    </w:p>
    <w:p>
      <w:pPr>
        <w:pStyle w:val="ListParagraph"/>
        <w:numPr>
          <w:ilvl w:val="0"/>
          <w:numId w:val="2"/>
        </w:numPr>
        <w:spacing w:after="40" w:before="40"/>
      </w:pPr>
      <w:r>
        <w:rPr>
          <w:rFonts w:ascii="Arial" w:cs="Arial" w:eastAsia="Arial" w:hAnsi="Arial"/>
          <w:b w:val="false"/>
          <w:bCs w:val="false"/>
          <w:color w:val="1C1C1C"/>
          <w:sz w:val="20"/>
          <w:szCs w:val="20"/>
        </w:rPr>
        <w:t xml:space="preserve">Palevsky PM et al. Intensity of Renal Support in Critically Ill Patients with AKI. NEJM 2008;359:7–20. (ATN Study)</w:t>
      </w:r>
    </w:p>
    <w:p>
      <w:pPr>
        <w:pStyle w:val="ListParagraph"/>
        <w:numPr>
          <w:ilvl w:val="0"/>
          <w:numId w:val="2"/>
        </w:numPr>
        <w:spacing w:after="40" w:before="40"/>
      </w:pPr>
      <w:r>
        <w:rPr>
          <w:rFonts w:ascii="Arial" w:cs="Arial" w:eastAsia="Arial" w:hAnsi="Arial"/>
          <w:b w:val="false"/>
          <w:bCs w:val="false"/>
          <w:color w:val="1C1C1C"/>
          <w:sz w:val="20"/>
          <w:szCs w:val="20"/>
        </w:rPr>
        <w:t xml:space="preserve">Bellomo R et al. Intensity of Continuous Renal-Replacement Therapy. NEJM 2009;361:1627–38. (RENAL)</w:t>
      </w:r>
    </w:p>
    <w:p>
      <w:pPr>
        <w:pStyle w:val="ListParagraph"/>
        <w:numPr>
          <w:ilvl w:val="0"/>
          <w:numId w:val="2"/>
        </w:numPr>
        <w:spacing w:after="40" w:before="40"/>
      </w:pPr>
      <w:r>
        <w:rPr>
          <w:rFonts w:ascii="Arial" w:cs="Arial" w:eastAsia="Arial" w:hAnsi="Arial"/>
          <w:b w:val="false"/>
          <w:bCs w:val="false"/>
          <w:color w:val="1C1C1C"/>
          <w:sz w:val="20"/>
          <w:szCs w:val="20"/>
        </w:rPr>
        <w:t xml:space="preserve">Gaudry S et al. Initiation Strategies for Renal-Replacement Therapy in ICU. NEJM 2016;375:122–33. (AKIKI)</w:t>
      </w:r>
    </w:p>
    <w:p>
      <w:pPr>
        <w:pStyle w:val="ListParagraph"/>
        <w:numPr>
          <w:ilvl w:val="0"/>
          <w:numId w:val="2"/>
        </w:numPr>
        <w:spacing w:after="40" w:before="40"/>
      </w:pPr>
      <w:r>
        <w:rPr>
          <w:rFonts w:ascii="Arial" w:cs="Arial" w:eastAsia="Arial" w:hAnsi="Arial"/>
          <w:b w:val="false"/>
          <w:bCs w:val="false"/>
          <w:color w:val="1C1C1C"/>
          <w:sz w:val="20"/>
          <w:szCs w:val="20"/>
        </w:rPr>
        <w:t xml:space="preserve">Barbar SD et al. Timing of Renal-Replacement Therapy in Patients with AKI. NEJM 2018;379:1431–42. (IDEAL-ICU)</w:t>
      </w:r>
    </w:p>
    <w:p>
      <w:pPr>
        <w:pStyle w:val="ListParagraph"/>
        <w:numPr>
          <w:ilvl w:val="0"/>
          <w:numId w:val="2"/>
        </w:numPr>
        <w:spacing w:after="40" w:before="40"/>
      </w:pPr>
      <w:r>
        <w:rPr>
          <w:rFonts w:ascii="Arial" w:cs="Arial" w:eastAsia="Arial" w:hAnsi="Arial"/>
          <w:b w:val="false"/>
          <w:bCs w:val="false"/>
          <w:color w:val="1C1C1C"/>
          <w:sz w:val="20"/>
          <w:szCs w:val="20"/>
        </w:rPr>
        <w:t xml:space="preserve">Rhodes A et al. Surviving Sepsis Campaign: International Guidelines for Management of Sepsis. Crit Care Med 2021.</w:t>
      </w:r>
    </w:p>
    <w:p>
      <w:pPr>
        <w:pStyle w:val="ListParagraph"/>
        <w:numPr>
          <w:ilvl w:val="0"/>
          <w:numId w:val="2"/>
        </w:numPr>
        <w:spacing w:after="40" w:before="40"/>
      </w:pPr>
      <w:r>
        <w:rPr>
          <w:rFonts w:ascii="Arial" w:cs="Arial" w:eastAsia="Arial" w:hAnsi="Arial"/>
          <w:b w:val="false"/>
          <w:bCs w:val="false"/>
          <w:color w:val="1C1C1C"/>
          <w:sz w:val="20"/>
          <w:szCs w:val="20"/>
        </w:rPr>
        <w:t xml:space="preserve">NKF-KDOQI Clinical Practice Guideline for Hemodialysis Adequacy. Am J Kidney Dis 2015.</w:t>
      </w:r>
    </w:p>
    <w:p>
      <w:pPr>
        <w:pStyle w:val="ListParagraph"/>
        <w:numPr>
          <w:ilvl w:val="0"/>
          <w:numId w:val="2"/>
        </w:numPr>
        <w:spacing w:after="40" w:before="40"/>
      </w:pPr>
      <w:r>
        <w:rPr>
          <w:rFonts w:ascii="Arial" w:cs="Arial" w:eastAsia="Arial" w:hAnsi="Arial"/>
          <w:b w:val="false"/>
          <w:bCs w:val="false"/>
          <w:color w:val="1C1C1C"/>
          <w:sz w:val="20"/>
          <w:szCs w:val="20"/>
        </w:rPr>
        <w:t xml:space="preserve">Cerda J, Ronco C. Modalities of Continuous Renal Replacement Therapy. Semin Dial 2009.</w:t>
      </w:r>
    </w:p>
    <w:p>
      <w:pPr>
        <w:pStyle w:val="ListParagraph"/>
        <w:numPr>
          <w:ilvl w:val="0"/>
          <w:numId w:val="2"/>
        </w:numPr>
        <w:spacing w:after="40" w:before="40"/>
      </w:pPr>
      <w:r>
        <w:rPr>
          <w:rFonts w:ascii="Arial" w:cs="Arial" w:eastAsia="Arial" w:hAnsi="Arial"/>
          <w:b w:val="false"/>
          <w:bCs w:val="false"/>
          <w:color w:val="1C1C1C"/>
          <w:sz w:val="20"/>
          <w:szCs w:val="20"/>
        </w:rPr>
        <w:t xml:space="preserve">Koyner JL et al. Furosemide Stress Test and Biomarkers for the Prediction of AKI Severity. J Am Soc Nephrol 2015.</w:t>
      </w:r>
    </w:p>
    <w:p>
      <w:pPr>
        <w:spacing w:after="60" w:before="60"/>
      </w:pPr>
      <w:r>
        <w:t xml:space="preserve"/>
      </w:r>
    </w:p>
    <w:p>
      <w:pPr>
        <w:shd w:fill="DCDCDC" w:val="clear"/>
        <w:spacing w:after="140" w:before="140"/>
        <w:ind w:left="300" w:right="300"/>
        <w:jc w:val="center"/>
      </w:pPr>
      <w:r>
        <w:rPr>
          <w:rFonts w:ascii="Arial" w:cs="Arial" w:eastAsia="Arial" w:hAnsi="Arial"/>
          <w:color w:val="555555"/>
          <w:sz w:val="16"/>
          <w:szCs w:val="16"/>
        </w:rPr>
        <w:t xml:space="preserve">Documento de uso clínico-educacional. Decisões terapêuticas devem ser individualizadas conforme contexto clínico e julgamento do médico assistente. Atualização: 2025.</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C" w:sz="4"/>
      </w:pBdr>
      <w:spacing w:before="80"/>
    </w:pPr>
    <w:r>
      <w:rPr>
        <w:rFonts w:ascii="Arial" w:cs="Arial" w:eastAsia="Arial" w:hAnsi="Arial"/>
        <w:color w:val="888888"/>
        <w:sz w:val="16"/>
        <w:szCs w:val="16"/>
      </w:rPr>
      <w:t xml:space="preserve">Medicina Intensiva  •  Terapia de Substituição Renal  •  Paciente Agudo / LRA em UTI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6"/>
      </w:pBdr>
      <w:spacing w:after="80"/>
      <w:jc w:val="right"/>
    </w:pPr>
    <w:r>
      <w:rPr>
        <w:rFonts w:ascii="Arial" w:cs="Arial" w:eastAsia="Arial" w:hAnsi="Arial"/>
        <w:b/>
        <w:bCs/>
        <w:color w:val="2C6FAC"/>
        <w:sz w:val="16"/>
        <w:szCs w:val="16"/>
      </w:rPr>
      <w:t xml:space="preserve">COMPLICAÇÕES INTRADIALÍTICAS NO PACIENTE CRÍTICO — UTI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60" w:before="200"/>
      <w:outlineLvl w:val="1"/>
    </w:pPr>
    <w:rPr>
      <w:rFonts w:ascii="Arial" w:cs="Arial" w:eastAsia="Arial" w:hAnsi="Arial"/>
      <w:b/>
      <w:bCs/>
      <w:color w:val="FFFFFF"/>
      <w:sz w:val="24"/>
      <w:szCs w:val="24"/>
    </w:rPr>
  </w:style>
  <w:style w:type="paragraph" w:styleId="Heading3">
    <w:name w:val="Heading 3"/>
    <w:basedOn w:val="Normal"/>
    <w:next w:val="Normal"/>
    <w:qFormat/>
    <w:pPr>
      <w:spacing w:after="120" w:before="16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2026-05-26T04:14:40.018Z</dcterms:created>
  <dcterms:modified xsi:type="dcterms:W3CDTF">2026-05-26T04:14:40.033Z</dcterms:modified>
</cp:coreProperties>
</file>

<file path=docProps/custom.xml><?xml version="1.0" encoding="utf-8"?>
<Properties xmlns="http://schemas.openxmlformats.org/officeDocument/2006/custom-properties" xmlns:vt="http://schemas.openxmlformats.org/officeDocument/2006/docPropsVTypes"/>
</file>