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60"/>
        <w:jc w:val="center"/>
      </w:pPr>
      <w:r>
        <w:rPr>
          <w:rFonts w:ascii="Arial" w:cs="Arial" w:eastAsia="Arial" w:hAnsi="Arial"/>
          <w:b/>
          <w:bCs/>
          <w:color w:val="2C6FAC"/>
          <w:sz w:val="22"/>
          <w:szCs w:val="22"/>
        </w:rPr>
        <w:t xml:space="preserve">MEDICINA INTENSIVA  |  UTI</w:t>
      </w:r>
    </w:p>
    <w:p>
      <w:pPr>
        <w:spacing w:after="80" w:before="80"/>
      </w:pPr>
      <w:r>
        <w:t xml:space="preserve"/>
      </w:r>
    </w:p>
    <w:p>
      <w:pPr>
        <w:shd w:fill="1A3A5C" w:val="clear"/>
        <w:spacing w:after="160" w:before="160"/>
        <w:jc w:val="center"/>
      </w:pPr>
      <w:r>
        <w:rPr>
          <w:rFonts w:ascii="Arial" w:cs="Arial" w:eastAsia="Arial" w:hAnsi="Arial"/>
          <w:b/>
          <w:bCs/>
          <w:color w:val="FFFFFF"/>
          <w:sz w:val="52"/>
          <w:szCs w:val="52"/>
        </w:rPr>
        <w:t xml:space="preserve">COMPLICAÇÕES INTRADIALÍTICAS</w:t>
      </w:r>
    </w:p>
    <w:p>
      <w:pPr>
        <w:spacing w:after="60" w:before="60"/>
        <w:jc w:val="center"/>
      </w:pPr>
      <w:r>
        <w:rPr>
          <w:rFonts w:ascii="Arial" w:cs="Arial" w:eastAsia="Arial" w:hAnsi="Arial"/>
          <w:b/>
          <w:bCs/>
          <w:color w:val="1A3A5C"/>
          <w:sz w:val="28"/>
          <w:szCs w:val="28"/>
        </w:rPr>
        <w:t xml:space="preserve">NO PACIENTE CRÍTICO COM LRA EM UTI</w:t>
      </w:r>
    </w:p>
    <w:p>
      <w:pPr>
        <w:spacing w:after="80" w:before="80"/>
      </w:pPr>
      <w:r>
        <w:t xml:space="preserve"/>
      </w:r>
    </w:p>
    <w:p>
      <w:pPr>
        <w:spacing w:after="40" w:before="40"/>
        <w:jc w:val="center"/>
      </w:pPr>
      <w:r>
        <w:rPr>
          <w:rFonts w:ascii="Arial" w:cs="Arial" w:eastAsia="Arial" w:hAnsi="Arial"/>
          <w:color w:val="555555"/>
          <w:sz w:val="20"/>
          <w:szCs w:val="20"/>
        </w:rPr>
        <w:t xml:space="preserve">Manejo Clínico  ·  Ajuste da TSR  ·  Critérios de Interrupção</w:t>
      </w:r>
    </w:p>
    <w:p>
      <w:pPr>
        <w:spacing w:after="80" w:before="80"/>
      </w:pPr>
      <w:r>
        <w:t xml:space="preserve"/>
      </w:r>
    </w:p>
    <w:p>
      <w:pPr>
        <w:spacing w:after="40" w:before="40"/>
        <w:jc w:val="center"/>
      </w:pPr>
      <w:r>
        <w:rPr>
          <w:rFonts w:ascii="Arial" w:cs="Arial" w:eastAsia="Arial" w:hAnsi="Arial"/>
          <w:color w:val="888888"/>
          <w:sz w:val="18"/>
          <w:szCs w:val="18"/>
        </w:rPr>
        <w:t xml:space="preserve">Referências: KDIGO 2012/2024  ·  SCCM  ·  AMIB  ·  Surviving Sepsis Campaign 2021  ·  NKF-KDOQI 2015</w:t>
      </w:r>
    </w:p>
    <w:p>
      <w:pPr>
        <w:spacing w:after="300" w:before="40"/>
        <w:jc w:val="center"/>
      </w:pPr>
      <w:r>
        <w:rPr>
          <w:rFonts w:ascii="Arial" w:cs="Arial" w:eastAsia="Arial" w:hAnsi="Arial"/>
          <w:color w:val="888888"/>
          <w:sz w:val="18"/>
          <w:szCs w:val="18"/>
        </w:rPr>
        <w:t xml:space="preserve">Atualização: 2025</w:t>
      </w:r>
    </w:p>
    <w:p>
      <w:r>
        <w:br w:type="page"/>
      </w:r>
    </w:p>
    <w:p>
      <w:pPr>
        <w:pStyle w:val="Heading1"/>
        <w:shd w:fill="1A3A5C" w:val="clear"/>
        <w:spacing w:after="140" w:before="220"/>
        <w:ind w:left="220"/>
      </w:pPr>
      <w:r>
        <w:rPr>
          <w:rFonts w:ascii="Arial" w:cs="Arial" w:eastAsia="Arial" w:hAnsi="Arial"/>
          <w:b/>
          <w:bCs/>
          <w:color w:val="FFFFFF"/>
          <w:sz w:val="28"/>
          <w:szCs w:val="28"/>
        </w:rPr>
        <w:t xml:space="preserve">SUMÁRIO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w:t>
            </w:r>
          </w:p>
        </w:tc>
        <w:tc>
          <w:tcPr>
            <w:tcW w:type="dxa" w:w="3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Seção</w:t>
            </w:r>
          </w:p>
        </w:tc>
        <w:tc>
          <w:tcPr>
            <w:tcW w:type="dxa" w:w="5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Conteúdo Principal</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Contexto Clínico: LRA e TSR na UTI</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Epidemiologia, indicações, modalidades</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Hipotensão Intradialítica (HID)</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Fisiopatologia, algoritmo, prevenção, mudança de modalidade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Síndrome de Desequilíbrio Dialítico (SDD)</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Fisiopatologia, graus de gravidade, manejo</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4</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Arritmias Cardíacas Intradialíticas</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Causas eletrolíticas, monitorização, conduta</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Sangramento e Anticoagulação</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HNF, citrato, HIT, situações especiais</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6</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Reação ao Dialisador</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Tipo A (anafilática) vs Tipo B (inespecífica)</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7</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Embolia Gasosa</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Reconhecimento e sequência de conduta emergencial</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8</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Hemólise Intradialítica</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Causas, hiperkalemia de rebote, manejo</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9</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Outras Complicações no Paciente Agudo</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Câimbras, hipoglicemia, hipotermia, perda de nutrientes</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10</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Tabela-Resumo: Todas as Complicações</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Frequência, sinal de alerta, conduta, interrupção</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11</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Critérios de Interrupção da Sessão</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Absolutos e relativos — algoritmo decisório</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12</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Ajuste de Parâmetros da Diálise por Complicação</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Qb, UF, temperatura, K⁺ dialisato, modalidade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13</w:t>
            </w:r>
          </w:p>
        </w:tc>
        <w:tc>
          <w:tcPr>
            <w:tcW w:type="dxa" w:w="3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Prescrição Prática de TSR na UTI</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IHD e TCRR: parâmetros completos</w:t>
            </w:r>
          </w:p>
        </w:tc>
      </w:tr>
      <w:tr>
        <w:tc>
          <w:tcPr>
            <w:tcW w:type="dxa" w:w="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14</w:t>
            </w:r>
          </w:p>
        </w:tc>
        <w:tc>
          <w:tcPr>
            <w:tcW w:type="dxa" w:w="3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Referências</w:t>
            </w:r>
          </w:p>
        </w:tc>
        <w:tc>
          <w:tcPr>
            <w:tcW w:type="dxa" w:w="5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Estudos clínicos de alto impacto</w:t>
            </w:r>
          </w:p>
        </w:tc>
      </w:tr>
    </w:tbl>
    <w:p>
      <w:pPr>
        <w:spacing w:after="80" w:before="80"/>
      </w:pPr>
      <w:r>
        <w:t xml:space="preserve"/>
      </w:r>
    </w:p>
    <w:p>
      <w:r>
        <w:br w:type="page"/>
      </w:r>
    </w:p>
    <w:p>
      <w:pPr>
        <w:pStyle w:val="Heading1"/>
        <w:shd w:fill="1A3A5C" w:val="clear"/>
        <w:spacing w:after="140" w:before="220"/>
        <w:ind w:left="220"/>
      </w:pPr>
      <w:r>
        <w:rPr>
          <w:rFonts w:ascii="Arial" w:cs="Arial" w:eastAsia="Arial" w:hAnsi="Arial"/>
          <w:b/>
          <w:bCs/>
          <w:color w:val="FFFFFF"/>
          <w:sz w:val="28"/>
          <w:szCs w:val="28"/>
        </w:rPr>
        <w:t xml:space="preserve">1. CONTEXTO CLÍNICO: LRA E TSR NA UTI</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Lesão Renal Aguda (LRA) acomete 30–60% dos pacientes internados em Unidade de Terapia Intensiva (UTI) e constitui uma das principais causas de morbimortalidade no paciente crítico. Dentre esses, 5–10% necessitam de Terapia de Substituição Renal (TSR). A LRA associada à TSR carrega mortalidade de 40–70%, variando conforme a etiologia e o contexto clínico subjacente.</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As complicações intradialíticas no paciente agudo diferem substancialmente daquelas observadas no paciente crônico. A instabilidade hemodinâmica de base, a síndrome inflamatória sistêmica, o uso de vasopressores, a coagulopatia e as alterações metabólicas agudas tornam o manejo da TSR no ambiente de UTI um desafio clínico de elevada complexidade, exigindo monitorização contínua, prescrição individualizada e prontidão para intervir a qualquer momento.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Variável Epidemiológica</w:t>
            </w:r>
          </w:p>
        </w:tc>
        <w:tc>
          <w:tcPr>
            <w:tcW w:type="dxa" w:w="48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Dado / Referência</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Incidência de LRA em UTI</w:t>
            </w:r>
          </w:p>
        </w:tc>
        <w:tc>
          <w:tcPr>
            <w:tcW w:type="dxa" w:w="4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30–60% dos pacientes admitidos (KDIGO 2012)</w:t>
            </w:r>
          </w:p>
        </w:tc>
      </w:tr>
      <w:tr>
        <w:tc>
          <w:tcPr>
            <w:tcW w:type="dxa" w:w="4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Necessidade de TSR na LRA grave (KDIGO 3)</w:t>
            </w:r>
          </w:p>
        </w:tc>
        <w:tc>
          <w:tcPr>
            <w:tcW w:type="dxa" w:w="4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5–10% (até 25% em choque séptico)</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Mortalidade hospitalar LRA + TSR</w:t>
            </w:r>
          </w:p>
        </w:tc>
        <w:tc>
          <w:tcPr>
            <w:tcW w:type="dxa" w:w="4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40–70% (variável por etiologia e contexto)</w:t>
            </w:r>
          </w:p>
        </w:tc>
      </w:tr>
      <w:tr>
        <w:tc>
          <w:tcPr>
            <w:tcW w:type="dxa" w:w="4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Complicações intradialíticas em UTI</w:t>
            </w:r>
          </w:p>
        </w:tc>
        <w:tc>
          <w:tcPr>
            <w:tcW w:type="dxa" w:w="4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30–40% das sessões de IHD no criticamente enfermo</w:t>
            </w:r>
          </w:p>
        </w:tc>
      </w:tr>
      <w:tr>
        <w:tc>
          <w:tcPr>
            <w:tcW w:type="dxa" w:w="4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Recuperação renal após TSR na LRA</w:t>
            </w:r>
          </w:p>
        </w:tc>
        <w:tc>
          <w:tcPr>
            <w:tcW w:type="dxa" w:w="4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50–70% dos sobreviventes (depende de DRC prévia)</w:t>
            </w:r>
          </w:p>
        </w:tc>
      </w:tr>
      <w:tr>
        <w:tc>
          <w:tcPr>
            <w:tcW w:type="dxa" w:w="4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Tempo médio de TSR em LRA sobreviventes</w:t>
            </w:r>
          </w:p>
        </w:tc>
        <w:tc>
          <w:tcPr>
            <w:tcW w:type="dxa" w:w="4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7–21 dias (mediana ~14 dias)</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1.1 Modalidades de TSR — Visão Comparativa</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400"/>
        <w:gridCol w:w="2560"/>
        <w:gridCol w:w="2100"/>
      </w:tblGrid>
      <w:tr>
        <w:trPr>
          <w:tblHeader/>
        </w:trPr>
        <w:tc>
          <w:tcPr>
            <w:tcW w:type="dxa" w:w="2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Modalidade</w:t>
            </w:r>
          </w:p>
        </w:tc>
        <w:tc>
          <w:tcPr>
            <w:tcW w:type="dxa" w:w="11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Duração</w:t>
            </w:r>
          </w:p>
        </w:tc>
        <w:tc>
          <w:tcPr>
            <w:tcW w:type="dxa" w:w="1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Fluxo Sangue</w:t>
            </w:r>
          </w:p>
        </w:tc>
        <w:tc>
          <w:tcPr>
            <w:tcW w:type="dxa" w:w="25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Indicação Principal UTI</w:t>
            </w:r>
          </w:p>
        </w:tc>
        <w:tc>
          <w:tcPr>
            <w:tcW w:type="dxa" w:w="21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Vantagem Central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IHD (Hemodiálise Intermitente)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3–4h/sessão</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250–350 mL/min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Hemodinâmica estável; intoxicações</w:t>
            </w:r>
          </w:p>
        </w:tc>
        <w:tc>
          <w:tcPr>
            <w:tcW w:type="dxa" w:w="2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Clearance rápido; disponibilidade</w:t>
            </w:r>
          </w:p>
        </w:tc>
      </w:tr>
      <w:tr>
        <w:tc>
          <w:tcPr>
            <w:tcW w:type="dxa" w:w="2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 CRRT (Contínua)</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24h/dia</w:t>
            </w:r>
          </w:p>
        </w:tc>
        <w:tc>
          <w:tcPr>
            <w:tcW w:type="dxa" w:w="1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150–250 mL/min</w:t>
            </w:r>
          </w:p>
        </w:tc>
        <w:tc>
          <w:tcPr>
            <w:tcW w:type="dxa" w:w="2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Choque; instabilidade hemodinâmica</w:t>
            </w:r>
          </w:p>
        </w:tc>
        <w:tc>
          <w:tcPr>
            <w:tcW w:type="dxa" w:w="2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Estabilidade HD; remoção gradual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SLED / EDD (Híbrida)</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8–12h</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150–200 mL/min</w:t>
            </w:r>
          </w:p>
        </w:tc>
        <w:tc>
          <w:tcPr>
            <w:tcW w:type="dxa" w:w="2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Instabilidade moderada</w:t>
            </w:r>
          </w:p>
        </w:tc>
        <w:tc>
          <w:tcPr>
            <w:tcW w:type="dxa" w:w="2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Custo menor q TCRR; melhor q IHD</w:t>
            </w:r>
          </w:p>
        </w:tc>
      </w:tr>
      <w:tr>
        <w:tc>
          <w:tcPr>
            <w:tcW w:type="dxa" w:w="2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CVVHDF (Hemodiafiltração Contínua)</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24h/dia</w:t>
            </w:r>
          </w:p>
        </w:tc>
        <w:tc>
          <w:tcPr>
            <w:tcW w:type="dxa" w:w="1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150–250 mL/min</w:t>
            </w:r>
          </w:p>
        </w:tc>
        <w:tc>
          <w:tcPr>
            <w:tcW w:type="dxa" w:w="2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Sepse; médias moléculas; IH aguda</w:t>
            </w:r>
          </w:p>
        </w:tc>
        <w:tc>
          <w:tcPr>
            <w:tcW w:type="dxa" w:w="2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Remove mediadores; controla PIC</w:t>
            </w:r>
          </w:p>
        </w:tc>
      </w:tr>
    </w:tbl>
    <w:p>
      <w:pPr>
        <w:spacing w:after="80" w:before="80"/>
      </w:pPr>
      <w:r>
        <w:t xml:space="preserve"/>
      </w:r>
    </w:p>
    <w:p>
      <w:pPr>
        <w:pBdr>
          <w:left w:val="thick" w:color="C17F00" w:sz="16"/>
        </w:pBdr>
        <w:shd w:fill="FFF8E1" w:val="clear"/>
        <w:spacing w:after="100" w:before="100"/>
        <w:ind w:left="360" w:right="360"/>
      </w:pPr>
      <w:r>
        <w:rPr>
          <w:b/>
          <w:bCs/>
          <w:color w:val="7B5600"/>
          <w:sz w:val="20"/>
          <w:szCs w:val="20"/>
        </w:rPr>
        <w:t xml:space="preserve">⚠️ </w:t>
      </w:r>
      <w:r>
        <w:rPr>
          <w:rFonts w:ascii="Arial" w:cs="Arial" w:eastAsia="Arial" w:hAnsi="Arial"/>
          <w:b/>
          <w:bCs/>
          <w:color w:val="7B5600"/>
          <w:sz w:val="20"/>
          <w:szCs w:val="20"/>
        </w:rPr>
        <w:t xml:space="preserve">TEMI: TCRR NÃO demonstrou superioridade em mortalidade vs IHD em metanálises (KDIGO 2012, ATN 2008, RENAL 2009). A escolha da modalidade é guiada pela HEMODINÂMICA, não pela modalidade per se.</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2. HIPOTENSÃO INTRADIALÍTICA (HID)</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2.1 Definição e Epidemiologia</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hipotensão intradialítica é a complicação mais frequente da TSR em UTI. É definida pela NKF-KDOQI como redução da pressão arterial sistólica (PAS) ≥ 20 mmHg ou da pressão arterial média (PAM) ≥ 10 mmHg, associada a sintomas ou necessidade de intervenção clínica. No paciente crítico, ocorre em 20–30% das sessões de IHD e é ainda mais frequente naqueles com choque em resolução ou em uso de vasopressores em desmame.</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2.2 Fisiopatologia no Paciente Agudo — Mecanismos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Mecanismo</w:t>
            </w:r>
          </w:p>
        </w:tc>
        <w:tc>
          <w:tcPr>
            <w:tcW w:type="dxa" w:w="67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Fisiopatologia Detalhada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Ultrafiltração excessiva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Remoção de volume &gt; velocidade de reenchimento vascular (plasma refilling rate &lt; 8 mL/min em hipoalbuminêmico)</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Disfunção miocárdica aguda</w:t>
            </w:r>
          </w:p>
        </w:tc>
        <w:tc>
          <w:tcPr>
            <w:tcW w:type="dxa" w:w="6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Sepse, miocardite, pós-parada cardíaca — reduz reserva contrátil para compensar queda de pré-carga durante UF</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Vasoplegia séptica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Tônus vasomotor comprometido pela sepse; impossibilidade de vasoconstricção compensatória reflexa</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Hipoalbuminemia grave</w:t>
            </w:r>
          </w:p>
        </w:tc>
        <w:tc>
          <w:tcPr>
            <w:tcW w:type="dxa" w:w="6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Albumina &lt; 2,5 g/dL reduz pressão oncótica → lentifica refilling intravascular → hipovolemia relativa progressiva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Temperatura do dialisato elevada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Dialisato &gt; 37°C transfere calor ao paciente → vasodilatação cutânea → queda da resistência vascular periférica</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Hipocalcemia / Hipomagnesemia</w:t>
            </w:r>
          </w:p>
        </w:tc>
        <w:tc>
          <w:tcPr>
            <w:tcW w:type="dxa" w:w="6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Redução da contratilidade miocárdica por deficit de Ca²⁺ ionizado; piora com citrato se reposição inadequada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Anti-hipertensivos pré-HD</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IECA, BRA, betabloqueadores e vasodilatadores tomados horas antes potencializam hipotensão intradialítica</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Arritmias intercorrentes</w:t>
            </w:r>
          </w:p>
        </w:tc>
        <w:tc>
          <w:tcPr>
            <w:tcW w:type="dxa" w:w="6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 com resposta ventricular rápida, ESV frequentes ou BAV reduzem débito cardíaco durante a sessão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Anemia grave (Hb &lt; 7 g/dL)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 capacidade de transporte de O₂; débito cardíaco dependente de FC — limitado no coração disfuncionante</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2.3 Reconhecimento Clínico — Sinais e Sintomas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Situação Clínica</w:t>
            </w:r>
          </w:p>
        </w:tc>
        <w:tc>
          <w:tcPr>
            <w:tcW w:type="dxa" w:w="6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Sinais / Sintomas a Valorizar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Paciente acordado e comunicativo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Tontura, sudorese fria, palidez, náuseas, bocejos frequentes, visão turva, câimbras — precedem a queda pressórica</w:t>
            </w:r>
          </w:p>
        </w:tc>
      </w:tr>
      <w:tr>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Paciente sedado / intubado</w:t>
            </w:r>
          </w:p>
        </w:tc>
        <w:tc>
          <w:tcPr>
            <w:tcW w:type="dxa" w:w="6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Taquicardia reflexa, queda súbita da SpO₂, aumento da dose de vasopressor, piora do lactato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Definição objetiva (monitorização)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PAM &lt; 65 mmHg em 2 medições consecutivas ou PAS &lt; 90 mmHg com instabilidade clínica</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2.4 Algoritmo de Manejo — 9 Passos Sequenciais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rPr>
          <w:tblHeader/>
        </w:trPr>
        <w:tc>
          <w:tcPr>
            <w:tcW w:type="dxa" w:w="5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Passo</w:t>
            </w:r>
          </w:p>
        </w:tc>
        <w:tc>
          <w:tcPr>
            <w:tcW w:type="dxa" w:w="2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Ação Imediata</w:t>
            </w:r>
          </w:p>
        </w:tc>
        <w:tc>
          <w:tcPr>
            <w:tcW w:type="dxa" w:w="6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Detalhamento e Dose</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Zerar ultrafiltração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Suspender IMEDIATAMENTE a taxa de UF — ação mais rápida e eficaz; prioridade absoluta</w:t>
            </w:r>
          </w:p>
        </w:tc>
      </w:tr>
      <w:tr>
        <w:tc>
          <w:tcPr>
            <w:tcW w:type="dxa" w:w="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Posição de Trendelenburg</w:t>
            </w:r>
          </w:p>
        </w:tc>
        <w:tc>
          <w:tcPr>
            <w:tcW w:type="dxa" w:w="6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15–30° com elevação de membros inferiores; contraindicado em HIC suspeita, pós-cx abdominal recente ou DPOC grave com auto-PEEP</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Bolus de SF 0,9%</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100–250 mL rápido IV; repetir 1x se necessário; avaliar resposta pressórica em 3–5 min; evitar excesso em ARDS</w:t>
            </w:r>
          </w:p>
        </w:tc>
      </w:tr>
      <w:tr>
        <w:tc>
          <w:tcPr>
            <w:tcW w:type="dxa" w:w="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4</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Reduzir temperatura do dialisato</w:t>
            </w:r>
          </w:p>
        </w:tc>
        <w:tc>
          <w:tcPr>
            <w:tcW w:type="dxa" w:w="6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Programar 35,0–35,5°C; reduz vasodilatação periférica iatrogênica; eficaz em 5–10 min</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Reduzir fluxo de sangue (Qb)</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Diminuir para 150–200 mL/min temporariamente; reduz a velocidade de variação do volume intravascular</w:t>
            </w:r>
          </w:p>
        </w:tc>
      </w:tr>
      <w:tr>
        <w:tc>
          <w:tcPr>
            <w:tcW w:type="dxa" w:w="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6</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Investigar causa subjacente</w:t>
            </w:r>
          </w:p>
        </w:tc>
        <w:tc>
          <w:tcPr>
            <w:tcW w:type="dxa" w:w="6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SCA novo, TEP, tamponamento cardíaco, pneumotórax hipertensivo, sepse em progressão, sangramento oculto</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7</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Iniciar ou titular vasopressor</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PAM &lt; 65 após 2 bolus de SF: noradrenalina 0,05–0,1 mcg/kg/min; titular para PAM ≥ 65 mmHg</w:t>
            </w:r>
          </w:p>
        </w:tc>
      </w:tr>
      <w:tr>
        <w:tc>
          <w:tcPr>
            <w:tcW w:type="dxa" w:w="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8</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Considerar mudança de modalidade</w:t>
            </w:r>
          </w:p>
        </w:tc>
        <w:tc>
          <w:tcPr>
            <w:tcW w:type="dxa" w:w="6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HID recorrente (≥ 2 episódios): transição para TCRR ou SLED; ver tabela 2.5</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9</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Encerrar a sessão</w:t>
            </w:r>
          </w:p>
        </w:tc>
        <w:tc>
          <w:tcPr>
            <w:tcW w:type="dxa" w:w="6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instabilidade hemodinâmica persistente &gt; 15–20 min sem resposta a medidas acima; replanejar modalidade</w:t>
            </w:r>
          </w:p>
        </w:tc>
      </w:tr>
    </w:tbl>
    <w:p>
      <w:pPr>
        <w:spacing w:after="80" w:before="80"/>
      </w:pPr>
      <w:r>
        <w:t xml:space="preserve"/>
      </w:r>
    </w:p>
    <w:p>
      <w:pPr>
        <w:pBdr>
          <w:left w:val="thick" w:color="C17F00" w:sz="16"/>
        </w:pBdr>
        <w:shd w:fill="FFF8E1" w:val="clear"/>
        <w:spacing w:after="100" w:before="100"/>
        <w:ind w:left="360" w:right="360"/>
      </w:pPr>
      <w:r>
        <w:rPr>
          <w:b/>
          <w:bCs/>
          <w:color w:val="7B5600"/>
          <w:sz w:val="20"/>
          <w:szCs w:val="20"/>
        </w:rPr>
        <w:t xml:space="preserve">⚠️ </w:t>
      </w:r>
      <w:r>
        <w:rPr>
          <w:rFonts w:ascii="Arial" w:cs="Arial" w:eastAsia="Arial" w:hAnsi="Arial"/>
          <w:b/>
          <w:bCs/>
          <w:color w:val="7B5600"/>
          <w:sz w:val="20"/>
          <w:szCs w:val="20"/>
        </w:rPr>
        <w:t xml:space="preserve">PREVENÇÃO — Grau A de evidência: (1) Temperatura dialisato 35–36°C reduz HID em 25%. (2) Taxa de UF ≤ 13 mL/kg/h (NKF-KDOQI 2015). (3) Solução tamponante bicarbonato — nunca acetato no crítico. (4) Na⁺ dialisato 140–145 mEq/L. (5) Evitar anti-hipertensivos 4–6h antes da sessão.</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2.5 Quando Mudar de Modalidade — Critérios Objetivos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Situação Clínica</w:t>
            </w:r>
          </w:p>
        </w:tc>
        <w:tc>
          <w:tcPr>
            <w:tcW w:type="dxa" w:w="2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Modalidade Recomendada</w:t>
            </w:r>
          </w:p>
        </w:tc>
        <w:tc>
          <w:tcPr>
            <w:tcW w:type="dxa" w:w="4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Justificativa Fisiopatológica</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HID recorrente ≥ 2 episódios/sessão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ou SLED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Taxa de UF TCRR &lt; 1 mL/min vs 10–25 mL/min na IHD — remoção gradual preserva pressão de enchimento</w:t>
            </w:r>
          </w:p>
        </w:tc>
      </w:tr>
      <w:tr>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Vasopressor ≥ 2 drogas em doses plenas</w:t>
            </w:r>
          </w:p>
        </w:tc>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Estabilidade hemodinâmica superior demonstrada em estudos observacionais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Choque cardiogênico (FEVE &lt; 25%)</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Menor impacto em pré-carga e pós-carga; permite ajuste fino do balanço hídrico</w:t>
            </w:r>
          </w:p>
        </w:tc>
      </w:tr>
      <w:tr>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Insuficiência hepática aguda com HIC</w:t>
            </w:r>
          </w:p>
        </w:tc>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(CVVHDF)</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Remoção gradual evita oscilação osmótica cerebral; controle de edema cerebral</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LRA + SDRA (balanço hídrico crítico)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Controle milimétrico do balanço hídrico; cada mL conta na SDRA</w:t>
            </w:r>
          </w:p>
        </w:tc>
      </w:tr>
      <w:tr>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Intoxicações por substâncias dializáveis</w:t>
            </w:r>
          </w:p>
        </w:tc>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IHD de alta eficiência</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Clearance rápido de lítio, salicilato, metanol, metformina — IHD superior à TCRR aqui</w:t>
            </w:r>
          </w:p>
        </w:tc>
      </w:tr>
    </w:tbl>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3. SÍNDROME DE DESEQUILÍBRIO DIALÍTICO (SDD)</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Síndrome de Desequilíbrio Dialítico resulta da remoção rápida de ureia do plasma em relação ao compartimento cerebral, gerando gradiente osmótico que promove influxo de água para o SNC e edema cerebral. O fenômeno é agravado pela formação de osmóis idiogênicos no tecido cerebral durante a uremia prolongada, que retêm água mesmo após normalização plasmática da ureia. É uma complicação rara (&lt; 5%), porém potencialmente letal, especialmente na primeira sessão de pacientes com uremia grave.</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3.1 Fatores de Risco e Manifestações por Grau de Gravidade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Aspecto</w:t>
            </w:r>
          </w:p>
        </w:tc>
        <w:tc>
          <w:tcPr>
            <w:tcW w:type="dxa" w:w="65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Detalhe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Fisiopatologia central</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Ureia sérica cai rapidamente → gradiente osmótico plasma &lt; SNC → influxo de água → edema cerebral osmótico</w:t>
            </w:r>
          </w:p>
        </w:tc>
      </w:tr>
      <w:tr>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Contribuição dos osmóis idiog.</w:t>
            </w:r>
          </w:p>
        </w:tc>
        <w:tc>
          <w:tcPr>
            <w:tcW w:type="dxa" w:w="6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SNC cria solutos orgânicos para manter osmolaridade durante uremia crônica → persistem mesmo após dialise → amplificam edema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Fatores de risco principais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Ureia &gt; 150–200 mg/dL na 1ª sessão; hiponatremia associada; uremia &gt; 72h; TCE prévio; crianças; hiperosmolaridade prévia</w:t>
            </w:r>
          </w:p>
        </w:tc>
      </w:tr>
      <w:tr>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Manifestações leves</w:t>
            </w:r>
          </w:p>
        </w:tc>
        <w:tc>
          <w:tcPr>
            <w:tcW w:type="dxa" w:w="6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Cefaleia pulsátil, náuseas, vômitos, câimbras, agitação psicomotora, turvação visual — início durante ou logo após sessão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Manifestações moderadas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Confusão aguda, desorientação, tremores, mioclonias, piora da sonolência em paciente previamente acordado</w:t>
            </w:r>
          </w:p>
        </w:tc>
      </w:tr>
      <w:tr>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Manifestações graves</w:t>
            </w:r>
          </w:p>
        </w:tc>
        <w:tc>
          <w:tcPr>
            <w:tcW w:type="dxa" w:w="6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Convulsões tônico-clônicas, rebaixamento do nível de consciência, coma, sinais de herniação transtentorial (pupilas assimétricas)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Tempo de instalação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Geralmente durante a sessão ou nas primeiras 12–24h pós-dialise; raramente tardio &gt; 24h</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3.2 Manejo por Grau de Gravidade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Grau</w:t>
            </w:r>
          </w:p>
        </w:tc>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Critério Clínico</w:t>
            </w:r>
          </w:p>
        </w:tc>
        <w:tc>
          <w:tcPr>
            <w:tcW w:type="dxa" w:w="53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Conduta Específica</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Leve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Cefaleia, náuseas, câimbras sem rebaixamento</w:t>
            </w:r>
          </w:p>
        </w:tc>
        <w:tc>
          <w:tcPr>
            <w:tcW w:type="dxa" w:w="5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Reduzir Qb para 150–180 mL/min; encurtar sessão para 1–2h; SF 0,9% 200 mL IV ou manitol 20% 100 mL IV; elevar cabeceira 30°</w:t>
            </w:r>
          </w:p>
        </w:tc>
      </w:tr>
      <w:tr>
        <w:tc>
          <w:tcPr>
            <w:tcW w:type="dxa" w:w="1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Moderado</w:t>
            </w:r>
          </w:p>
        </w:tc>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Confusão, agitação, tremores</w:t>
            </w:r>
          </w:p>
        </w:tc>
        <w:tc>
          <w:tcPr>
            <w:tcW w:type="dxa" w:w="53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INTERROMPER a sessão; manitol 20% 0,5–1 g/kg IV em 20 min; monitorização neurológica contínua; TC crânio se não melhora em 30 min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Grave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Convulsão, coma, sinais de herniação</w:t>
            </w:r>
          </w:p>
        </w:tc>
        <w:tc>
          <w:tcPr>
            <w:tcW w:type="dxa" w:w="5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INTERRUPÇÃO IMEDIATA; manitol 20% 1 g/kg IV + NaCl 3% 100 mL IV; TC crânio urgente; neurointensivismo; intubação orotraqueal se Glasgow ≤ 8</w:t>
            </w:r>
          </w:p>
        </w:tc>
      </w:tr>
    </w:tbl>
    <w:p>
      <w:pPr>
        <w:spacing w:after="80" w:before="80"/>
      </w:pPr>
      <w:r>
        <w:t xml:space="preserve"/>
      </w:r>
    </w:p>
    <w:p>
      <w:pPr>
        <w:pBdr>
          <w:left w:val="thick" w:color="B71C1C" w:sz="16"/>
        </w:pBdr>
        <w:shd w:fill="FDECEA" w:val="clear"/>
        <w:spacing w:after="100" w:before="100"/>
        <w:ind w:left="360" w:right="360"/>
      </w:pPr>
      <w:r>
        <w:rPr>
          <w:b/>
          <w:bCs/>
          <w:color w:val="B71C1C"/>
          <w:sz w:val="20"/>
          <w:szCs w:val="20"/>
        </w:rPr>
        <w:t xml:space="preserve">🔴 </w:t>
      </w:r>
      <w:r>
        <w:rPr>
          <w:rFonts w:ascii="Arial" w:cs="Arial" w:eastAsia="Arial" w:hAnsi="Arial"/>
          <w:b/>
          <w:bCs/>
          <w:color w:val="B71C1C"/>
          <w:sz w:val="20"/>
          <w:szCs w:val="20"/>
        </w:rPr>
        <w:t xml:space="preserve">PREVENÇÃO OBRIGATÓRIA na 1ª sessão com ureia &gt; 150 mg/dL: Qb máximo 200 mL/min; duração ≤ 2 horas; meta de redução de ureia ≤ 30–40% por sessão. Prescrever 3 sessões curtas é superior a 1 sessão longa — o SNC precisa de tempo para eliminar os osmóis idiogênicos.</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4. ARRITMIAS CARDÍACAS INTRADIALÍTICAS</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No paciente crítico, arritmias durante a TSR ocorrem em 3–10% das sessões e estão associadas à mortalidade hospitalar aumentada. A causa mais comum é o distúrbio eletrolítico iatrogênico — especialmente hipocalemia aguda por dialisato com baixo K⁺ e hipocalcemia durante uso de citrato sem reposição adequada. A monitorização eletrocardiográfica contínua durante toda a sessão é obrigatória em UTI.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00"/>
        <w:gridCol w:w="24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Causa / Distúrbio</w:t>
            </w:r>
          </w:p>
        </w:tc>
        <w:tc>
          <w:tcPr>
            <w:tcW w:type="dxa" w:w="20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Tipo de Arritmia</w:t>
            </w:r>
          </w:p>
        </w:tc>
        <w:tc>
          <w:tcPr>
            <w:tcW w:type="dxa" w:w="23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Identificação</w:t>
            </w:r>
          </w:p>
        </w:tc>
        <w:tc>
          <w:tcPr>
            <w:tcW w:type="dxa" w:w="24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Manejo Imediato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Hipocalemia aguda (dialisato K⁺ 1–2 mEq/L)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ESV frequentes, TVNS, TV, FV</w:t>
            </w:r>
          </w:p>
        </w:tc>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K⁺ sérico pós-HD &lt; 3,0 mEq/L; monitorização contínua</w:t>
            </w:r>
          </w:p>
        </w:tc>
        <w:tc>
          <w:tcPr>
            <w:tcW w:type="dxa" w:w="2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Aumentar K⁺ dialisato para 3–4 mEq/L; KCl 19,1% IV se K⁺ &lt; 3,0 mEq/L (10–20 mEq em 1–2h); reduzir Qb</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Hipocalcemia ionizada (citrato s/ reposição)</w:t>
            </w:r>
          </w:p>
        </w:tc>
        <w:tc>
          <w:tcPr>
            <w:tcW w:type="dxa" w:w="2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QT longo, BAV 1–3° grau, assistolia</w:t>
            </w:r>
          </w:p>
        </w:tc>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Ca²⁺ ionizado &lt; 0,9 mmol/L; QT corrigido &gt; 500 ms</w:t>
            </w:r>
          </w:p>
        </w:tc>
        <w:tc>
          <w:tcPr>
            <w:tcW w:type="dxa" w:w="2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CaCl₂ 10% 10 mL IV lento (atenção: queimadura se extravasamento) ou gluconato de Ca²⁺ 10% 20 mL IV</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Hipomagnesemia pós-diálise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 paroxística, torsades de pointes, QT longo</w:t>
            </w:r>
          </w:p>
        </w:tc>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Mg²⁺ &lt; 1,5 mg/dL; QTc alargado; hx de diálise prolongada</w:t>
            </w:r>
          </w:p>
        </w:tc>
        <w:tc>
          <w:tcPr>
            <w:tcW w:type="dxa" w:w="2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MgSO₄ 10% 2–4 g IV em 20 min; corrigir hipoK associada</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HID grave + isquemia miocárdica</w:t>
            </w:r>
          </w:p>
        </w:tc>
        <w:tc>
          <w:tcPr>
            <w:tcW w:type="dxa" w:w="2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 TVNS, BRE novo, supradesnivelamento de ST</w:t>
            </w:r>
          </w:p>
        </w:tc>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ECG com alteração isquêmica; troponina seriada</w:t>
            </w:r>
          </w:p>
        </w:tc>
        <w:tc>
          <w:tcPr>
            <w:tcW w:type="dxa" w:w="2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Tratar HID; ECG seriado; troponina; cardiologista imediato; suspender HD se SCA confirmado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Desequilíbrio dialítico grave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Bradicardia sinusal, BAV de 2–3° grau</w:t>
            </w:r>
          </w:p>
        </w:tc>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Neurológico + bradicardia simultâneos; pupila alterada</w:t>
            </w:r>
          </w:p>
        </w:tc>
        <w:tc>
          <w:tcPr>
            <w:tcW w:type="dxa" w:w="2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INTERROMPER sessão imediatamente; atropina 0,5–1 mg IV se FC &lt; 40; TC crânio urgente</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Hipotermia intradialítica (TCRR)</w:t>
            </w:r>
          </w:p>
        </w:tc>
        <w:tc>
          <w:tcPr>
            <w:tcW w:type="dxa" w:w="2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 ESV, FV (Tcore &lt; 32°C)</w:t>
            </w:r>
          </w:p>
        </w:tc>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Temperatura central &lt; 35°C; TCRR por &gt; 24h</w:t>
            </w:r>
          </w:p>
        </w:tc>
        <w:tc>
          <w:tcPr>
            <w:tcW w:type="dxa" w:w="2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Aquecer fluidos de reposição; temperatura dialisato 37–38°C; considerar aquecimento externo</w:t>
            </w:r>
          </w:p>
        </w:tc>
      </w:tr>
    </w:tbl>
    <w:p>
      <w:pPr>
        <w:spacing w:after="80" w:before="80"/>
      </w:pPr>
      <w:r>
        <w:t xml:space="preserve"/>
      </w:r>
    </w:p>
    <w:p>
      <w:pPr>
        <w:pBdr>
          <w:left w:val="thick" w:color="C17F00" w:sz="16"/>
        </w:pBdr>
        <w:shd w:fill="FFF8E1" w:val="clear"/>
        <w:spacing w:after="100" w:before="100"/>
        <w:ind w:left="360" w:right="360"/>
      </w:pPr>
      <w:r>
        <w:rPr>
          <w:b/>
          <w:bCs/>
          <w:color w:val="7B5600"/>
          <w:sz w:val="20"/>
          <w:szCs w:val="20"/>
        </w:rPr>
        <w:t xml:space="preserve">⚠️ </w:t>
      </w:r>
      <w:r>
        <w:rPr>
          <w:rFonts w:ascii="Arial" w:cs="Arial" w:eastAsia="Arial" w:hAnsi="Arial"/>
          <w:b/>
          <w:bCs/>
          <w:color w:val="7B5600"/>
          <w:sz w:val="20"/>
          <w:szCs w:val="20"/>
        </w:rPr>
        <w:t xml:space="preserve">Monitorização cardíaca CONTÍNUA é obrigatória em UTI durante toda sessão de TSR. K⁺ dialisato &lt; 2 mEq/L deve ser evitado no paciente crítico. Em qualquer arritmia com instabilidade hemodinâmica: avaliar imediatamente interrupção da sessão antes de tentar reversão farmacológica.</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5. SANGRAMENTO E ANTICOAGULAÇÃO</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anticoagulação é necessária para prevenir a coagulação do circuito extracorpóreo durante a TSR, mas acarreta risco hemorrágico real no paciente crítico. A incidência de sangramento clinicamente significativo com HNF sistêmica é de 3–5%. A escolha do tipo de anticoagulação deve ser individualizada, considerando o risco hemorrágico específico de cada paciente.</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5.1 Opções de Anticoagulação — Comparação Detalhada</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500"/>
        <w:gridCol w:w="2200"/>
        <w:gridCol w:w="2460"/>
      </w:tblGrid>
      <w:tr>
        <w:trPr>
          <w:tblHeader/>
        </w:trPr>
        <w:tc>
          <w:tcPr>
            <w:tcW w:type="dxa" w:w="1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Anticoagulante</w:t>
            </w:r>
          </w:p>
        </w:tc>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Dose / Protocolo</w:t>
            </w:r>
          </w:p>
        </w:tc>
        <w:tc>
          <w:tcPr>
            <w:tcW w:type="dxa" w:w="15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Risco Hemorrágico</w:t>
            </w:r>
          </w:p>
        </w:tc>
        <w:tc>
          <w:tcPr>
            <w:tcW w:type="dxa" w:w="2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Reversão / Controle</w:t>
            </w:r>
          </w:p>
        </w:tc>
        <w:tc>
          <w:tcPr>
            <w:tcW w:type="dxa" w:w="24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Indicação / Contraindicação</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HNF sistêmica</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Bolus 500–1000 UI → manutenção 500–1000 UI/h; alvo TCA 180–220s ou TTPa 45–60s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3–5% — moderado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Sulfato de protamina: 1 mg/100 UI HNF da última hora (máx 50 mg IV lento em 10 min)</w:t>
            </w:r>
          </w:p>
        </w:tc>
        <w:tc>
          <w:tcPr>
            <w:tcW w:type="dxa" w:w="2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Indicada: sem risco hemorrágico; Contraindicada: HIT, sangramento ativo, plaquetas &lt; 50.000</w:t>
            </w:r>
          </w:p>
        </w:tc>
      </w:tr>
      <w:tr>
        <w:tc>
          <w:tcPr>
            <w:tcW w:type="dxa" w:w="1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Citrato regional</w:t>
            </w:r>
          </w:p>
        </w:tc>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Citrato 4% 150–180 mL/h pré-filtro + CaCl₂ pós-filtro para Ca²⁺ sistêmico 1,1–1,3 mmol/L</w:t>
            </w:r>
          </w:p>
        </w:tc>
        <w:tc>
          <w:tcPr>
            <w:tcW w:type="dxa" w:w="1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&lt; 1% — muito baixo</w:t>
            </w:r>
          </w:p>
        </w:tc>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Sem antídoto; citrato é metabolizado pelo fígado (meia-vida 30 min)</w:t>
            </w:r>
          </w:p>
        </w:tc>
        <w:tc>
          <w:tcPr>
            <w:tcW w:type="dxa" w:w="2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Indicado: alto risco hemorrágico, HIT, pós-op neurocirurgia; Contraindicado: insuf. hepática grave (acúmulo de citrato)</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Argatrobana</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0,5–1,0 mcg/kg/min IV contínuo; alvo TTPa 1,5–3x o basal</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Moderado a alto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Sem antídoto específico; suspender e aguardar (meia-vida 45 min; metabolização hepática)</w:t>
            </w:r>
          </w:p>
        </w:tc>
        <w:tc>
          <w:tcPr>
            <w:tcW w:type="dxa" w:w="2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Indicado: HIT confirmado/suspeito; Ajustar dose em insuficiência hepática</w:t>
            </w:r>
          </w:p>
        </w:tc>
      </w:tr>
      <w:tr>
        <w:tc>
          <w:tcPr>
            <w:tcW w:type="dxa" w:w="1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Sem anticoagulação</w:t>
            </w:r>
          </w:p>
        </w:tc>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Flush com SF 0,9% 100–200 mL/h via linha arterial do circuito</w:t>
            </w:r>
          </w:p>
        </w:tc>
        <w:tc>
          <w:tcPr>
            <w:tcW w:type="dxa" w:w="1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Mínimo (sangramento)</w:t>
            </w:r>
          </w:p>
        </w:tc>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N/A</w:t>
            </w:r>
          </w:p>
        </w:tc>
        <w:tc>
          <w:tcPr>
            <w:tcW w:type="dxa" w:w="2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Indicado: sangramento ativo, pós-op &lt; 24h, plaquetas &lt; 20.000; Desvantagem: coagulação frequente do circuito (perda de 20–30% do volume)</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5.2 Situações Especiais de Alto Risco Hemorrágico</w:t>
      </w:r>
    </w:p>
    <w:p>
      <w:pPr>
        <w:spacing w:after="80" w:before="80"/>
      </w:pPr>
      <w:r>
        <w:t xml:space="preserve"/>
      </w:r>
    </w:p>
    <w:p>
      <w:pPr>
        <w:pStyle w:val="ListParagraph"/>
        <w:numPr>
          <w:ilvl w:val="0"/>
          <w:numId w:val="2"/>
        </w:numPr>
        <w:spacing w:after="40" w:before="40"/>
      </w:pPr>
      <w:r>
        <w:rPr>
          <w:rFonts w:ascii="Arial" w:cs="Arial" w:eastAsia="Arial" w:hAnsi="Arial"/>
          <w:color w:val="1C1C1C"/>
          <w:sz w:val="20"/>
          <w:szCs w:val="20"/>
        </w:rPr>
        <w:t xml:space="preserve">Pós-operatório de cirurgia cardíaca ou neurocirurgia &lt; 24–48h: preferir TCRR sem anticoagulação + flush frequente; considerar citrato após 48h se hemostasia cirúrgica adequada</w:t>
      </w:r>
    </w:p>
    <w:p>
      <w:pPr>
        <w:pStyle w:val="ListParagraph"/>
        <w:numPr>
          <w:ilvl w:val="0"/>
          <w:numId w:val="2"/>
        </w:numPr>
        <w:spacing w:after="40" w:before="40"/>
      </w:pPr>
      <w:r>
        <w:rPr>
          <w:rFonts w:ascii="Arial" w:cs="Arial" w:eastAsia="Arial" w:hAnsi="Arial"/>
          <w:color w:val="1C1C1C"/>
          <w:sz w:val="20"/>
          <w:szCs w:val="20"/>
        </w:rPr>
        <w:t xml:space="preserve">Trombocitopenia Induzida por Heparina (HIT): SUSPENDER HNF IMEDIATAMENTE (incluindo flushes com heparina); iniciar argatrobana 0,5 mcg/kg/min; confirmar com anticorpos anti-FP4</w:t>
      </w:r>
    </w:p>
    <w:p>
      <w:pPr>
        <w:pStyle w:val="ListParagraph"/>
        <w:numPr>
          <w:ilvl w:val="0"/>
          <w:numId w:val="2"/>
        </w:numPr>
        <w:spacing w:after="40" w:before="40"/>
      </w:pPr>
      <w:r>
        <w:rPr>
          <w:rFonts w:ascii="Arial" w:cs="Arial" w:eastAsia="Arial" w:hAnsi="Arial"/>
          <w:color w:val="1C1C1C"/>
          <w:sz w:val="20"/>
          <w:szCs w:val="20"/>
        </w:rPr>
        <w:t xml:space="preserve">Coagulopatia grave (INR &gt; 2,5 ou plaquetas &lt; 30.000): avaliar risco-benefício individual; TCRR sem anticoag. + flush é a opção mais segura</w:t>
      </w:r>
    </w:p>
    <w:p>
      <w:pPr>
        <w:pStyle w:val="ListParagraph"/>
        <w:numPr>
          <w:ilvl w:val="0"/>
          <w:numId w:val="2"/>
        </w:numPr>
        <w:spacing w:after="40" w:before="40"/>
      </w:pPr>
      <w:r>
        <w:rPr>
          <w:rFonts w:ascii="Arial" w:cs="Arial" w:eastAsia="Arial" w:hAnsi="Arial"/>
          <w:color w:val="1C1C1C"/>
          <w:sz w:val="20"/>
          <w:szCs w:val="20"/>
        </w:rPr>
        <w:t xml:space="preserve">Pericardite urêmica: risco de hemopericárdio com HNF — preferir citrato regional ou TCRR sem anticoagulação</w:t>
      </w:r>
    </w:p>
    <w:p>
      <w:pPr>
        <w:pStyle w:val="ListParagraph"/>
        <w:numPr>
          <w:ilvl w:val="0"/>
          <w:numId w:val="2"/>
        </w:numPr>
        <w:spacing w:after="40" w:before="40"/>
      </w:pPr>
      <w:r>
        <w:rPr>
          <w:rFonts w:ascii="Arial" w:cs="Arial" w:eastAsia="Arial" w:hAnsi="Arial"/>
          <w:color w:val="1C1C1C"/>
          <w:sz w:val="20"/>
          <w:szCs w:val="20"/>
        </w:rPr>
        <w:t xml:space="preserve">CIVD ativa: citrato regional é preferível; heparina pode agravar sangramento pela consumação de fatores</w:t>
      </w:r>
    </w:p>
    <w:p>
      <w:pPr>
        <w:spacing w:after="80" w:before="80"/>
      </w:pPr>
      <w:r>
        <w:t xml:space="preserve"/>
      </w:r>
    </w:p>
    <w:p>
      <w:pPr>
        <w:pBdr>
          <w:left w:val="thick" w:color="B71C1C" w:sz="16"/>
        </w:pBdr>
        <w:shd w:fill="FDECEA" w:val="clear"/>
        <w:spacing w:after="100" w:before="100"/>
        <w:ind w:left="360" w:right="360"/>
      </w:pPr>
      <w:r>
        <w:rPr>
          <w:b/>
          <w:bCs/>
          <w:color w:val="B71C1C"/>
          <w:sz w:val="20"/>
          <w:szCs w:val="20"/>
        </w:rPr>
        <w:t xml:space="preserve">🔴 </w:t>
      </w:r>
      <w:r>
        <w:rPr>
          <w:rFonts w:ascii="Arial" w:cs="Arial" w:eastAsia="Arial" w:hAnsi="Arial"/>
          <w:b/>
          <w:bCs/>
          <w:color w:val="B71C1C"/>
          <w:sz w:val="20"/>
          <w:szCs w:val="20"/>
        </w:rPr>
        <w:t xml:space="preserve">HIT (Trombocitopenia Induzida por Heparina): NUNCA reiniciar heparina (nem HBPM) após diagnóstico. A confirmação é clínico-laboratorial (score 4T + anticorpos anti-FP4). Argatrobana é o agente de escolha em UTI (ajustar na hepatopatia). Fondaparinux é alternativa fora da UTI.</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6. REAÇÃO AO DIALISADOR / REAÇÃO ANAFILÁTICA</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As reações ao dialisador são classificadas em dois tipos com fisiopatologia e abordagem completamente distintas. O reconhecimento precoce — especialmente do Tipo A — é vital, pois o atraso no manejo pode resultar em parada cardiorrespiratória.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Característica</w:t>
            </w:r>
          </w:p>
        </w:tc>
        <w:tc>
          <w:tcPr>
            <w:tcW w:type="dxa" w:w="3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TIPO A — Anafilática</w:t>
            </w:r>
          </w:p>
        </w:tc>
        <w:tc>
          <w:tcPr>
            <w:tcW w:type="dxa" w:w="34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TIPO B — Inespecífica</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Tempo de início</w:t>
            </w:r>
          </w:p>
        </w:tc>
        <w:tc>
          <w:tcPr>
            <w:tcW w:type="dxa" w:w="3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Primeiros 5 minutos da sessão</w:t>
            </w:r>
          </w:p>
        </w:tc>
        <w:tc>
          <w:tcPr>
            <w:tcW w:type="dxa" w:w="3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30 a 60 minutos após início</w:t>
            </w:r>
          </w:p>
        </w:tc>
      </w:tr>
      <w:tr>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Mecanismo</w:t>
            </w:r>
          </w:p>
        </w:tc>
        <w:tc>
          <w:tcPr>
            <w:tcW w:type="dxa" w:w="3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Hipersensibilidade IgE mediada: óxido de etileno (ETO) esterilizante, heparina bovina, membrana de celulose, látex</w:t>
            </w:r>
          </w:p>
        </w:tc>
        <w:tc>
          <w:tcPr>
            <w:tcW w:type="dxa" w:w="3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Ativação do complemento por membranas bioincompatíveis (celulose cuprofane); não é IgE mediada</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Manifestações</w:t>
            </w:r>
          </w:p>
        </w:tc>
        <w:tc>
          <w:tcPr>
            <w:tcW w:type="dxa" w:w="3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Prurido generalizado, urticária, edema de glote, broncoespasmo, hipotensão grave, choque anafilático, PCR</w:t>
            </w:r>
          </w:p>
        </w:tc>
        <w:tc>
          <w:tcPr>
            <w:tcW w:type="dxa" w:w="3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Dor torácica anterior e/ou lombar, dispneia leve a moderada, febre baixa, mal-estar; geralmente autolimitado</w:t>
            </w:r>
          </w:p>
        </w:tc>
      </w:tr>
      <w:tr>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Gravidade</w:t>
            </w:r>
          </w:p>
        </w:tc>
        <w:tc>
          <w:tcPr>
            <w:tcW w:type="dxa" w:w="3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POTENCIALMENTE FATAL — emergência imediata</w:t>
            </w:r>
          </w:p>
        </w:tc>
        <w:tc>
          <w:tcPr>
            <w:tcW w:type="dxa" w:w="3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Geralmente leve a moderada; raramente grave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Conduta imediata</w:t>
            </w:r>
          </w:p>
        </w:tc>
        <w:tc>
          <w:tcPr>
            <w:tcW w:type="dxa" w:w="3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 PARAR HD imediatamente; 2) NÃO retornar sangue ao paciente; 3) Adrenalina 0,5 mg IM (vasto lateral); 4) Anti-H1 IV; 5) Corticoide IV; 6) Suporte hemodinâmico</w:t>
            </w:r>
          </w:p>
        </w:tc>
        <w:tc>
          <w:tcPr>
            <w:tcW w:type="dxa" w:w="34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Reduzir Qb para 150 mL/min; O₂ suplementar; observar evolução; analgesia se dor lombar</w:t>
            </w:r>
          </w:p>
        </w:tc>
      </w:tr>
      <w:tr>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Conduta após episódio</w:t>
            </w:r>
          </w:p>
        </w:tc>
        <w:tc>
          <w:tcPr>
            <w:tcW w:type="dxa" w:w="3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Investigar causa (ETO? látex? heparina bovina?); trocar para membrana sintética high-flux; esterilização por calor; evitar agente causal</w:t>
            </w:r>
          </w:p>
        </w:tc>
        <w:tc>
          <w:tcPr>
            <w:tcW w:type="dxa" w:w="34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Trocar para membrana sintética (polissulfona, PAES) nas sessões subsequentes; evitar membranas de celulose</w:t>
            </w:r>
          </w:p>
        </w:tc>
      </w:tr>
    </w:tbl>
    <w:p>
      <w:pPr>
        <w:spacing w:after="80" w:before="80"/>
      </w:pPr>
      <w:r>
        <w:t xml:space="preserve"/>
      </w:r>
    </w:p>
    <w:p>
      <w:pPr>
        <w:pBdr>
          <w:left w:val="thick" w:color="B71C1C" w:sz="16"/>
        </w:pBdr>
        <w:shd w:fill="FDECEA" w:val="clear"/>
        <w:spacing w:after="100" w:before="100"/>
        <w:ind w:left="360" w:right="360"/>
      </w:pPr>
      <w:r>
        <w:rPr>
          <w:b/>
          <w:bCs/>
          <w:color w:val="B71C1C"/>
          <w:sz w:val="20"/>
          <w:szCs w:val="20"/>
        </w:rPr>
        <w:t xml:space="preserve">🔴 </w:t>
      </w:r>
      <w:r>
        <w:rPr>
          <w:rFonts w:ascii="Arial" w:cs="Arial" w:eastAsia="Arial" w:hAnsi="Arial"/>
          <w:b/>
          <w:bCs/>
          <w:color w:val="B71C1C"/>
          <w:sz w:val="20"/>
          <w:szCs w:val="20"/>
        </w:rPr>
        <w:t xml:space="preserve">TIPO A: NÃO retornar o sangue do circuito ao paciente — o sangue está impregnado com o alérgeno e a reinfusão pode causar PCR. Adrenalina IM é o tratamento de primeira linha — não espere piora para administrar. Investigar causa em todos os casos para prevenção nas sessões futuras.</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7. EMBOLIA GASOSA — EMERGÊNCIA RARA E POTENCIALMENTE LETAL</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embolia gasosa intradialítica é rara com equipamentos modernos (detectores de ar eletrônicos), mas mantém elevada letalidade quando ocorre. Volumes de apenas 5–8 mL de ar injetados em bolus na circulação venosa central podem ser fatais. A maioria dos casos ocorre por falha humana durante manipulação do circuito ou acesso vascular, e não por falha da máquina.</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7.1 Causas, Reconhecimento e Volume Letal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Causa</w:t>
            </w:r>
          </w:p>
        </w:tc>
        <w:tc>
          <w:tcPr>
            <w:tcW w:type="dxa" w:w="3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Como Reconhecer</w:t>
            </w:r>
          </w:p>
        </w:tc>
        <w:tc>
          <w:tcPr>
            <w:tcW w:type="dxa" w:w="3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Observação / Volume Crítico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Desconexão da linha venosa do circuito</w:t>
            </w:r>
          </w:p>
        </w:tc>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Início súbito: dispneia intensa, cianose central, colapso hemodinâmico</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Volume ≥ 5–8 mL IV em bolus pode ser fatal em adulto</w:t>
            </w:r>
          </w:p>
        </w:tc>
      </w:tr>
      <w:tr>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Falha ou bypass do detector de ar</w:t>
            </w:r>
          </w:p>
        </w:tc>
        <w:tc>
          <w:tcPr>
            <w:tcW w:type="dxa" w:w="3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Barulho de "moinho d'água" à ausculta precordial; espuma visível na linha</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Detector eletrônico pode ser burlado por manipulação inadequada</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Entrada de ar durante manipulação do acesso</w:t>
            </w:r>
          </w:p>
        </w:tc>
        <w:tc>
          <w:tcPr>
            <w:tcW w:type="dxa" w:w="3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Confusão mental súbita, convulsão, parada — se ar arterial/cerebral</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Injeção intracoronária ou intracerebral: &lt; 1 mL pode causar AVC/IAM</w:t>
            </w:r>
          </w:p>
        </w:tc>
      </w:tr>
      <w:tr>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Bolsas de ar em soluções de reposição (TCRR)</w:t>
            </w:r>
          </w:p>
        </w:tc>
        <w:tc>
          <w:tcPr>
            <w:tcW w:type="dxa" w:w="3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Alarme de pressão venosa; inspeção visual das linhas de reposição</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Risco em TCRR com soluções pré-aquecidas ou agitadas</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7.2 Conduta Imediata — Sequência Obrigatória (Ordem é Crítica)</w:t>
      </w:r>
    </w:p>
    <w:p>
      <w:pPr>
        <w:spacing w:after="80" w:before="80"/>
      </w:pPr>
      <w:r>
        <w:t xml:space="preserve"/>
      </w:r>
    </w:p>
    <w:p>
      <w:pPr>
        <w:pStyle w:val="ListParagraph"/>
        <w:numPr>
          <w:ilvl w:val="0"/>
          <w:numId w:val="2"/>
        </w:numPr>
        <w:spacing w:after="40" w:before="40"/>
      </w:pPr>
      <w:r>
        <w:rPr>
          <w:rFonts w:ascii="Arial" w:cs="Arial" w:eastAsia="Arial" w:hAnsi="Arial"/>
          <w:b/>
          <w:bCs/>
          <w:color w:val="1C1C1C"/>
          <w:sz w:val="20"/>
          <w:szCs w:val="20"/>
        </w:rPr>
        <w:t xml:space="preserve">Passo 1 — </w:t>
      </w:r>
      <w:r>
        <w:rPr>
          <w:rFonts w:ascii="Arial" w:cs="Arial" w:eastAsia="Arial" w:hAnsi="Arial"/>
          <w:color w:val="1C1C1C"/>
          <w:sz w:val="20"/>
          <w:szCs w:val="20"/>
        </w:rPr>
        <w:t xml:space="preserve">CLAMPAR IMEDIATAMENTE a linha venosa do circuito antes de qualquer outra ação</w:t>
      </w:r>
    </w:p>
    <w:p>
      <w:pPr>
        <w:pStyle w:val="ListParagraph"/>
        <w:numPr>
          <w:ilvl w:val="0"/>
          <w:numId w:val="2"/>
        </w:numPr>
        <w:spacing w:after="40" w:before="40"/>
      </w:pPr>
      <w:r>
        <w:rPr>
          <w:rFonts w:ascii="Arial" w:cs="Arial" w:eastAsia="Arial" w:hAnsi="Arial"/>
          <w:b/>
          <w:bCs/>
          <w:color w:val="1C1C1C"/>
          <w:sz w:val="20"/>
          <w:szCs w:val="20"/>
        </w:rPr>
        <w:t xml:space="preserve">Passo 2 — </w:t>
      </w:r>
      <w:r>
        <w:rPr>
          <w:rFonts w:ascii="Arial" w:cs="Arial" w:eastAsia="Arial" w:hAnsi="Arial"/>
          <w:color w:val="1C1C1C"/>
          <w:sz w:val="20"/>
          <w:szCs w:val="20"/>
        </w:rPr>
        <w:t xml:space="preserve">Posição de Trendelenburg 30° com decúbito lateral ESQUERDO — mantém o ar aprisionado no VD, longe da via de saída pulmonar</w:t>
      </w:r>
    </w:p>
    <w:p>
      <w:pPr>
        <w:pStyle w:val="ListParagraph"/>
        <w:numPr>
          <w:ilvl w:val="0"/>
          <w:numId w:val="2"/>
        </w:numPr>
        <w:spacing w:after="40" w:before="40"/>
      </w:pPr>
      <w:r>
        <w:rPr>
          <w:rFonts w:ascii="Arial" w:cs="Arial" w:eastAsia="Arial" w:hAnsi="Arial"/>
          <w:b/>
          <w:bCs/>
          <w:color w:val="1C1C1C"/>
          <w:sz w:val="20"/>
          <w:szCs w:val="20"/>
        </w:rPr>
        <w:t xml:space="preserve">Passo 3 — </w:t>
      </w:r>
      <w:r>
        <w:rPr>
          <w:rFonts w:ascii="Arial" w:cs="Arial" w:eastAsia="Arial" w:hAnsi="Arial"/>
          <w:color w:val="1C1C1C"/>
          <w:sz w:val="20"/>
          <w:szCs w:val="20"/>
        </w:rPr>
        <w:t xml:space="preserve">O₂ a 100% (FiO₂ = 1,0) — aumenta gradiente de pressão parcial, acelerando a reabsorção das bolhas de nitrogênio</w:t>
      </w:r>
    </w:p>
    <w:p>
      <w:pPr>
        <w:pStyle w:val="ListParagraph"/>
        <w:numPr>
          <w:ilvl w:val="0"/>
          <w:numId w:val="2"/>
        </w:numPr>
        <w:spacing w:after="40" w:before="40"/>
      </w:pPr>
      <w:r>
        <w:rPr>
          <w:rFonts w:ascii="Arial" w:cs="Arial" w:eastAsia="Arial" w:hAnsi="Arial"/>
          <w:b/>
          <w:bCs/>
          <w:color w:val="1C1C1C"/>
          <w:sz w:val="20"/>
          <w:szCs w:val="20"/>
        </w:rPr>
        <w:t xml:space="preserve">Passo 4 — </w:t>
      </w:r>
      <w:r>
        <w:rPr>
          <w:rFonts w:ascii="Arial" w:cs="Arial" w:eastAsia="Arial" w:hAnsi="Arial"/>
          <w:color w:val="1C1C1C"/>
          <w:sz w:val="20"/>
          <w:szCs w:val="20"/>
        </w:rPr>
        <w:t xml:space="preserve">Se disponível: aspiração de ar pelo cateter venoso central ou cateter de Swan-Ganz posicionado no VD (último recurso)</w:t>
      </w:r>
    </w:p>
    <w:p>
      <w:pPr>
        <w:pStyle w:val="ListParagraph"/>
        <w:numPr>
          <w:ilvl w:val="0"/>
          <w:numId w:val="2"/>
        </w:numPr>
        <w:spacing w:after="40" w:before="40"/>
      </w:pPr>
      <w:r>
        <w:rPr>
          <w:rFonts w:ascii="Arial" w:cs="Arial" w:eastAsia="Arial" w:hAnsi="Arial"/>
          <w:b/>
          <w:bCs/>
          <w:color w:val="1C1C1C"/>
          <w:sz w:val="20"/>
          <w:szCs w:val="20"/>
        </w:rPr>
        <w:t xml:space="preserve">Passo 5 — </w:t>
      </w:r>
      <w:r>
        <w:rPr>
          <w:rFonts w:ascii="Arial" w:cs="Arial" w:eastAsia="Arial" w:hAnsi="Arial"/>
          <w:color w:val="1C1C1C"/>
          <w:sz w:val="20"/>
          <w:szCs w:val="20"/>
        </w:rPr>
        <w:t xml:space="preserve">Câmara hiperbárica: indicada se paciente transportável com equipe de suporte avançado; reduz tamanho das bolhas pela lei de Boyle</w:t>
      </w:r>
    </w:p>
    <w:p>
      <w:pPr>
        <w:pStyle w:val="ListParagraph"/>
        <w:numPr>
          <w:ilvl w:val="0"/>
          <w:numId w:val="2"/>
        </w:numPr>
        <w:spacing w:after="40" w:before="40"/>
      </w:pPr>
      <w:r>
        <w:rPr>
          <w:rFonts w:ascii="Arial" w:cs="Arial" w:eastAsia="Arial" w:hAnsi="Arial"/>
          <w:b/>
          <w:bCs/>
          <w:color w:val="1C1C1C"/>
          <w:sz w:val="20"/>
          <w:szCs w:val="20"/>
        </w:rPr>
        <w:t xml:space="preserve">Passo 6 — </w:t>
      </w:r>
      <w:r>
        <w:rPr>
          <w:rFonts w:ascii="Arial" w:cs="Arial" w:eastAsia="Arial" w:hAnsi="Arial"/>
          <w:color w:val="1C1C1C"/>
          <w:sz w:val="20"/>
          <w:szCs w:val="20"/>
        </w:rPr>
        <w:t xml:space="preserve">Suporte avançado de vida: RCP se PCR; vasopressores se choque obstrutivo; intubação se falha respiratória</w:t>
      </w:r>
    </w:p>
    <w:p>
      <w:pPr>
        <w:spacing w:after="80" w:before="80"/>
      </w:pPr>
      <w:r>
        <w:t xml:space="preserve"/>
      </w:r>
    </w:p>
    <w:p>
      <w:pPr>
        <w:pBdr>
          <w:left w:val="thick" w:color="B71C1C" w:sz="16"/>
        </w:pBdr>
        <w:shd w:fill="FDECEA" w:val="clear"/>
        <w:spacing w:after="100" w:before="100"/>
        <w:ind w:left="360" w:right="360"/>
      </w:pPr>
      <w:r>
        <w:rPr>
          <w:b/>
          <w:bCs/>
          <w:color w:val="B71C1C"/>
          <w:sz w:val="20"/>
          <w:szCs w:val="20"/>
        </w:rPr>
        <w:t xml:space="preserve">🔴 </w:t>
      </w:r>
      <w:r>
        <w:rPr>
          <w:rFonts w:ascii="Arial" w:cs="Arial" w:eastAsia="Arial" w:hAnsi="Arial"/>
          <w:b/>
          <w:bCs/>
          <w:color w:val="B71C1C"/>
          <w:sz w:val="20"/>
          <w:szCs w:val="20"/>
        </w:rPr>
        <w:t xml:space="preserve">A posição lateral ESQUERDA é fisiopatologicamente crítica: mantém o ar no ventrículo direito (ápice à esquerda) impedindo obstrução do trato de saída pulmonar. O paciente NÃO deve ser sentado nem deixado em decúbito dorsal. Manter até absorção completa do ar (pode demorar 30–60 min).</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8. HEMÓLISE INTRADIALÍTICA</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hemólise intradialítica é rara, porém grave, com risco de morte por hiperkalemia de rebote aguda. Toda a hemoglobina e o potássio contidos nos eritrócitos lisados são liberados no plasma simultaneamente, podendo elevar o K⁺ sérico em 2–4 mEq/L em minutos — tempo insuficiente para qualquer compensação renal.</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8.1 Causas, Mecanismo e Identificação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Causa</w:t>
            </w:r>
          </w:p>
        </w:tc>
        <w:tc>
          <w:tcPr>
            <w:tcW w:type="dxa" w:w="3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Mecanismo de Lesão</w:t>
            </w:r>
          </w:p>
        </w:tc>
        <w:tc>
          <w:tcPr>
            <w:tcW w:type="dxa" w:w="3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Como Identificar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Dialisato superaquecido (&gt; 42°C)</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Desnaturação proteica da membrana eritrocitária + dano osmótico térmico direto</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Sangue na porta venosa com cor "vinho rosé"; termômetro do dialisato &gt; 42°C</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Dialisato hiposmolar ou contaminado</w:t>
            </w:r>
          </w:p>
        </w:tc>
        <w:tc>
          <w:tcPr>
            <w:tcW w:type="dxa" w:w="3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Lise osmótica: água entra no eritrócito → ruptura; contaminantes (cloramina, cobre, formol) lesam membrana</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Plasma rosa-avermelhado no circuito; teste de qualidade da água positivo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Contaminação por cloramina da rede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Oxidação da hemoglobina (meta-hemoglobina) + lise celular direta</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Análise da água do sistema de diálise; methemoglobina sérica elevada</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Dobradura (kinking) de linha</w:t>
            </w:r>
          </w:p>
        </w:tc>
        <w:tc>
          <w:tcPr>
            <w:tcW w:type="dxa" w:w="3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Trauma mecânico por força cisalhante nas células vermelhas</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Inspeção visual das linhas; pressão transmembrana elevada</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Bomba de sangue em velocidade excessiva</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Trauma mecânico em passagem pela bomba peristáltica com fluxo inadequado</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Qb programado &gt; capacidade do acesso; alarme de pressão negativa arterial</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8.2 Manejo — Sequência Obrigatória</w:t>
      </w:r>
    </w:p>
    <w:p>
      <w:pPr>
        <w:spacing w:after="80" w:before="80"/>
      </w:pPr>
      <w:r>
        <w:t xml:space="preserve"/>
      </w:r>
    </w:p>
    <w:p>
      <w:pPr>
        <w:pStyle w:val="ListParagraph"/>
        <w:numPr>
          <w:ilvl w:val="0"/>
          <w:numId w:val="2"/>
        </w:numPr>
        <w:spacing w:after="40" w:before="40"/>
      </w:pPr>
      <w:r>
        <w:rPr>
          <w:rFonts w:ascii="Arial" w:cs="Arial" w:eastAsia="Arial" w:hAnsi="Arial"/>
          <w:b/>
          <w:bCs/>
          <w:color w:val="1C1C1C"/>
          <w:sz w:val="20"/>
          <w:szCs w:val="20"/>
        </w:rPr>
        <w:t xml:space="preserve">1. </w:t>
      </w:r>
      <w:r>
        <w:rPr>
          <w:rFonts w:ascii="Arial" w:cs="Arial" w:eastAsia="Arial" w:hAnsi="Arial"/>
          <w:color w:val="1C1C1C"/>
          <w:sz w:val="20"/>
          <w:szCs w:val="20"/>
        </w:rPr>
        <w:t xml:space="preserve">PARAR a sessão IMEDIATAMENTE — não hesitar</w:t>
      </w:r>
    </w:p>
    <w:p>
      <w:pPr>
        <w:pStyle w:val="ListParagraph"/>
        <w:numPr>
          <w:ilvl w:val="0"/>
          <w:numId w:val="2"/>
        </w:numPr>
        <w:spacing w:after="40" w:before="40"/>
      </w:pPr>
      <w:r>
        <w:rPr>
          <w:rFonts w:ascii="Arial" w:cs="Arial" w:eastAsia="Arial" w:hAnsi="Arial"/>
          <w:b/>
          <w:bCs/>
          <w:color w:val="1C1C1C"/>
          <w:sz w:val="20"/>
          <w:szCs w:val="20"/>
        </w:rPr>
        <w:t xml:space="preserve">2. </w:t>
      </w:r>
      <w:r>
        <w:rPr>
          <w:rFonts w:ascii="Arial" w:cs="Arial" w:eastAsia="Arial" w:hAnsi="Arial"/>
          <w:color w:val="1C1C1C"/>
          <w:sz w:val="20"/>
          <w:szCs w:val="20"/>
        </w:rPr>
        <w:t xml:space="preserve">NÃO retornar o sangue hemolisado ao paciente — o K⁺ intracelular liberado pode causar PCR ao ser reinfundido</w:t>
      </w:r>
    </w:p>
    <w:p>
      <w:pPr>
        <w:pStyle w:val="ListParagraph"/>
        <w:numPr>
          <w:ilvl w:val="0"/>
          <w:numId w:val="2"/>
        </w:numPr>
        <w:spacing w:after="40" w:before="40"/>
      </w:pPr>
      <w:r>
        <w:rPr>
          <w:rFonts w:ascii="Arial" w:cs="Arial" w:eastAsia="Arial" w:hAnsi="Arial"/>
          <w:b/>
          <w:bCs/>
          <w:color w:val="1C1C1C"/>
          <w:sz w:val="20"/>
          <w:szCs w:val="20"/>
        </w:rPr>
        <w:t xml:space="preserve">3. </w:t>
      </w:r>
      <w:r>
        <w:rPr>
          <w:rFonts w:ascii="Arial" w:cs="Arial" w:eastAsia="Arial" w:hAnsi="Arial"/>
          <w:color w:val="1C1C1C"/>
          <w:sz w:val="20"/>
          <w:szCs w:val="20"/>
        </w:rPr>
        <w:t xml:space="preserve">ECG IMEDIATO — hiperkalemia de rebote pode causar TV/FV; monitorização cardíaca contínua</w:t>
      </w:r>
    </w:p>
    <w:p>
      <w:pPr>
        <w:pStyle w:val="ListParagraph"/>
        <w:numPr>
          <w:ilvl w:val="0"/>
          <w:numId w:val="2"/>
        </w:numPr>
        <w:spacing w:after="40" w:before="40"/>
      </w:pPr>
      <w:r>
        <w:rPr>
          <w:rFonts w:ascii="Arial" w:cs="Arial" w:eastAsia="Arial" w:hAnsi="Arial"/>
          <w:b/>
          <w:bCs/>
          <w:color w:val="1C1C1C"/>
          <w:sz w:val="20"/>
          <w:szCs w:val="20"/>
        </w:rPr>
        <w:t xml:space="preserve">4. </w:t>
      </w:r>
      <w:r>
        <w:rPr>
          <w:rFonts w:ascii="Arial" w:cs="Arial" w:eastAsia="Arial" w:hAnsi="Arial"/>
          <w:color w:val="1C1C1C"/>
          <w:sz w:val="20"/>
          <w:szCs w:val="20"/>
        </w:rPr>
        <w:t xml:space="preserve">Colher urgentemente: K⁺, gasometria, hemograma, LDH, bilirrubina, haptoglobina, Coombs direto</w:t>
      </w:r>
    </w:p>
    <w:p>
      <w:pPr>
        <w:pStyle w:val="ListParagraph"/>
        <w:numPr>
          <w:ilvl w:val="0"/>
          <w:numId w:val="2"/>
        </w:numPr>
        <w:spacing w:after="40" w:before="40"/>
      </w:pPr>
      <w:r>
        <w:rPr>
          <w:rFonts w:ascii="Arial" w:cs="Arial" w:eastAsia="Arial" w:hAnsi="Arial"/>
          <w:b/>
          <w:bCs/>
          <w:color w:val="1C1C1C"/>
          <w:sz w:val="20"/>
          <w:szCs w:val="20"/>
        </w:rPr>
        <w:t xml:space="preserve">5. </w:t>
      </w:r>
      <w:r>
        <w:rPr>
          <w:rFonts w:ascii="Arial" w:cs="Arial" w:eastAsia="Arial" w:hAnsi="Arial"/>
          <w:color w:val="1C1C1C"/>
          <w:sz w:val="20"/>
          <w:szCs w:val="20"/>
        </w:rPr>
        <w:t xml:space="preserve">Se K⁺ &gt; 6,0 mEq/L ou alterações no ECG: gluconato de Ca²⁺ 10% 20 mL IV + insulina regular 10 UI + glicose 50% 50 mL IV + bicarbonato de Na⁺ 8,4% 50 mL IV</w:t>
      </w:r>
    </w:p>
    <w:p>
      <w:pPr>
        <w:pStyle w:val="ListParagraph"/>
        <w:numPr>
          <w:ilvl w:val="0"/>
          <w:numId w:val="2"/>
        </w:numPr>
        <w:spacing w:after="40" w:before="40"/>
      </w:pPr>
      <w:r>
        <w:rPr>
          <w:rFonts w:ascii="Arial" w:cs="Arial" w:eastAsia="Arial" w:hAnsi="Arial"/>
          <w:b/>
          <w:bCs/>
          <w:color w:val="1C1C1C"/>
          <w:sz w:val="20"/>
          <w:szCs w:val="20"/>
        </w:rPr>
        <w:t xml:space="preserve">6. </w:t>
      </w:r>
      <w:r>
        <w:rPr>
          <w:rFonts w:ascii="Arial" w:cs="Arial" w:eastAsia="Arial" w:hAnsi="Arial"/>
          <w:color w:val="1C1C1C"/>
          <w:sz w:val="20"/>
          <w:szCs w:val="20"/>
        </w:rPr>
        <w:t xml:space="preserve">Se Hb &lt; 7 g/dL ou instabilidade hemodinâmica: hemotransfusão (concentrado de hemácias compatível)</w:t>
      </w:r>
    </w:p>
    <w:p>
      <w:pPr>
        <w:pStyle w:val="ListParagraph"/>
        <w:numPr>
          <w:ilvl w:val="0"/>
          <w:numId w:val="2"/>
        </w:numPr>
        <w:spacing w:after="40" w:before="40"/>
      </w:pPr>
      <w:r>
        <w:rPr>
          <w:rFonts w:ascii="Arial" w:cs="Arial" w:eastAsia="Arial" w:hAnsi="Arial"/>
          <w:b/>
          <w:bCs/>
          <w:color w:val="1C1C1C"/>
          <w:sz w:val="20"/>
          <w:szCs w:val="20"/>
        </w:rPr>
        <w:t xml:space="preserve">7. </w:t>
      </w:r>
      <w:r>
        <w:rPr>
          <w:rFonts w:ascii="Arial" w:cs="Arial" w:eastAsia="Arial" w:hAnsi="Arial"/>
          <w:color w:val="1C1C1C"/>
          <w:sz w:val="20"/>
          <w:szCs w:val="20"/>
        </w:rPr>
        <w:t xml:space="preserve">Nova sessão de HD de emergência pode ser necessária para tratar hiperkalemia refratária — com circuito novo e dialisato validado</w:t>
      </w:r>
    </w:p>
    <w:p>
      <w:pPr>
        <w:spacing w:after="80" w:before="80"/>
      </w:pPr>
      <w:r>
        <w:t xml:space="preserve"/>
      </w:r>
    </w:p>
    <w:p>
      <w:pPr>
        <w:pBdr>
          <w:left w:val="thick" w:color="B71C1C" w:sz="16"/>
        </w:pBdr>
        <w:shd w:fill="FDECEA" w:val="clear"/>
        <w:spacing w:after="100" w:before="100"/>
        <w:ind w:left="360" w:right="360"/>
      </w:pPr>
      <w:r>
        <w:rPr>
          <w:b/>
          <w:bCs/>
          <w:color w:val="B71C1C"/>
          <w:sz w:val="20"/>
          <w:szCs w:val="20"/>
        </w:rPr>
        <w:t xml:space="preserve">🔴 </w:t>
      </w:r>
      <w:r>
        <w:rPr>
          <w:rFonts w:ascii="Arial" w:cs="Arial" w:eastAsia="Arial" w:hAnsi="Arial"/>
          <w:b/>
          <w:bCs/>
          <w:color w:val="B71C1C"/>
          <w:sz w:val="20"/>
          <w:szCs w:val="20"/>
        </w:rPr>
        <w:t xml:space="preserve">Hemólise = Hiperkalemia de Rebote Potencialmente Fatal. Toda a carga de K⁺ intracelular (140 mEq/L intracelular) dos eritrócitos lisados é liberada subitamente no plasma. Em um adulto com hemólise de 200 mL de sangue, a carga de K⁺ liberada pode ser suficiente para causar PCR. ECG imediato é inegociável.</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9. OUTRAS COMPLICAÇÕES NO PACIENTE AGUDO</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9.1 Câimbras Musculares</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Câimbras ocorrem em 5–20% das sessões, predominantemente no último terço da diálise, quando a UF se aproxima do peso seco e a hipovolemia relativa se instala. No paciente agudo, estão frequentemente associadas à hipotensão e à hipo-osmolaridade relativa.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Causa</w:t>
            </w:r>
          </w:p>
        </w:tc>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Mecanismo</w:t>
            </w:r>
          </w:p>
        </w:tc>
        <w:tc>
          <w:tcPr>
            <w:tcW w:type="dxa" w:w="4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Manejo / Prevenção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HID associada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Isquemia muscular relativa por baixo fluxo</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Tratar HID (SF 0,9% + pausar UF) — câimbra resolve com melhora pressórica</w:t>
            </w:r>
          </w:p>
        </w:tc>
      </w:tr>
      <w:tr>
        <w:tc>
          <w:tcPr>
            <w:tcW w:type="dxa" w:w="2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Hiponatremia relativa pós-UF</w:t>
            </w:r>
          </w:p>
        </w:tc>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Edema intracelular muscular osmótico</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SF 0,9% 100–200 mL IV; SF hipertônica 3% 100 mL se Na⁺ &lt; 132; Na⁺ dialisato 145 mEq/L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Hipocalcemia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Hiperexcitabilidade da junção neuromuscular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Gluconato de Ca²⁺ 10% 10–20 mL IV lento; ajustar Ca²⁺ dialisato para 2,5–3,0 mEq/L</w:t>
            </w:r>
          </w:p>
        </w:tc>
      </w:tr>
      <w:tr>
        <w:tc>
          <w:tcPr>
            <w:tcW w:type="dxa" w:w="24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Superultrafiltração</w:t>
            </w:r>
          </w:p>
        </w:tc>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Depleção do volume intersticial muscular</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Reduzir meta de UF; reavaliar peso seco; fracionar em 2 sessões se necessário</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9.2 Hipoglicemia Intradialítica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Aspecto</w:t>
            </w:r>
          </w:p>
        </w:tc>
        <w:tc>
          <w:tcPr>
            <w:tcW w:type="dxa" w:w="65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Conteúdo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Fatores de risco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Paciente crítico em jejum prolongado + insulinoterapia intensiva + dialisato sem glicose + insuficiência adrenal relativa da sepse</w:t>
            </w:r>
          </w:p>
        </w:tc>
      </w:tr>
      <w:tr>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Prevenção</w:t>
            </w:r>
          </w:p>
        </w:tc>
        <w:tc>
          <w:tcPr>
            <w:tcW w:type="dxa" w:w="6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Usar dialisato com glicose 100–200 mg/dL (padrão na maioria das máquinas modernas); monitorar HGT a cada 1h em TCRR e a cada 2h em IHD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Manejo</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HGT &lt; 70 mg/dL: glicose 50% 20–40 mL IV; HGT &lt; 50 mg/dL refratária: avaliar interrupção temporária da sessão; ajustar insulina basal e bolos</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9.3 Hipotermia — Específica da TCRR</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TCRR expõe continuamente grandes volumes de sangue ao circuito extracorpóreo, resultando em perda de calor de 0,3–0,5°C/hora. Em sessões de 24h, o paciente pode resfriar 5–10°C sem aquecimento ativo — com risco de arritmias, coagulopatia e disfunção imune.</w:t>
      </w:r>
    </w:p>
    <w:p>
      <w:pPr>
        <w:spacing w:after="80" w:before="80"/>
      </w:pPr>
      <w:r>
        <w:t xml:space="preserve"/>
      </w:r>
    </w:p>
    <w:p>
      <w:pPr>
        <w:pStyle w:val="ListParagraph"/>
        <w:numPr>
          <w:ilvl w:val="0"/>
          <w:numId w:val="2"/>
        </w:numPr>
        <w:spacing w:after="40" w:before="40"/>
      </w:pPr>
      <w:r>
        <w:rPr>
          <w:rFonts w:ascii="Arial" w:cs="Arial" w:eastAsia="Arial" w:hAnsi="Arial"/>
          <w:b/>
          <w:bCs/>
          <w:color w:val="1C1C1C"/>
          <w:sz w:val="20"/>
          <w:szCs w:val="20"/>
        </w:rPr>
        <w:t xml:space="preserve">Riscos: </w:t>
      </w:r>
      <w:r>
        <w:rPr>
          <w:rFonts w:ascii="Arial" w:cs="Arial" w:eastAsia="Arial" w:hAnsi="Arial"/>
          <w:color w:val="1C1C1C"/>
          <w:sz w:val="20"/>
          <w:szCs w:val="20"/>
        </w:rPr>
        <w:t xml:space="preserve">Arritmias (FA, ESV, FV abaixo de 32°C), coagulopatia por disfunção enzimática, disfunção imune celular e humoral, vasoconstrição periférica mascarando hipovolemia</w:t>
      </w:r>
    </w:p>
    <w:p>
      <w:pPr>
        <w:pStyle w:val="ListParagraph"/>
        <w:numPr>
          <w:ilvl w:val="0"/>
          <w:numId w:val="2"/>
        </w:numPr>
        <w:spacing w:after="40" w:before="40"/>
      </w:pPr>
      <w:r>
        <w:rPr>
          <w:rFonts w:ascii="Arial" w:cs="Arial" w:eastAsia="Arial" w:hAnsi="Arial"/>
          <w:b/>
          <w:bCs/>
          <w:color w:val="1C1C1C"/>
          <w:sz w:val="20"/>
          <w:szCs w:val="20"/>
        </w:rPr>
        <w:t xml:space="preserve">Prevenção: </w:t>
      </w:r>
      <w:r>
        <w:rPr>
          <w:rFonts w:ascii="Arial" w:cs="Arial" w:eastAsia="Arial" w:hAnsi="Arial"/>
          <w:color w:val="1C1C1C"/>
          <w:sz w:val="20"/>
          <w:szCs w:val="20"/>
        </w:rPr>
        <w:t xml:space="preserve">Aquecimento obrigatório das soluções de reposição (40–42°C); temperatura do dialisato 37–38°C; mantas térmicas; alvo Tcore 36,5–37,5°C</w:t>
      </w:r>
    </w:p>
    <w:p>
      <w:pPr>
        <w:pStyle w:val="ListParagraph"/>
        <w:numPr>
          <w:ilvl w:val="0"/>
          <w:numId w:val="2"/>
        </w:numPr>
        <w:spacing w:after="40" w:before="40"/>
      </w:pPr>
      <w:r>
        <w:rPr>
          <w:rFonts w:ascii="Arial" w:cs="Arial" w:eastAsia="Arial" w:hAnsi="Arial"/>
          <w:b/>
          <w:bCs/>
          <w:color w:val="1C1C1C"/>
          <w:sz w:val="20"/>
          <w:szCs w:val="20"/>
        </w:rPr>
        <w:t xml:space="preserve">Uso terapêutico: </w:t>
      </w:r>
      <w:r>
        <w:rPr>
          <w:rFonts w:ascii="Arial" w:cs="Arial" w:eastAsia="Arial" w:hAnsi="Arial"/>
          <w:color w:val="1C1C1C"/>
          <w:sz w:val="20"/>
          <w:szCs w:val="20"/>
        </w:rPr>
        <w:t xml:space="preserve">Em pacientes com hipertermia refratária por sepse grave, a TCRR sem aquecimento pode ser usada intencionalmente como antipirético — reduzir para 36°C máximo</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9.4 Perda de Nutrientes e Medicamentos pela TSR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Nutriente / Medicamento</w:t>
            </w:r>
          </w:p>
        </w:tc>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Perda pela TSR</w:t>
            </w:r>
          </w:p>
        </w:tc>
        <w:tc>
          <w:tcPr>
            <w:tcW w:type="dxa" w:w="39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Conduta de Reposição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Aminoácidos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5–15 g/sessão IHD; 10–20 g/dia TCRR</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Aumentar aporte proteico para 1,5–2,0 g/kg/dia; suplemento de aminoácidos essenciais se necessário</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Vitaminas hidrossolúveis</w:t>
            </w:r>
          </w:p>
        </w:tc>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B1 (tiamina), B6, B12, C, folato — alta perda</w:t>
            </w:r>
          </w:p>
        </w:tc>
        <w:tc>
          <w:tcPr>
            <w:tcW w:type="dxa" w:w="39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Repor diariamente em TSR prolongada; tiamina especialmente importante (risco de Wernicke)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Fósforo</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Hipofosfatemia frequente em TCRR &gt; 48h</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Monitorar P sérico a cada 12h; repor fosfato de sódio/potássio IV conforme protocolo</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Antibióticos dializáveis</w:t>
            </w:r>
          </w:p>
        </w:tc>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Meropenem, pip/tazo, cefepime, fluconazol</w:t>
            </w:r>
          </w:p>
        </w:tc>
        <w:tc>
          <w:tcPr>
            <w:tcW w:type="dxa" w:w="39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Doses adicionais pós-sessão IHD; ajuste de intervalo em TCRR (ver tabela de ajuste renal)</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Vitamina D ativa</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Moderada (lipossolúvel — menor perda)</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Monitorar 25-OH-vitamina D; repor calcitriol se déficit documentado</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Magnésio</w:t>
            </w:r>
          </w:p>
        </w:tc>
        <w:tc>
          <w:tcPr>
            <w:tcW w:type="dxa" w:w="28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Hipomagnesemia frequente em TCRR longa</w:t>
            </w:r>
          </w:p>
        </w:tc>
        <w:tc>
          <w:tcPr>
            <w:tcW w:type="dxa" w:w="39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Monitorar Mg²⁺ a cada 24h em TCRR; repor MgSO₄ 2–4 g IV se &lt; 1,5 mg/dL</w:t>
            </w:r>
          </w:p>
        </w:tc>
      </w:tr>
    </w:tbl>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10. TABELA-RESUMO: TODAS AS COMPLICAÇÕES NO PACIENTE AGUDO</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500"/>
        <w:gridCol w:w="2700"/>
        <w:gridCol w:w="18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Complicação</w:t>
            </w:r>
          </w:p>
        </w:tc>
        <w:tc>
          <w:tcPr>
            <w:tcW w:type="dxa" w:w="11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Frequência</w:t>
            </w:r>
          </w:p>
        </w:tc>
        <w:tc>
          <w:tcPr>
            <w:tcW w:type="dxa" w:w="25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Principal Sinal de Alerta</w:t>
            </w:r>
          </w:p>
        </w:tc>
        <w:tc>
          <w:tcPr>
            <w:tcW w:type="dxa" w:w="2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Conduta de 1ª Linha</w:t>
            </w:r>
          </w:p>
        </w:tc>
        <w:tc>
          <w:tcPr>
            <w:tcW w:type="dxa" w:w="18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Interromper Sessão?</w:t>
            </w:r>
          </w:p>
        </w:tc>
      </w:tr>
      <w:tr>
        <w:tc>
          <w:tcPr>
            <w:tcW w:type="dxa" w:w="22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Hipotensão Intradialítica</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20–30%</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PAM ↓ ≥ 10 mmHg; taquicardia reflexa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Pausar UF + Trendelenburg + SF 0,9% bolus</w:t>
            </w:r>
          </w:p>
        </w:tc>
        <w:tc>
          <w:tcPr>
            <w:tcW w:type="dxa" w:w="1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refratária &gt; 15 min</w:t>
            </w:r>
          </w:p>
        </w:tc>
      </w:tr>
      <w:tr>
        <w:tc>
          <w:tcPr>
            <w:tcW w:type="dxa" w:w="22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Arritmias Cardíacas</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3–10%</w:t>
            </w:r>
          </w:p>
        </w:tc>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Alteração no ECG monitor contínuo</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Corrigir K⁺ / Ca²⁺ / Mg²⁺ conforme causa</w:t>
            </w:r>
          </w:p>
        </w:tc>
        <w:tc>
          <w:tcPr>
            <w:tcW w:type="dxa" w:w="1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instabilidade HD grave</w:t>
            </w:r>
          </w:p>
        </w:tc>
      </w:tr>
      <w:tr>
        <w:tc>
          <w:tcPr>
            <w:tcW w:type="dxa" w:w="2200"/>
            <w:tcBorders>
              <w:top w:val="single" w:color="AAAAAA" w:sz="4"/>
              <w:left w:val="single" w:color="AAAAAA" w:sz="4"/>
              <w:bottom w:val="single" w:color="AAAAAA" w:sz="4"/>
              <w:right w:val="single" w:color="AAAAAA" w:sz="4"/>
            </w:tcBorders>
            <w:shd w:fill="FFF8E1" w:val="clear"/>
            <w:tcMar>
              <w:top w:type="dxa" w:w="80"/>
              <w:left w:type="dxa" w:w="140"/>
              <w:bottom w:type="dxa" w:w="80"/>
              <w:right w:type="dxa" w:w="140"/>
            </w:tcMar>
          </w:tcPr>
          <w:p>
            <w:pPr>
              <w:spacing w:after="40" w:before="40"/>
            </w:pPr>
            <w:r>
              <w:rPr>
                <w:rFonts w:ascii="Arial" w:cs="Arial" w:eastAsia="Arial" w:hAnsi="Arial"/>
                <w:b/>
                <w:bCs/>
                <w:color w:val="7B5600"/>
                <w:sz w:val="18"/>
                <w:szCs w:val="18"/>
              </w:rPr>
              <w:t xml:space="preserve">Câimbras</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5–20%</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Dor muscular intensa + hipotensão assoc.</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SF 0,9% 200 mL + reduzir UF</w:t>
            </w:r>
          </w:p>
        </w:tc>
        <w:tc>
          <w:tcPr>
            <w:tcW w:type="dxa" w:w="1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Raramente necessário</w:t>
            </w:r>
          </w:p>
        </w:tc>
      </w:tr>
      <w:tr>
        <w:tc>
          <w:tcPr>
            <w:tcW w:type="dxa" w:w="22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Sínd. Desequilíbrio</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&lt; 5%</w:t>
            </w:r>
          </w:p>
        </w:tc>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Cefaleia + agitação → confusão → convulsão</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Manitol 20% + reduzir Qb para 150 mL/min</w:t>
            </w:r>
          </w:p>
        </w:tc>
        <w:tc>
          <w:tcPr>
            <w:tcW w:type="dxa" w:w="1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moderado/grave: SIM</w:t>
            </w:r>
          </w:p>
        </w:tc>
      </w:tr>
      <w:tr>
        <w:tc>
          <w:tcPr>
            <w:tcW w:type="dxa" w:w="22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Reação Tipo A (Anafilática)</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&lt; 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Prurido + broncoespasmo nos 1ºs 5 min</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PARAR + adrenalina 0,5 mg IM imediato</w:t>
            </w:r>
          </w:p>
        </w:tc>
        <w:tc>
          <w:tcPr>
            <w:tcW w:type="dxa" w:w="1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SIM — imediato, não retornar sangue</w:t>
            </w:r>
          </w:p>
        </w:tc>
      </w:tr>
      <w:tr>
        <w:tc>
          <w:tcPr>
            <w:tcW w:type="dxa" w:w="22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Embolia Gasosa</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Rara</w:t>
            </w:r>
          </w:p>
        </w:tc>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Colapso súbito + cianose + dispneia</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Clampar linha + decúbito lat. esq. + O₂ 100%</w:t>
            </w:r>
          </w:p>
        </w:tc>
        <w:tc>
          <w:tcPr>
            <w:tcW w:type="dxa" w:w="1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SIM — imediato</w:t>
            </w:r>
          </w:p>
        </w:tc>
      </w:tr>
      <w:tr>
        <w:tc>
          <w:tcPr>
            <w:tcW w:type="dxa" w:w="22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Hemólise</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Rara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Sangue "vinho rosé" no circuito venoso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PARAR + não retornar sangue + ECG imediato</w:t>
            </w:r>
          </w:p>
        </w:tc>
        <w:tc>
          <w:tcPr>
            <w:tcW w:type="dxa" w:w="1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SIM — imediato</w:t>
            </w:r>
          </w:p>
        </w:tc>
      </w:tr>
      <w:tr>
        <w:tc>
          <w:tcPr>
            <w:tcW w:type="dxa" w:w="2200"/>
            <w:tcBorders>
              <w:top w:val="single" w:color="AAAAAA" w:sz="4"/>
              <w:left w:val="single" w:color="AAAAAA" w:sz="4"/>
              <w:bottom w:val="single" w:color="AAAAAA" w:sz="4"/>
              <w:right w:val="single" w:color="AAAAAA" w:sz="4"/>
            </w:tcBorders>
            <w:shd w:fill="FFF8E1" w:val="clear"/>
            <w:tcMar>
              <w:top w:type="dxa" w:w="80"/>
              <w:left w:type="dxa" w:w="140"/>
              <w:bottom w:type="dxa" w:w="80"/>
              <w:right w:type="dxa" w:w="140"/>
            </w:tcMar>
          </w:tcPr>
          <w:p>
            <w:pPr>
              <w:spacing w:after="40" w:before="40"/>
            </w:pPr>
            <w:r>
              <w:rPr>
                <w:rFonts w:ascii="Arial" w:cs="Arial" w:eastAsia="Arial" w:hAnsi="Arial"/>
                <w:b/>
                <w:bCs/>
                <w:color w:val="7B5600"/>
                <w:sz w:val="18"/>
                <w:szCs w:val="18"/>
              </w:rPr>
              <w:t xml:space="preserve">Sangramento / Anticoag.</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3–5%</w:t>
            </w:r>
          </w:p>
        </w:tc>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Hb em queda + instabilidade hemodinâmica</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Protamina (HNF) ou suspender citrato</w:t>
            </w:r>
          </w:p>
        </w:tc>
        <w:tc>
          <w:tcPr>
            <w:tcW w:type="dxa" w:w="1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sangramento com risco de vida</w:t>
            </w:r>
          </w:p>
        </w:tc>
      </w:tr>
      <w:tr>
        <w:tc>
          <w:tcPr>
            <w:tcW w:type="dxa" w:w="2200"/>
            <w:tcBorders>
              <w:top w:val="single" w:color="AAAAAA" w:sz="4"/>
              <w:left w:val="single" w:color="AAAAAA" w:sz="4"/>
              <w:bottom w:val="single" w:color="AAAAAA" w:sz="4"/>
              <w:right w:val="single" w:color="AAAAAA" w:sz="4"/>
            </w:tcBorders>
            <w:shd w:fill="FFF8E1" w:val="clear"/>
            <w:tcMar>
              <w:top w:type="dxa" w:w="80"/>
              <w:left w:type="dxa" w:w="140"/>
              <w:bottom w:type="dxa" w:w="80"/>
              <w:right w:type="dxa" w:w="140"/>
            </w:tcMar>
          </w:tcPr>
          <w:p>
            <w:pPr>
              <w:spacing w:after="40" w:before="40"/>
            </w:pPr>
            <w:r>
              <w:rPr>
                <w:rFonts w:ascii="Arial" w:cs="Arial" w:eastAsia="Arial" w:hAnsi="Arial"/>
                <w:b/>
                <w:bCs/>
                <w:color w:val="7B5600"/>
                <w:sz w:val="18"/>
                <w:szCs w:val="18"/>
              </w:rPr>
              <w:t xml:space="preserve">Hipoglicemia</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Variável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HGT &lt; 70 mg/dL em monitorização horária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Glicose 50% 20–40 mL IV</w:t>
            </w:r>
          </w:p>
        </w:tc>
        <w:tc>
          <w:tcPr>
            <w:tcW w:type="dxa" w:w="1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Se &lt; 50 mg/dL refratária</w:t>
            </w:r>
          </w:p>
        </w:tc>
      </w:tr>
      <w:tr>
        <w:tc>
          <w:tcPr>
            <w:tcW w:type="dxa" w:w="2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bCs/>
                <w:color w:val="555555"/>
                <w:sz w:val="18"/>
                <w:szCs w:val="18"/>
              </w:rPr>
              <w:t xml:space="preserve">Hipotermia (TCRR)</w:t>
            </w:r>
          </w:p>
        </w:tc>
        <w:tc>
          <w:tcPr>
            <w:tcW w:type="dxa" w:w="11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Frequente</w:t>
            </w:r>
          </w:p>
        </w:tc>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Tcore &lt; 35,5°C em TCRR prolongada</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Aquecer fluidos; temperatura dialisato ↑38°C</w:t>
            </w:r>
          </w:p>
        </w:tc>
        <w:tc>
          <w:tcPr>
            <w:tcW w:type="dxa" w:w="18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Não — ajustar aquecimento</w:t>
            </w:r>
          </w:p>
        </w:tc>
      </w:tr>
      <w:tr>
        <w:tc>
          <w:tcPr>
            <w:tcW w:type="dxa" w:w="2200"/>
            <w:tcBorders>
              <w:top w:val="single" w:color="AAAAAA" w:sz="4"/>
              <w:left w:val="single" w:color="AAAAAA" w:sz="4"/>
              <w:bottom w:val="single" w:color="AAAAAA" w:sz="4"/>
              <w:right w:val="single" w:color="AAAAAA" w:sz="4"/>
            </w:tcBorders>
            <w:shd w:fill="FFF8E1" w:val="clear"/>
            <w:tcMar>
              <w:top w:type="dxa" w:w="80"/>
              <w:left w:type="dxa" w:w="140"/>
              <w:bottom w:type="dxa" w:w="80"/>
              <w:right w:type="dxa" w:w="140"/>
            </w:tcMar>
          </w:tcPr>
          <w:p>
            <w:pPr>
              <w:spacing w:after="40" w:before="40"/>
            </w:pPr>
            <w:r>
              <w:rPr>
                <w:rFonts w:ascii="Arial" w:cs="Arial" w:eastAsia="Arial" w:hAnsi="Arial"/>
                <w:b/>
                <w:bCs/>
                <w:color w:val="7B5600"/>
                <w:sz w:val="18"/>
                <w:szCs w:val="18"/>
              </w:rPr>
              <w:t xml:space="preserve">Reação Tipo B (Dialisador)</w:t>
            </w:r>
          </w:p>
        </w:tc>
        <w:tc>
          <w:tcPr>
            <w:tcW w:type="dxa" w:w="11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Dor torácica/lombar após 30–60 min</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Reduzir Qb; O₂ suplementar; observar</w:t>
            </w:r>
          </w:p>
        </w:tc>
        <w:tc>
          <w:tcPr>
            <w:tcW w:type="dxa" w:w="1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Raramente — só se progressão</w:t>
            </w:r>
          </w:p>
        </w:tc>
      </w:tr>
    </w:tbl>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11. CRITÉRIOS DE INTERRUPÇÃO DA SESSÃO</w:t>
      </w:r>
    </w:p>
    <w:p>
      <w:pPr>
        <w:spacing w:after="80" w:before="80"/>
      </w:pPr>
      <w:r>
        <w:t xml:space="preserve"/>
      </w:r>
    </w:p>
    <w:p>
      <w:pPr>
        <w:spacing w:after="60" w:before="60"/>
        <w:jc w:val="both"/>
      </w:pPr>
      <w:r>
        <w:rPr>
          <w:rFonts w:ascii="Arial" w:cs="Arial" w:eastAsia="Arial" w:hAnsi="Arial"/>
          <w:b w:val="false"/>
          <w:bCs w:val="false"/>
          <w:color w:val="1C1C1C"/>
          <w:sz w:val="20"/>
          <w:szCs w:val="20"/>
        </w:rPr>
        <w:t xml:space="preserve">A decisão de interromper uma sessão de TSR deve ser rápida e baseada em critérios claros. Interromper a sessão NÃO significa abandonar a TSR — significa replanejar a modalidade, a anticoagulação e o timing para a próxima sessão com maior segurança.</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11.1 Critérios de Interrupção IMEDIATA — Absolutos (Sem Margem para Observação)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Situação</w:t>
            </w:r>
          </w:p>
        </w:tc>
        <w:tc>
          <w:tcPr>
            <w:tcW w:type="dxa" w:w="3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Por que é Absoluto</w:t>
            </w:r>
          </w:p>
        </w:tc>
        <w:tc>
          <w:tcPr>
            <w:tcW w:type="dxa" w:w="33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Ação Pós-Parada</w:t>
            </w:r>
          </w:p>
        </w:tc>
      </w:tr>
      <w:tr>
        <w:tc>
          <w:tcPr>
            <w:tcW w:type="dxa" w:w="28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Reação anafilática Tipo A</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PCR em minutos se não interrompido; alérgeno no circuito</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Adrenalina 0,5 mg IM; suporte avançado; acesso IV para fluidos; corticoide IV</w:t>
            </w:r>
          </w:p>
        </w:tc>
      </w:tr>
      <w:tr>
        <w:tc>
          <w:tcPr>
            <w:tcW w:type="dxa" w:w="28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Embolia gasosa confirmada</w:t>
            </w:r>
          </w:p>
        </w:tc>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Obstrução do trato de saída do VD; pode causar PCR obstrutivo</w:t>
            </w:r>
          </w:p>
        </w:tc>
        <w:tc>
          <w:tcPr>
            <w:tcW w:type="dxa" w:w="33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Clampar linha; decúbito lat. esq. + Trendelenburg; O₂ 100%; suporte hemodinâmico</w:t>
            </w:r>
          </w:p>
        </w:tc>
      </w:tr>
      <w:tr>
        <w:tc>
          <w:tcPr>
            <w:tcW w:type="dxa" w:w="28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Hemólise maciça</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Hiperkalemia letal por K⁺ intracelular liberado</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Não retornar sangue; ECG imediato; tratar hiperkalemia; nova HD de urgência</w:t>
            </w:r>
          </w:p>
        </w:tc>
      </w:tr>
      <w:tr>
        <w:tc>
          <w:tcPr>
            <w:tcW w:type="dxa" w:w="28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PCR durante a sessão</w:t>
            </w:r>
          </w:p>
        </w:tc>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Circuito extracorpóreo impede compressões torácicas eficazes</w:t>
            </w:r>
          </w:p>
        </w:tc>
        <w:tc>
          <w:tcPr>
            <w:tcW w:type="dxa" w:w="33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Tentar retornar sangue ao paciente; desconectar circuito; iniciar RCP imediato</w:t>
            </w:r>
          </w:p>
        </w:tc>
      </w:tr>
      <w:tr>
        <w:tc>
          <w:tcPr>
            <w:tcW w:type="dxa" w:w="2800"/>
            <w:tcBorders>
              <w:top w:val="single" w:color="AAAAAA" w:sz="4"/>
              <w:left w:val="single" w:color="AAAAAA" w:sz="4"/>
              <w:bottom w:val="single" w:color="AAAAAA" w:sz="4"/>
              <w:right w:val="single" w:color="AAAAAA" w:sz="4"/>
            </w:tcBorders>
            <w:shd w:fill="FDECEA" w:val="clear"/>
            <w:tcMar>
              <w:top w:type="dxa" w:w="80"/>
              <w:left w:type="dxa" w:w="140"/>
              <w:bottom w:type="dxa" w:w="80"/>
              <w:right w:type="dxa" w:w="140"/>
            </w:tcMar>
          </w:tcPr>
          <w:p>
            <w:pPr>
              <w:spacing w:after="40" w:before="40"/>
            </w:pPr>
            <w:r>
              <w:rPr>
                <w:rFonts w:ascii="Arial" w:cs="Arial" w:eastAsia="Arial" w:hAnsi="Arial"/>
                <w:b/>
                <w:bCs/>
                <w:color w:val="8B0000"/>
                <w:sz w:val="18"/>
                <w:szCs w:val="18"/>
              </w:rPr>
              <w:t xml:space="preserve">Sangramento com risco de vida (exsanguinação)</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Hipovolemia irreversível com anticoagulação ativa</w:t>
            </w:r>
          </w:p>
        </w:tc>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Clampar linhas; reverter anticoagulação (protamina); hemostasia cirúrgica se necessário</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11.2 Critérios de Interrupção RELATIVA — Clínico-Ponderada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Cenário Clínico</w:t>
            </w:r>
          </w:p>
        </w:tc>
        <w:tc>
          <w:tcPr>
            <w:tcW w:type="dxa" w:w="3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Limiar para Decisão</w:t>
            </w:r>
          </w:p>
        </w:tc>
        <w:tc>
          <w:tcPr>
            <w:tcW w:type="dxa" w:w="35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Alternativa e Próximo Passo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HID refratária a todas as medidas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PAM &lt; 65 mmHg após 15–20 min de conduta máxima (UF zero + SF + vasopressor)</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Interromper e trocar para TCRR ou SLED; retomar com dose menor de UF</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Arritmia maligna sustentada</w:t>
            </w:r>
          </w:p>
        </w:tc>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TV sustentada &gt; 30s ou FV; BAV 3° grau sintomático</w:t>
            </w:r>
          </w:p>
        </w:tc>
        <w:tc>
          <w:tcPr>
            <w:tcW w:type="dxa" w:w="3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Cardioversão/desfibrilação primeiro; retomar HD se estabilizar; trocar modalidade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Desequilíbrio neurológico grave</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Convulsão durante sessão; rebaixamento agudo de consciência; pupila assimétrica</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Interromper + manitol + TC crânio urgente + neurointensivismo</w:t>
            </w:r>
          </w:p>
        </w:tc>
      </w:tr>
      <w:tr>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Sangramento ativo com instabilidade</w:t>
            </w:r>
          </w:p>
        </w:tc>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Perda estimada &gt; 500 mL com queda de PAM; Hb em queda rápida</w:t>
            </w:r>
          </w:p>
        </w:tc>
        <w:tc>
          <w:tcPr>
            <w:tcW w:type="dxa" w:w="35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Reverter anticoagulação; controlar fonte; TSR sem anticoag. quando seguro</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Progressão de choque durante sessão</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Vasopressor dobra ou triplica durante a sessão sem causa identificável</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Interromper; reavaliar causa; TCRR quando estabilizar com vasopressor estável</w:t>
            </w:r>
          </w:p>
        </w:tc>
      </w:tr>
    </w:tbl>
    <w:p>
      <w:pPr>
        <w:spacing w:after="80" w:before="80"/>
      </w:pPr>
      <w:r>
        <w:t xml:space="preserve"/>
      </w:r>
    </w:p>
    <w:p>
      <w:pPr>
        <w:pBdr>
          <w:left w:val="thick" w:color="2C6FAC" w:sz="16"/>
        </w:pBdr>
        <w:shd w:fill="D6E8F7" w:val="clear"/>
        <w:spacing w:after="100" w:before="100"/>
        <w:ind w:left="360" w:right="360"/>
      </w:pPr>
      <w:r>
        <w:rPr>
          <w:b/>
          <w:bCs/>
          <w:color w:val="1A3A5C"/>
          <w:sz w:val="20"/>
          <w:szCs w:val="20"/>
        </w:rPr>
        <w:t xml:space="preserve">ℹ️ </w:t>
      </w:r>
      <w:r>
        <w:rPr>
          <w:rFonts w:ascii="Arial" w:cs="Arial" w:eastAsia="Arial" w:hAnsi="Arial"/>
          <w:b/>
          <w:bCs/>
          <w:color w:val="1A3A5C"/>
          <w:sz w:val="20"/>
          <w:szCs w:val="20"/>
        </w:rPr>
        <w:t xml:space="preserve">PRINCÍPIO FUNDAMENTAL: Interromper a SESSÃO não é falha — é medicina correta. A conduta ideal após interrupção é replanejar: (1) Mudar IHD para TCRR se instabilidade hemodinâmica; (2) Ajustar anticoagulação; (3) Reduzir meta de UF; (4) Sessar em momentos mais estáveis do dia. TCRR é sempre a saída segura para o paciente que não tolera IHD.</w:t>
      </w:r>
    </w:p>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12. AJUSTE DE PARÂMETROS DA DIÁLISE CONFORME A COMPLICAÇÃO</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600"/>
        <w:gridCol w:w="1700"/>
        <w:gridCol w:w="1700"/>
        <w:gridCol w:w="1760"/>
      </w:tblGrid>
      <w:tr>
        <w:trPr>
          <w:tblHeader/>
        </w:trPr>
        <w:tc>
          <w:tcPr>
            <w:tcW w:type="dxa" w:w="23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Complicação</w:t>
            </w:r>
          </w:p>
        </w:tc>
        <w:tc>
          <w:tcPr>
            <w:tcW w:type="dxa" w:w="13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Qb (mL/min)</w:t>
            </w:r>
          </w:p>
        </w:tc>
        <w:tc>
          <w:tcPr>
            <w:tcW w:type="dxa" w:w="1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Taxa de UF</w:t>
            </w:r>
          </w:p>
        </w:tc>
        <w:tc>
          <w:tcPr>
            <w:tcW w:type="dxa" w:w="1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Temp. Dialisato</w:t>
            </w:r>
          </w:p>
        </w:tc>
        <w:tc>
          <w:tcPr>
            <w:tcW w:type="dxa" w:w="1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K⁺ Dialisato</w:t>
            </w:r>
          </w:p>
        </w:tc>
        <w:tc>
          <w:tcPr>
            <w:tcW w:type="dxa" w:w="17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Modalidade Ideal</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HID recorrente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150–200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Zerar / ≤ 8 mL/kg/h</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35,0–35,5°C</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3–4 mEq/L (manter)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ou SLED</w:t>
            </w:r>
          </w:p>
        </w:tc>
      </w:tr>
      <w:tr>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Sínd. desequilíbrio dialítico</w:t>
            </w:r>
          </w:p>
        </w:tc>
        <w:tc>
          <w:tcPr>
            <w:tcW w:type="dxa" w:w="1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150–180</w:t>
            </w:r>
          </w:p>
        </w:tc>
        <w:tc>
          <w:tcPr>
            <w:tcW w:type="dxa" w:w="1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Mínima ou zerar</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Padrão (36–37°C)</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 (não alterar)</w:t>
            </w:r>
          </w:p>
        </w:tc>
        <w:tc>
          <w:tcPr>
            <w:tcW w:type="dxa" w:w="1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IHD sessões curtas (≤ 2h)</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Arritmia por hipocalemia</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Padrão</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3–4 mEq/L urgente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 com ajuste eletrólito</w:t>
            </w:r>
          </w:p>
        </w:tc>
      </w:tr>
      <w:tr>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Arritmia por hipocalcemia</w:t>
            </w:r>
          </w:p>
        </w:tc>
        <w:tc>
          <w:tcPr>
            <w:tcW w:type="dxa" w:w="1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Padrão</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Ajustar Ca²⁺ dialisato 2,5 mEq/L</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Hipotermia (TCRR)</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37,5–38°C</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 aquecimento fluidos</w:t>
            </w:r>
          </w:p>
        </w:tc>
      </w:tr>
      <w:tr>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Hipofosfatemia grave</w:t>
            </w:r>
          </w:p>
        </w:tc>
        <w:tc>
          <w:tcPr>
            <w:tcW w:type="dxa" w:w="1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Padrão</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Adicionar fosfato IV na reposição</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Hipoglicemia</w:t>
            </w:r>
          </w:p>
        </w:tc>
        <w:tc>
          <w:tcPr>
            <w:tcW w:type="dxa" w:w="1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Padrão</w:t>
            </w:r>
          </w:p>
        </w:tc>
        <w:tc>
          <w:tcPr>
            <w:tcW w:type="dxa" w:w="1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Dialisato com glicose 100–200 mg/dL</w:t>
            </w:r>
          </w:p>
        </w:tc>
      </w:tr>
      <w:tr>
        <w:tc>
          <w:tcPr>
            <w:tcW w:type="dxa" w:w="2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SDD leve a moderado</w:t>
            </w:r>
          </w:p>
        </w:tc>
        <w:tc>
          <w:tcPr>
            <w:tcW w:type="dxa" w:w="13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150</w:t>
            </w:r>
          </w:p>
        </w:tc>
        <w:tc>
          <w:tcPr>
            <w:tcW w:type="dxa" w:w="1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ou zerar</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Padrão</w:t>
            </w:r>
          </w:p>
        </w:tc>
        <w:tc>
          <w:tcPr>
            <w:tcW w:type="dxa" w:w="1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Manter</w:t>
            </w:r>
          </w:p>
        </w:tc>
        <w:tc>
          <w:tcPr>
            <w:tcW w:type="dxa" w:w="17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Encurtar sessão; manitol se necessário</w:t>
            </w:r>
          </w:p>
        </w:tc>
      </w:tr>
    </w:tbl>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13. PRESCRIÇÃO PRÁTICA DE TSR NA UTI</w:t>
      </w:r>
    </w:p>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13.1 Hemodiálise Intermitente (IHD) — Parâmetros Completos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Parâmetro</w:t>
            </w:r>
          </w:p>
        </w:tc>
        <w:tc>
          <w:tcPr>
            <w:tcW w:type="dxa" w:w="2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Valor Recomendado</w:t>
            </w:r>
          </w:p>
        </w:tc>
        <w:tc>
          <w:tcPr>
            <w:tcW w:type="dxa" w:w="4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Justificativa / Observação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Fluxo de sangue (Qb)</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250–350 mL/min (iniciar 200)</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Titular conforme tolerância hemodinâmica; reduzir se HID</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Fluxo do dialisato (Qd)</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500–800 mL/min (padrão: 500)</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Aumentar para 800 mL/min se meta de clearance não atingida</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Duração mínima</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3–4h por sessão</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Duração mínima para Kt/V ≥ 1,2; primeira sessão em uremia grave: ≤ 2h</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Dose (Kt/V)</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1,2 por sessão; alvo 1,4</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Medir Kt/V online ou pela fórmula de Daugirdas; monitorar adequação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Temperatura do dialisato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35,5–36,0°C</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Principal medida para prevenção de HID; tolerância aumenta com adaptação</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Membrana</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Sintética high-flux (polissulfona)</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Superior às membranas de celulose; biocompatível; menor ativação de complemento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Anticoagulação padrão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HNF: bolus 500 UI + 500 UI/h IV</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Alvo TCA 180–220s; monitorar a cada 1h; protamina em caso de sangramento</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Anticoagulação alternativa</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Citrato 4% 150 mL/h pré-filtro</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Preferido em alto risco hemorrágico; monitorar Ca²⁺ ionizado sistêmico 1h/1h</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Tampão do dialisato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Bicarbonato 35 mEq/L</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NUNCA usar acetato no paciente crítico — vasodilatação + hipotensão</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Cálcio no dialisato</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2,5–3,0 mEq/L</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Titular conforme Ca²⁺ ionizado sérico; 2,5 é padrão; 3,0 se hipocalcemia</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Potássio no dialisato</w:t>
            </w:r>
          </w:p>
        </w:tc>
        <w:tc>
          <w:tcPr>
            <w:tcW w:type="dxa" w:w="27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2,0–3,0 mEq/L</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Ajustar conforme K⁺ sérico pré-HD; nunca &lt; 1 mEq/L no crítico</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UF máxima segura</w:t>
            </w:r>
          </w:p>
        </w:tc>
        <w:tc>
          <w:tcPr>
            <w:tcW w:type="dxa" w:w="27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 13 mL/kg/h</w:t>
            </w:r>
          </w:p>
        </w:tc>
        <w:tc>
          <w:tcPr>
            <w:tcW w:type="dxa" w:w="4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NKF-KDOQI 2015; acima desse limiar: HID, isquemia miocárdica, AVC</w:t>
            </w:r>
          </w:p>
        </w:tc>
      </w:tr>
    </w:tbl>
    <w:p>
      <w:pPr>
        <w:spacing w:after="80" w:before="80"/>
      </w:pPr>
      <w:r>
        <w:t xml:space="preserve"/>
      </w:r>
    </w:p>
    <w:p>
      <w:pPr>
        <w:pStyle w:val="Heading2"/>
        <w:shd w:fill="2C6FAC" w:val="clear"/>
        <w:spacing w:after="120" w:before="160"/>
        <w:ind w:left="180"/>
      </w:pPr>
      <w:r>
        <w:rPr>
          <w:rFonts w:ascii="Arial" w:cs="Arial" w:eastAsia="Arial" w:hAnsi="Arial"/>
          <w:b/>
          <w:bCs/>
          <w:color w:val="FFFFFF"/>
          <w:sz w:val="24"/>
          <w:szCs w:val="24"/>
        </w:rPr>
        <w:t xml:space="preserve">13.2 TCRR (CRRT) — Parâmetros Completos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Parâmetro</w:t>
            </w:r>
          </w:p>
        </w:tc>
        <w:tc>
          <w:tcPr>
            <w:tcW w:type="dxa" w:w="2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Valor Alvo</w:t>
            </w:r>
          </w:p>
        </w:tc>
        <w:tc>
          <w:tcPr>
            <w:tcW w:type="dxa" w:w="42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Evidência / Detalhe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Dose de efluente</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20–25 mL/kg/h prescrito; ≥ 25 mL/kg/h entregue</w:t>
            </w:r>
          </w:p>
        </w:tc>
        <w:tc>
          <w:tcPr>
            <w:tcW w:type="dxa" w:w="4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ATN 2008 + RENAL 2009: doses &gt; 25 mL/kg/h NÃO reduzem mortalidade</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Fluxo de sangue (Qb)</w:t>
            </w:r>
          </w:p>
        </w:tc>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150–250 mL/min</w:t>
            </w:r>
          </w:p>
        </w:tc>
        <w:tc>
          <w:tcPr>
            <w:tcW w:type="dxa" w:w="42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Menor que IHD; menor impacto hemodinâmico</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Modalidade CVVHDF</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Pré-diluição 50% + pós-diluição 50%</w:t>
            </w:r>
          </w:p>
        </w:tc>
        <w:tc>
          <w:tcPr>
            <w:tcW w:type="dxa" w:w="4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Pré-diluição: menor coagulação do filtro; pós: maior eficiência de clearance</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Anticoagulação preferida</w:t>
            </w:r>
          </w:p>
        </w:tc>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Citrato regional (1ª escolha)</w:t>
            </w:r>
          </w:p>
        </w:tc>
        <w:tc>
          <w:tcPr>
            <w:tcW w:type="dxa" w:w="42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KDIGO 2012: citrato preferido em TCRR; menor sangramento; atenção: insuf. hepática</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Reposição de Ca²⁺</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Alvo Ca²⁺ ionizado sistêmico 1,1–1,3 mmol/L</w:t>
            </w:r>
          </w:p>
        </w:tc>
        <w:tc>
          <w:tcPr>
            <w:tcW w:type="dxa" w:w="4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Monitorar a cada 4–6h; ajustar infusão de CaCl₂ conforme resultado</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Temperatura de reposição</w:t>
            </w:r>
          </w:p>
        </w:tc>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37–38°C</w:t>
            </w:r>
          </w:p>
        </w:tc>
        <w:tc>
          <w:tcPr>
            <w:tcW w:type="dxa" w:w="42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Aquecer soluções de reposição para evitar hipotermia</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Monitorização TMP</w:t>
            </w:r>
          </w:p>
        </w:tc>
        <w:tc>
          <w:tcPr>
            <w:tcW w:type="dxa" w:w="2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&lt; 300 mmHg</w:t>
            </w:r>
          </w:p>
        </w:tc>
        <w:tc>
          <w:tcPr>
            <w:tcW w:type="dxa" w:w="42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TMP elevada = filtro coagulando; trocar circuito antes de perda total</w:t>
            </w:r>
          </w:p>
        </w:tc>
      </w:tr>
      <w:tr>
        <w:tc>
          <w:tcPr>
            <w:tcW w:type="dxa" w:w="25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Troca de circuito</w:t>
            </w:r>
          </w:p>
        </w:tc>
        <w:tc>
          <w:tcPr>
            <w:tcW w:type="dxa" w:w="26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 cada 24–72h ou quando TMP ≥ 300 mmHg</w:t>
            </w:r>
          </w:p>
        </w:tc>
        <w:tc>
          <w:tcPr>
            <w:tcW w:type="dxa" w:w="42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Tempo de vida do circuito depende da anticoagulação e do fluxo</w:t>
            </w:r>
          </w:p>
        </w:tc>
      </w:tr>
    </w:tbl>
    <w:p>
      <w:pPr>
        <w:spacing w:after="80" w:before="80"/>
      </w:pPr>
      <w:r>
        <w:t xml:space="preserve"/>
      </w:r>
    </w:p>
    <w:p>
      <w:pPr>
        <w:pStyle w:val="Heading1"/>
        <w:shd w:fill="1A3A5C" w:val="clear"/>
        <w:spacing w:after="140" w:before="220"/>
        <w:ind w:left="220"/>
      </w:pPr>
      <w:r>
        <w:rPr>
          <w:rFonts w:ascii="Arial" w:cs="Arial" w:eastAsia="Arial" w:hAnsi="Arial"/>
          <w:b/>
          <w:bCs/>
          <w:color w:val="FFFFFF"/>
          <w:sz w:val="28"/>
          <w:szCs w:val="28"/>
        </w:rPr>
        <w:t xml:space="preserve">14. REFERÊNCIAS DE ALTO IMPACTO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Estudo / Guideline</w:t>
            </w:r>
          </w:p>
        </w:tc>
        <w:tc>
          <w:tcPr>
            <w:tcW w:type="dxa" w:w="30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Conclusão Principal</w:t>
            </w:r>
          </w:p>
        </w:tc>
        <w:tc>
          <w:tcPr>
            <w:tcW w:type="dxa" w:w="3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40" w:before="40"/>
            </w:pPr>
            <w:r>
              <w:rPr>
                <w:rFonts w:ascii="Arial" w:cs="Arial" w:eastAsia="Arial" w:hAnsi="Arial"/>
                <w:b/>
                <w:bCs/>
                <w:color w:val="FFFFFF"/>
                <w:sz w:val="18"/>
                <w:szCs w:val="18"/>
              </w:rPr>
              <w:t xml:space="preserve">Impacto Clínico Prático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KDIGO AKI Guidelines 2012/2024 — Kidney Int Suppl</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Definição LRA, estadiamento, indicações de TSR</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Base de toda prática em TSR na UTI</w:t>
            </w:r>
          </w:p>
        </w:tc>
      </w:tr>
      <w:tr>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Palevsky et al. ATN Study — NEJM 2008</w:t>
            </w:r>
          </w:p>
        </w:tc>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IHD intensa vs convencional: mesma mortalidade</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Dose padrão IHD ≥ 1,4 Kt/V; não há benefício em doses maiores</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Bellomo et al. RENAL Trial — NEJM 2009</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40 vs 25 mL/kg/h: mesma mortalidade</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Confirmação da dose 20–25 mL/kg/h em TCRR</w:t>
            </w:r>
          </w:p>
        </w:tc>
      </w:tr>
      <w:tr>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Gaudry et al. AKIKI — NEJM 2016</w:t>
            </w:r>
          </w:p>
        </w:tc>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Watchful waiting = mesma mortalidade que início precoce; 49% do grupo deferido não precisou de TSR</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Aguardar critério absoluto antes de iniciar TSR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Barbar et al. IDEAL-ICU — NEJM 2018</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TSR deferida 72h = mesma mortalidade; 28% evitaram TSR</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Reforça estratégia de espera ativa na LRA</w:t>
            </w:r>
          </w:p>
        </w:tc>
      </w:tr>
      <w:tr>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STARRT-AKI — NEJM 2020</w:t>
            </w:r>
          </w:p>
        </w:tc>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TSR acelerada não reduz mortalidade vs padrão</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Não iniciar TSR por creatinina isolada</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Rhodes et al. Surviving Sepsis 2021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TCRR preferencial no choque séptico (recomendação fraca)</w:t>
            </w:r>
          </w:p>
        </w:tc>
        <w:tc>
          <w:tcPr>
            <w:tcW w:type="dxa" w:w="3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Evidência ainda limitada para preferência da TCRR</w:t>
            </w:r>
          </w:p>
        </w:tc>
      </w:tr>
      <w:tr>
        <w:tc>
          <w:tcPr>
            <w:tcW w:type="dxa" w:w="32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NKF-KDOQI 2015 — Am J Kidney Dis</w:t>
            </w:r>
          </w:p>
        </w:tc>
        <w:tc>
          <w:tcPr>
            <w:tcW w:type="dxa" w:w="300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UF ≤ 13 mL/kg/h para prevenção de HID e isquemia miocárdica</w:t>
            </w:r>
          </w:p>
        </w:tc>
        <w:tc>
          <w:tcPr>
            <w:tcW w:type="dxa" w:w="3160"/>
            <w:tcBorders>
              <w:top w:val="single" w:color="AAAAAA" w:sz="4"/>
              <w:left w:val="single" w:color="AAAAAA" w:sz="4"/>
              <w:bottom w:val="single" w:color="AAAAAA" w:sz="4"/>
              <w:right w:val="single" w:color="AAAAAA" w:sz="4"/>
            </w:tcBorders>
            <w:shd w:fill="F3F6FA" w:val="clear"/>
            <w:tcMar>
              <w:top w:type="dxa" w:w="80"/>
              <w:left w:type="dxa" w:w="140"/>
              <w:bottom w:type="dxa" w:w="80"/>
              <w:right w:type="dxa" w:w="140"/>
            </w:tcMar>
          </w:tcPr>
          <w:p>
            <w:pPr>
              <w:spacing w:after="40" w:before="40"/>
            </w:pPr>
            <w:r>
              <w:rPr>
                <w:rFonts w:ascii="Arial" w:cs="Arial" w:eastAsia="Arial" w:hAnsi="Arial"/>
                <w:b w:val="false"/>
                <w:bCs w:val="false"/>
                <w:color w:val="1C1C1C"/>
                <w:sz w:val="18"/>
                <w:szCs w:val="18"/>
              </w:rPr>
              <w:t xml:space="preserve">Limitação obrigatória da taxa de ultrafiltração</w:t>
            </w:r>
          </w:p>
        </w:tc>
      </w:tr>
    </w:tbl>
    <w:p>
      <w:pPr>
        <w:spacing w:after="80" w:before="80"/>
      </w:pPr>
      <w:r>
        <w:t xml:space="preserve"/>
      </w:r>
    </w:p>
    <w:p>
      <w:pPr>
        <w:shd w:fill="ECECEC" w:val="clear"/>
        <w:spacing w:after="140" w:before="140"/>
        <w:ind w:left="360" w:right="360"/>
        <w:jc w:val="center"/>
      </w:pPr>
      <w:r>
        <w:rPr>
          <w:rFonts w:ascii="Arial" w:cs="Arial" w:eastAsia="Arial" w:hAnsi="Arial"/>
          <w:color w:val="555555"/>
          <w:sz w:val="16"/>
          <w:szCs w:val="16"/>
        </w:rPr>
        <w:t xml:space="preserve">Documento de uso clínico-educacional. Decisões terapêuticas devem ser individualizadas conforme contexto clínico e julgamento do médico assistente responsável. As informações contidas neste documento não substituem protocolos institucionais vigentes. Atualização: 2025.</w:t>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C" w:sz="4"/>
      </w:pBdr>
      <w:spacing w:before="80"/>
    </w:pPr>
    <w:r>
      <w:rPr>
        <w:rFonts w:ascii="Arial" w:cs="Arial" w:eastAsia="Arial" w:hAnsi="Arial"/>
        <w:color w:val="888888"/>
        <w:sz w:val="16"/>
        <w:szCs w:val="16"/>
      </w:rPr>
      <w:t xml:space="preserve">Medicina Intensiva  •  Terapia de Substituição Renal  •  LRA em UTI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6"/>
      </w:pBdr>
      <w:spacing w:after="80"/>
      <w:jc w:val="right"/>
    </w:pPr>
    <w:r>
      <w:rPr>
        <w:rFonts w:ascii="Arial" w:cs="Arial" w:eastAsia="Arial" w:hAnsi="Arial"/>
        <w:b/>
        <w:bCs/>
        <w:color w:val="2C6FAC"/>
        <w:sz w:val="16"/>
        <w:szCs w:val="16"/>
      </w:rPr>
      <w:t xml:space="preserve">COMPLICAÇÕES INTRADIALÍTICAS — PACIENTE CRÍTICO / UTI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60" w:before="200"/>
      <w:outlineLvl w:val="1"/>
    </w:pPr>
    <w:rPr>
      <w:rFonts w:ascii="Arial" w:cs="Arial" w:eastAsia="Arial" w:hAnsi="Arial"/>
      <w:b/>
      <w:bCs/>
      <w:color w:val="FFFFFF"/>
      <w:sz w:val="24"/>
      <w:szCs w:val="24"/>
    </w:rPr>
  </w:style>
  <w:style w:type="paragraph" w:styleId="Heading3">
    <w:name w:val="Heading 3"/>
    <w:basedOn w:val="Normal"/>
    <w:next w:val="Normal"/>
    <w:qFormat/>
    <w:pPr>
      <w:spacing w:after="120" w:before="16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2026-05-26T05:08:13.686Z</dcterms:created>
  <dcterms:modified xsi:type="dcterms:W3CDTF">2026-05-26T05:08:13.697Z</dcterms:modified>
</cp:coreProperties>
</file>

<file path=docProps/custom.xml><?xml version="1.0" encoding="utf-8"?>
<Properties xmlns="http://schemas.openxmlformats.org/officeDocument/2006/custom-properties" xmlns:vt="http://schemas.openxmlformats.org/officeDocument/2006/docPropsVTypes"/>
</file>