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uia_clínico_de_emergência_mucorm_df6d6c"/>
      <w:r>
        <w:rPr>
          <w:rFonts w:eastAsia="georgia" w:cs="georgia" w:ascii="georgia" w:hAnsi="georgia"/>
          <w:b/>
          <w:color w:val="000000"/>
          <w:sz w:val="39"/>
        </w:rPr>
        <w:t xml:space="preserve">Guia clínico de emergência: mucormicose rino-órbito-cerebral com rebaixamento do nível de consciência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resumo_executivo_para_plantão"/>
      <w:r>
        <w:rPr>
          <w:rFonts w:eastAsia="georgia" w:cs="georgia" w:ascii="georgia" w:hAnsi="georgia"/>
          <w:b/>
          <w:color w:val="000000"/>
          <w:sz w:val="24"/>
        </w:rPr>
        <w:t xml:space="preserve">Resumo executivo para plantão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mucormicose rino-órbito-cerebral deve ser tratada como </w:t>
      </w:r>
      <w:r>
        <w:rPr>
          <w:rFonts w:eastAsia="georgia" w:cs="georgia" w:ascii="georgia" w:hAnsi="georgia"/>
          <w:b/>
          <w:color w:val="000000"/>
        </w:rPr>
        <w:t xml:space="preserve">emergência infecciosa, cirúrgica, neurológica e oftalmológica</w:t>
      </w:r>
      <w:r>
        <w:rPr>
          <w:rFonts w:eastAsia="georgia" w:cs="georgia" w:ascii="georgia" w:hAnsi="georgia"/>
          <w:color w:val="000000"/>
        </w:rPr>
        <w:t xml:space="preserve">, porque é uma infecção angioinvasiva agressiva, potencialmente fatal, em que o prognóstico depende da rapidez do diagnóstico e do tratamento (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WHO</w:t>
        </w:r>
      </w:hyperlink>
      <w:r>
        <w:rPr>
          <w:rFonts w:eastAsia="georgia" w:cs="georgia" w:ascii="georgia" w:hAnsi="georgia"/>
          <w:color w:val="000000"/>
        </w:rPr>
        <w:t xml:space="preserve">). A conduta segura é </w:t>
      </w:r>
      <w:r>
        <w:rPr>
          <w:rFonts w:eastAsia="georgia" w:cs="georgia" w:ascii="georgia" w:hAnsi="georgia"/>
          <w:b/>
          <w:color w:val="000000"/>
        </w:rPr>
        <w:t xml:space="preserve">não esperar cultura</w:t>
      </w:r>
      <w:r>
        <w:rPr>
          <w:rFonts w:eastAsia="georgia" w:cs="georgia" w:ascii="georgia" w:hAnsi="georgia"/>
          <w:color w:val="000000"/>
        </w:rPr>
        <w:t xml:space="preserve"> para iniciar terapia quando a suspeita clínica é alta, pois a OMS recomenda que o início do tratamento não aguarde resultado de cultura fúngica (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WHO</w:t>
        </w:r>
      </w:hyperlink>
      <w:r>
        <w:rPr>
          <w:rFonts w:eastAsia="georgia" w:cs="georgia" w:ascii="georgia" w:hAnsi="georgia"/>
          <w:color w:val="000000"/>
        </w:rPr>
        <w:t xml:space="preserve">). A diretriz global ECMM/MSG recomenda imagem apropriada ao suspeitar de mucormicose para documentar extensão da doença, seguida de intervenção cirúrgica fortemente recomendada (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tripé do manejo é </w:t>
      </w:r>
      <w:r>
        <w:rPr>
          <w:rFonts w:eastAsia="georgia" w:cs="georgia" w:ascii="georgia" w:hAnsi="georgia"/>
          <w:b/>
          <w:color w:val="000000"/>
        </w:rPr>
        <w:t xml:space="preserve">anfotericina B lipossomal precoce + desbridamento cirúrgico agressivo + reversão de fatores predisponentes</w:t>
      </w:r>
      <w:r>
        <w:rPr>
          <w:rFonts w:eastAsia="georgia" w:cs="georgia" w:ascii="georgia" w:hAnsi="georgia"/>
          <w:color w:val="000000"/>
        </w:rPr>
        <w:t xml:space="preserve">, especialmente hiperglicemia, cetoacidose, imunossupressão e uso de corticoides quando possível (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 Em pacientes graves, a anfotericina B permanece o tratamento de escolha, enquanto isavuconazol e posaconazol são alternativas ou opções de consolidação/resgate conforme disponibilidade, gravidade e avaliação de Infectologia (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Merck Manual Professional</w:t>
        </w:r>
      </w:hyperlink>
      <w:r>
        <w:rPr>
          <w:rFonts w:eastAsia="georgia" w:cs="georgia" w:ascii="georgia" w:hAnsi="georgia"/>
          <w:color w:val="000000"/>
        </w:rPr>
        <w:t xml:space="preserve">). Atraso terapêutico de 6 dias ou mais foi associado a aumento de duas vezes na mortalidade em 12 semanas em determinados pacientes, reforçando a lógica de tratar primeiro e refinar depois (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2" w:name="reconhecimento_e_triagem_imediata"/>
      <w:r>
        <w:rPr>
          <w:rFonts w:eastAsia="georgia" w:cs="georgia" w:ascii="georgia" w:hAnsi="georgia"/>
          <w:b/>
          <w:color w:val="000000"/>
          <w:sz w:val="24"/>
        </w:rPr>
        <w:t xml:space="preserve">Reconhecimento e triagem imediata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perfil_de_alto_risco"/>
      <w:r>
        <w:rPr>
          <w:rFonts w:eastAsia="georgia" w:cs="georgia" w:ascii="georgia" w:hAnsi="georgia"/>
          <w:b/>
          <w:color w:val="000000"/>
          <w:sz w:val="24"/>
        </w:rPr>
        <w:t xml:space="preserve">Perfil de alto risco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Suspeite fortemente se houver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Por que importa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Diabetes, especialmente cetoacidose diabética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Diabetes e cetoacidose são fatores de risco descritos para mucormicose, e a reversão de hiperglicemia/acidosis faz parte do manejo padrão (</w:t>
            </w: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Corticoide recente, imunossupressores, neoplasia hematológica, transplante, neutropenia, insuficiência renal ou deferoxamina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Esses fatores aparecem entre os principais contextos de risco, e o controle ou retirada de imunossupressão quando possível é parte central do tratamento (</w:t>
            </w: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COVID-19 recente ou grave com hiperglicemia/corticoide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 recomendações ECMM/ISHAM para mucormicose associada à COVID-19 destacam controle glicêmico, eliminação de corticoide/imunomodulador quando possível, desbridamento e antifúngico como padrões de cuidado (</w:t>
            </w: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sinais_clínicos_de_alarme"/>
      <w:r>
        <w:rPr>
          <w:rFonts w:eastAsia="georgia" w:cs="georgia" w:ascii="georgia" w:hAnsi="georgia"/>
          <w:b/>
          <w:color w:val="000000"/>
          <w:sz w:val="24"/>
        </w:rPr>
        <w:t xml:space="preserve">Sinais clínicos de alarme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Interpretação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Congestão nasal, secreção, dor facial, cefaleia nasofrontal, febre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forma rinocerebral pode iniciar com congestão/secreção nasal e evoluir com cefaleia, dor ocular, febre e sintomas orbitários (</w:t>
            </w: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Hipoestesia facial, dor orbitária, diplopia, quemose, visão turva, oftalmoplegia, proptose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progressão para órbita e estruturas contíguas é esperada na doença rino-órbito-cerebral, e a TC pode avaliar olhos e cérebro, embora a RM seja geralmente superior para tecido mole e extensão intracraniana (</w:t>
            </w: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Escara negra nasal/palatina, ulceração indolor com exsudato e necrose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Lesões intranasais podem ter ulcerações indolores com exsudato e tecido necrótico, e a presença de necrose deve disparar avaliação endoscópica e biópsia (</w:t>
            </w: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Rebaixamento do nível de consciência, convulsão, déficit focal, anisocoria, rigidez de nuca ou sinais de hipertensão intracraniana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extensão cerebral transforma o caso em emergência neuroinfecciosa, com necessidade de imagem urgente, UTI e acionamento de Neurologia/Neurocirurgia quando disponível (</w:t>
            </w:r>
            <w:hyperlink r:id="rId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sequência_operacional_na_sala_de_684112"/>
      <w:r>
        <w:rPr>
          <w:rFonts w:eastAsia="georgia" w:cs="georgia" w:ascii="georgia" w:hAnsi="georgia"/>
          <w:b/>
          <w:color w:val="000000"/>
          <w:sz w:val="24"/>
        </w:rPr>
        <w:t xml:space="preserve">Sequência operacional na sala de emergência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passo_zero_acionar_equipe_e_marca_1683f3"/>
      <w:r>
        <w:rPr>
          <w:rFonts w:eastAsia="georgia" w:cs="georgia" w:ascii="georgia" w:hAnsi="georgia"/>
          <w:b/>
          <w:color w:val="000000"/>
          <w:sz w:val="24"/>
        </w:rPr>
        <w:t xml:space="preserve">Passo zero: acionar equipe e marcar o caso como tempo-dependente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Ao reconhecer risco + sintomas nasossinusais/orbitários + alteração neurológica, acione simultaneamente </w:t>
      </w:r>
      <w:r>
        <w:rPr>
          <w:rFonts w:eastAsia="georgia" w:cs="georgia" w:ascii="georgia" w:hAnsi="georgia"/>
          <w:b/>
          <w:color w:val="000000"/>
        </w:rPr>
        <w:t xml:space="preserve">UTI, Infectologia, Otorrinolaringologia, Oftalmologia, Radiologia, Neurologia/Neurocirurgia e Anestesia</w:t>
      </w:r>
      <w:r>
        <w:rPr>
          <w:rFonts w:eastAsia="georgia" w:cs="georgia" w:ascii="georgia" w:hAnsi="georgia"/>
          <w:color w:val="000000"/>
        </w:rPr>
        <w:t xml:space="preserve">, porque as recomendações ECMM/ISHAM descrevem o manejo como esforço multidisciplinar envolvendo infectologista, microbiologista, cirurgião ORL, cirurgião maxilofacial, intensivista, oftalmologista, neurologista, patologista, radiologista e farmacologista (</w:t>
      </w:r>
      <w:hyperlink r:id="rId1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 A meta prática é obter imagem e material diagnóstico sem atrasar antifúngico e cirurgia, pois a diretriz ECMM/MSG afirma que intervenção médica e cirúrgica urgente é salvadora (</w:t>
      </w:r>
      <w:hyperlink r:id="rId1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7" w:name="passo_um_triagem_abcde"/>
      <w:r>
        <w:rPr>
          <w:rFonts w:eastAsia="georgia" w:cs="georgia" w:ascii="georgia" w:hAnsi="georgia"/>
          <w:b/>
          <w:color w:val="000000"/>
          <w:sz w:val="24"/>
        </w:rPr>
        <w:t xml:space="preserve">Passo um: triagem ABCDE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Domínio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 essencial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 fatal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A: via aérea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Avaliar proteção de via aérea, vômitos, secreção, sangramento nasal/oral, trismo, edema facial/orbitário e risco de aspiração.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Transferir para imagem sem via aérea segura em paciente com Glasgow baixo ou deterioração progressiva.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B: ventilação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Oxigênio, capnografia se disponível, gasometria quando instável ou suspeita de cetoacidose.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Sedar sem monitorização ventilatória e sem plano de intubação difícil.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C: circulação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Acesso venoso calibroso, cristaloide se choque, coleta laboratorial antes ou junto do antifúngico sem atrasar terapia.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Aguardar todos os exames antes de iniciar anfotericina quando a suspeita é alta.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D: neurológico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Glasgow por componentes, pupilas, déficit focal, crise convulsiva, glicemia capilar imediata e sinais de hipertensão intracraniana.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Registrar apenas “sonolento” sem E/V/M, pupilas e tendência temporal.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E: exposição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Procurar escara nasal/palatina, necrose de mucosa, edema orbitário, lesões cutâneas, sinais de sepse e desidratação.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examinar cavidade oral/nasal e perder necrose palatina ou nasal.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avaliação_neurológica_estruturada"/>
      <w:r>
        <w:rPr>
          <w:rFonts w:eastAsia="georgia" w:cs="georgia" w:ascii="georgia" w:hAnsi="georgia"/>
          <w:b/>
          <w:color w:val="000000"/>
          <w:sz w:val="24"/>
        </w:rPr>
        <w:t xml:space="preserve">Avaliação neurológica estruturada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Escala de Coma de Glasgow usa três componentes, </w:t>
      </w:r>
      <w:r>
        <w:rPr>
          <w:rFonts w:eastAsia="georgia" w:cs="georgia" w:ascii="georgia" w:hAnsi="georgia"/>
          <w:b/>
          <w:color w:val="000000"/>
        </w:rPr>
        <w:t xml:space="preserve">abertura ocular, resposta verbal e resposta motora</w:t>
      </w:r>
      <w:r>
        <w:rPr>
          <w:rFonts w:eastAsia="georgia" w:cs="georgia" w:ascii="georgia" w:hAnsi="georgia"/>
          <w:color w:val="000000"/>
        </w:rPr>
        <w:t xml:space="preserve">, e sua pontuação total varia de 3 a 15 (</w:t>
      </w:r>
      <w:hyperlink r:id="rId2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Glasgow Coma Scale</w:t>
        </w:r>
      </w:hyperlink>
      <w:r>
        <w:rPr>
          <w:rFonts w:eastAsia="georgia" w:cs="georgia" w:ascii="georgia" w:hAnsi="georgia"/>
          <w:color w:val="000000"/>
        </w:rPr>
        <w:t xml:space="preserve">). A escala deve ser usada para guiar decisões iniciais e monitorar tendências de responsividade que sinalizam necessidade de novas ações (</w:t>
      </w:r>
      <w:hyperlink r:id="rId2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Glasgow Coma Scale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Ocular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Espontânea, ao som, à pressão, nenhuma (</w:t>
            </w:r>
            <w:hyperlink r:id="rId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Glasgow Coma Scale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Verbal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Orientado, confuso, palavras, sons, nenhuma (</w:t>
            </w:r>
            <w:hyperlink r:id="rId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Glasgow Coma Scale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Motora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Obedece comandos, localiza, flexão normal, flexão anormal, extensão, nenhuma (</w:t>
            </w:r>
            <w:hyperlink r:id="rId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Glasgow Coma Scale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Registre sempre no formato </w:t>
      </w:r>
      <w:r>
        <w:rPr>
          <w:rFonts w:eastAsia="georgia" w:cs="georgia" w:ascii="georgia" w:hAnsi="georgia"/>
          <w:b/>
          <w:color w:val="000000"/>
        </w:rPr>
        <w:t xml:space="preserve">E__ V__ M__ = total</w:t>
      </w:r>
      <w:r>
        <w:rPr>
          <w:rFonts w:eastAsia="georgia" w:cs="georgia" w:ascii="georgia" w:hAnsi="georgia"/>
          <w:color w:val="000000"/>
        </w:rPr>
        <w:t xml:space="preserve">, associado a pupilas, lateralização, glicemia capilar, sedativos em uso e horário da avaliação, porque o site oficial da escala destaca que os componentes separados comunicam melhor o estado do paciente do que o total isolado (</w:t>
      </w:r>
      <w:hyperlink r:id="rId2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Glasgow Coma Scale FAQ</w:t>
        </w:r>
      </w:hyperlink>
      <w:r>
        <w:rPr>
          <w:rFonts w:eastAsia="georgia" w:cs="georgia" w:ascii="georgia" w:hAnsi="georgia"/>
          <w:color w:val="000000"/>
        </w:rPr>
        <w:t xml:space="preserve">). Se o paciente estiver intubado, registre a resposta verbal como </w:t>
      </w:r>
      <w:r>
        <w:rPr>
          <w:rFonts w:eastAsia="georgia" w:cs="georgia" w:ascii="georgia" w:hAnsi="georgia"/>
          <w:b/>
          <w:color w:val="000000"/>
        </w:rPr>
        <w:t xml:space="preserve">NT, não testável</w:t>
      </w:r>
      <w:r>
        <w:rPr>
          <w:rFonts w:eastAsia="georgia" w:cs="georgia" w:ascii="georgia" w:hAnsi="georgia"/>
          <w:color w:val="000000"/>
        </w:rPr>
        <w:t xml:space="preserve">, em vez de forçar pontuação verbal artificial (</w:t>
      </w:r>
      <w:hyperlink r:id="rId2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Glasgow Coma Scale FAQ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9" w:name="critérios_práticos_de_via_aérea_d_a8ce92"/>
      <w:r>
        <w:rPr>
          <w:rFonts w:eastAsia="georgia" w:cs="georgia" w:ascii="georgia" w:hAnsi="georgia"/>
          <w:b/>
          <w:color w:val="000000"/>
          <w:sz w:val="24"/>
        </w:rPr>
        <w:t xml:space="preserve">Critérios práticos de via aérea definitiva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Situação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Glasgow 8 ou menor, queda rápida do Glasgow, perda de reflexos protetores, vômitos/aspiração ou necessidade de transporte para imagem prolongada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Planejar intubação orotraqueal com equipe experiente, pré-oxigenação, capnografia e vasopressor pronto.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Edema facial/orbitário importante, trismo, necrose nasal/palatina, sangramento, deformidade ou suspeita de via aérea difícil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Anestesia/ORL precocemente e preparar plano A/B/C, incluindo videolaringoscopia e acesso cirúrgico se necessário.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Choque, acidose grave, cetoacidose, hipercalemia ou hipoxemia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Otimizar antes da indução quando possível, mas não atrasar via aérea se houver incapacidade de proteger via aérea.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exames_iniciais_que_não_devem_atr_3dfec0"/>
      <w:r>
        <w:rPr>
          <w:rFonts w:eastAsia="georgia" w:cs="georgia" w:ascii="georgia" w:hAnsi="georgia"/>
          <w:b/>
          <w:color w:val="000000"/>
          <w:sz w:val="24"/>
        </w:rPr>
        <w:t xml:space="preserve">Exames iniciais que não devem atrasar tratamento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 prático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Hemograma, creatinina, ureia, sódio, potássio, magnésio, cálcio, função hepática, gasometria, lactato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Estabelecer gravidade, toxicidade renal/eletrolítica basal e distúrbios que serão agravados por anfotericina.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Glicemia, cetonemia/cetonúria, gasometria e ânion gap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ECMM/ISHAM recomenda investigar glicose, gasometria para descartar acidose, eletrólitos e corpos cetônicos em pacientes graves no contexto de mucormicose associada à COVID-19, lógica aplicável à suspeita com diabetes/cetoacidose (</w:t>
            </w: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Hemoculturas se sepse, culturas bacterianas se secreção purulenta, mas não como condição para iniciar antifúngico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diagnóstico de mucormicose é principalmente tecidual, e culturas podem ser negativas mesmo com hifas visíveis no tecido (</w:t>
            </w: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Merck Manual Professional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Endoscopia nasal com biópsia de tecido necrótico, preferencialmente concha média quando factível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primeira intervenção diagnóstica na suspeita rinocerebral é avaliação endoscópica e biópsia dos seios, e a concha média é descrita como área de maior rendimento e acurácia (</w:t>
            </w: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Histopatologia com pesquisa de hifas, cultura fúngica e, se disponível, PCR/sequenciamento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diagnóstico requer demonstração direta de hifas grandes, não septadas, com diâmetro irregular e ramificação em ângulo reto em tecido, e PCR ou sequenciamento podem auxiliar quando disponíveis (</w:t>
            </w:r>
            <w:hyperlink r:id="rId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Merck Manual Professional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imagem_crucial"/>
      <w:r>
        <w:rPr>
          <w:rFonts w:eastAsia="georgia" w:cs="georgia" w:ascii="georgia" w:hAnsi="georgia"/>
          <w:b/>
          <w:color w:val="000000"/>
          <w:sz w:val="24"/>
        </w:rPr>
        <w:t xml:space="preserve">Imagem crucial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tc_de_crânio_órbitas_e_seios_da_face"/>
      <w:r>
        <w:rPr>
          <w:rFonts w:eastAsia="georgia" w:cs="georgia" w:ascii="georgia" w:hAnsi="georgia"/>
          <w:b/>
          <w:color w:val="000000"/>
          <w:sz w:val="24"/>
        </w:rPr>
        <w:t xml:space="preserve">TC de crânio, órbitas e seios da face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TC é útil para avaliação inicial rápida, planejamento cirúrgico, destruição óssea, sinusite, invasão orbitária e complicações intracranianas grosseiras, embora TC e radiografias possam subestimar ou não detectar destruição óssea significativa (</w:t>
      </w:r>
      <w:hyperlink r:id="rId3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Merck Manual Professional</w:t>
        </w:r>
      </w:hyperlink>
      <w:r>
        <w:rPr>
          <w:rFonts w:eastAsia="georgia" w:cs="georgia" w:ascii="georgia" w:hAnsi="georgia"/>
          <w:color w:val="000000"/>
        </w:rPr>
        <w:t xml:space="preserve">). Achados descritos em TC incluem edema de partes moles da mucosa, espessamento mucoperiosteal dos seios, erosões ósseas e invasão orbitária (</w:t>
      </w:r>
      <w:hyperlink r:id="rId3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StatPearls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3" w:name="rm_de_crânio_órbitas_e_seios_da_f_1d15da"/>
      <w:r>
        <w:rPr>
          <w:rFonts w:eastAsia="georgia" w:cs="georgia" w:ascii="georgia" w:hAnsi="georgia"/>
          <w:b/>
          <w:color w:val="000000"/>
          <w:sz w:val="24"/>
        </w:rPr>
        <w:t xml:space="preserve">RM de crânio, órbitas e seios da face com contraste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RM deve ser priorizada quando houver rebaixamento do nível de consciência, oftalmoplegia, déficit focal, suspeita de invasão do ápice orbitário, seio cavernoso, base do crânio, meningite, abscesso, infarto ou trombose vascular. A diretriz global recomenda imagem apropriada ao suspeitar de mucormicose para documentar a extensão da doença, e a escolha prática entre TC e RM deve considerar estabilidade, disponibilidade e necessidade de avaliar tecido mole/intracraniano (</w:t>
      </w:r>
      <w:hyperlink r:id="rId3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4" w:name="regra_prática"/>
      <w:r>
        <w:rPr>
          <w:rFonts w:eastAsia="georgia" w:cs="georgia" w:ascii="georgia" w:hAnsi="georgia"/>
          <w:b/>
          <w:color w:val="000000"/>
          <w:sz w:val="24"/>
        </w:rPr>
        <w:t xml:space="preserve">Regra prática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o paciente estiver instável, faça </w:t>
      </w:r>
      <w:r>
        <w:rPr>
          <w:rFonts w:eastAsia="georgia" w:cs="georgia" w:ascii="georgia" w:hAnsi="georgia"/>
          <w:b/>
          <w:color w:val="000000"/>
        </w:rPr>
        <w:t xml:space="preserve">TC urgente</w:t>
      </w:r>
      <w:r>
        <w:rPr>
          <w:rFonts w:eastAsia="georgia" w:cs="georgia" w:ascii="georgia" w:hAnsi="georgia"/>
          <w:color w:val="000000"/>
        </w:rPr>
        <w:t xml:space="preserve"> sem atrasar via aérea, antifúngico e chamada cirúrgica; se estiver estável ou após estabilização, faça </w:t>
      </w:r>
      <w:r>
        <w:rPr>
          <w:rFonts w:eastAsia="georgia" w:cs="georgia" w:ascii="georgia" w:hAnsi="georgia"/>
          <w:b/>
          <w:color w:val="000000"/>
        </w:rPr>
        <w:t xml:space="preserve">RM contrastada</w:t>
      </w:r>
      <w:r>
        <w:rPr>
          <w:rFonts w:eastAsia="georgia" w:cs="georgia" w:ascii="georgia" w:hAnsi="georgia"/>
          <w:color w:val="000000"/>
        </w:rPr>
        <w:t xml:space="preserve"> para mapear extensão orbitária/cerebral e guiar Neurocirurgia/Oftalmologia/ORL. A imagem é recomendada para documentar extensão, mas o tratamento não deve aguardar cultura e não deve ser paralisado por imagem incompleta quando a suspeita clínica é alta (</w:t>
      </w:r>
      <w:hyperlink r:id="rId3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WHO</w:t>
        </w:r>
      </w:hyperlink>
      <w:r>
        <w:rPr>
          <w:rFonts w:eastAsia="georgia" w:cs="georgia" w:ascii="georgia" w:hAnsi="georgia"/>
          <w:color w:val="000000"/>
        </w:rPr>
        <w:t xml:space="preserve">, </w:t>
      </w:r>
      <w:hyperlink r:id="rId3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5" w:name="tratamento_antifúngico_inicial"/>
      <w:r>
        <w:rPr>
          <w:rFonts w:eastAsia="georgia" w:cs="georgia" w:ascii="georgia" w:hAnsi="georgia"/>
          <w:b/>
          <w:color w:val="000000"/>
          <w:sz w:val="24"/>
        </w:rPr>
        <w:t xml:space="preserve">Tratamento antifúngico inicial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primeira_linha"/>
      <w:r>
        <w:rPr>
          <w:rFonts w:eastAsia="georgia" w:cs="georgia" w:ascii="georgia" w:hAnsi="georgia"/>
          <w:b/>
          <w:color w:val="000000"/>
          <w:sz w:val="24"/>
        </w:rPr>
        <w:t xml:space="preserve">Primeira linha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diretriz global ECMM/MSG recomenda </w:t>
      </w:r>
      <w:r>
        <w:rPr>
          <w:rFonts w:eastAsia="georgia" w:cs="georgia" w:ascii="georgia" w:hAnsi="georgia"/>
          <w:b/>
          <w:color w:val="000000"/>
        </w:rPr>
        <w:t xml:space="preserve">anfotericina B lipossomal em alta dose</w:t>
      </w:r>
      <w:r>
        <w:rPr>
          <w:rFonts w:eastAsia="georgia" w:cs="georgia" w:ascii="georgia" w:hAnsi="georgia"/>
          <w:color w:val="000000"/>
        </w:rPr>
        <w:t xml:space="preserve"> como primeira linha para mucormicose (</w:t>
      </w:r>
      <w:hyperlink r:id="rId3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 As recomendações ECMM/ISHAM descrevem anfotericina B, preferencialmente formulação lipídica, como droga de escolha de primeira linha, com exemplo de dose de anfotericina B lipossomal </w:t>
      </w:r>
      <w:r>
        <w:rPr>
          <w:rFonts w:eastAsia="georgia" w:cs="georgia" w:ascii="georgia" w:hAnsi="georgia"/>
          <w:b/>
          <w:color w:val="000000"/>
        </w:rPr>
        <w:t xml:space="preserve">5 mg/kg/dia</w:t>
      </w:r>
      <w:r>
        <w:rPr>
          <w:rFonts w:eastAsia="georgia" w:cs="georgia" w:ascii="georgia" w:hAnsi="georgia"/>
          <w:color w:val="000000"/>
        </w:rPr>
        <w:t xml:space="preserve"> em 200 mL de SG 5% por 2 a 3 horas por 3 a 6 semanas, ajustando duração ao controle da doença e avaliação especializada (</w:t>
      </w:r>
      <w:hyperlink r:id="rId3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 Fontes clínicas citam dose inicial de </w:t>
      </w:r>
      <w:r>
        <w:rPr>
          <w:rFonts w:eastAsia="georgia" w:cs="georgia" w:ascii="georgia" w:hAnsi="georgia"/>
          <w:b/>
          <w:color w:val="000000"/>
        </w:rPr>
        <w:t xml:space="preserve">5 mg/kg IV ao dia</w:t>
      </w:r>
      <w:r>
        <w:rPr>
          <w:rFonts w:eastAsia="georgia" w:cs="georgia" w:ascii="georgia" w:hAnsi="georgia"/>
          <w:color w:val="000000"/>
        </w:rPr>
        <w:t xml:space="preserve"> e dose máxima de </w:t>
      </w:r>
      <w:r>
        <w:rPr>
          <w:rFonts w:eastAsia="georgia" w:cs="georgia" w:ascii="georgia" w:hAnsi="georgia"/>
          <w:b/>
          <w:color w:val="000000"/>
        </w:rPr>
        <w:t xml:space="preserve">10 mg/kg IV</w:t>
      </w:r>
      <w:r>
        <w:rPr>
          <w:rFonts w:eastAsia="georgia" w:cs="georgia" w:ascii="georgia" w:hAnsi="georgia"/>
          <w:color w:val="000000"/>
        </w:rPr>
        <w:t xml:space="preserve">, geralmente reservada para doença grave/extensão ao SNC conforme julgamento especializado e tolerância (</w:t>
      </w:r>
      <w:hyperlink r:id="rId3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StatPearls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7" w:name="alternativas_e_terapia_de_resgate"/>
      <w:r>
        <w:rPr>
          <w:rFonts w:eastAsia="georgia" w:cs="georgia" w:ascii="georgia" w:hAnsi="georgia"/>
          <w:b/>
          <w:color w:val="000000"/>
          <w:sz w:val="24"/>
        </w:rPr>
        <w:t xml:space="preserve">Alternativas e terapia de resgate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Isavuconazol IV e posaconazol IV ou comprimido de liberação retardada são recomendados com força moderada pela diretriz ECMM/MSG, e ambos os triazóis são fortemente recomendados como terapia de resgate (</w:t>
      </w:r>
      <w:hyperlink r:id="rId3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 Isavuconazonium é aprovado para terapia primária, mas o Merck Manual destaca que a experiência clínica é relativamente limitada e que, em pacientes gravemente enfermos, a anfotericina B permanece o tratamento de escolha (</w:t>
      </w:r>
      <w:hyperlink r:id="rId4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Merck Manual Professional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8" w:name="o_que_não_usar_como_cobertura_principal"/>
      <w:r>
        <w:rPr>
          <w:rFonts w:eastAsia="georgia" w:cs="georgia" w:ascii="georgia" w:hAnsi="georgia"/>
          <w:b/>
          <w:color w:val="000000"/>
          <w:sz w:val="24"/>
        </w:rPr>
        <w:t xml:space="preserve">O que não usar como cobertura principal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Fluconazol, voriconazol e echinocandinas isoladas não devem ser considerados cobertura adequada para Mucorales, pois revisões descrevem ausência ou mínima atividade contra Mucorales para vários azóis antigos e echinocandinas (</w:t>
      </w:r>
      <w:hyperlink r:id="rId4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Blood: How I treat mucormycosis</w:t>
        </w:r>
      </w:hyperlink>
      <w:r>
        <w:rPr>
          <w:rFonts w:eastAsia="georgia" w:cs="georgia" w:ascii="georgia" w:hAnsi="georgia"/>
          <w:color w:val="000000"/>
        </w:rPr>
        <w:t xml:space="preserve">, </w:t>
      </w:r>
      <w:hyperlink r:id="rId4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PLoS Pathogens</w:t>
        </w:r>
      </w:hyperlink>
      <w:r>
        <w:rPr>
          <w:rFonts w:eastAsia="georgia" w:cs="georgia" w:ascii="georgia" w:hAnsi="georgia"/>
          <w:color w:val="000000"/>
        </w:rPr>
        <w:t xml:space="preserve">). Se o paciente vinha usando voriconazol ou echinocandina e piora com sinusite/orbitopatia/necrose, pense em mucormicose de escape, pois casos de breakthrough foram descritos com agentes sem atividade contra Mucorales (</w:t>
      </w:r>
      <w:hyperlink r:id="rId4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Blood: How I treat mucormycosis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9" w:name="monitorização_da_anfotericina"/>
      <w:r>
        <w:rPr>
          <w:rFonts w:eastAsia="georgia" w:cs="georgia" w:ascii="georgia" w:hAnsi="georgia"/>
          <w:b/>
          <w:color w:val="000000"/>
          <w:sz w:val="24"/>
        </w:rPr>
        <w:t xml:space="preserve">Monitorização da anfotericina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Dosar creatinina/ureia antes e diariamente no início, porque a anfotericina B desoxicolato é desaconselhada pela diretriz ECMM/MSG devido à toxicidade substancial, embora possa ser a única opção em cenários com poucos recursos (</w:t>
            </w:r>
            <w:hyperlink r:id="rId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PubMed: ECMM/MSG Global Guideline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Eletrólitos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Monitorar e repor potássio e magnésio agressivamente, pois a toxicidade renal/tubular é uma preocupação clássica da anfotericina, especialmente em paciente crítico.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Infusão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SG 5% quando indicado pela formulação/protocolo local e evitar misturas incompatíveis; seguir farmácia hospitalar.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Infectologia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Discutir dose, duração, necessidade de escalonamento para 10 mg/kg/dia, troca para azol, combinação ou terapia de consolidação.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controle_de_fatores_predisponentes"/>
      <w:r>
        <w:rPr>
          <w:rFonts w:eastAsia="georgia" w:cs="georgia" w:ascii="georgia" w:hAnsi="georgia"/>
          <w:b/>
          <w:color w:val="000000"/>
          <w:sz w:val="24"/>
        </w:rPr>
        <w:t xml:space="preserve">Controle de fatores predisponentes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Hiperglicemia/cetoacidose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Iniciar protocolo de insulina, reposição volêmica e correção eletrolítica conforme DKA/HHS; controle de diabetes, cetoacidose e acidosis é parte central do manejo padrão (</w:t>
            </w:r>
            <w:hyperlink r:id="rId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Corticoide/imunossupressão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Reduzir ou suspender quando clinicamente possível, pois ECMM/ISHAM destaca a eliminação de fatores predisponentes como corticoides, imunomoduladores e imunossupressores para prevenir progressão (</w:t>
            </w:r>
            <w:hyperlink r:id="rId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Deferoxamina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Suspender se em uso, pois o Merck Manual inclui suspensão de deferoxamina como parte do tratamento efetivo quando possível (</w:t>
            </w:r>
            <w:hyperlink r:id="rId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Merck Manual Professional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Neutropenia/imunodeficiência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Acionar Hematologia/Oncologia para reversão de neutropenia quando viável, porque o prognóstico depende da restauração do estado imune normal (</w:t>
            </w:r>
            <w:hyperlink r:id="rId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desbridamento_cirúrgico_urgente"/>
      <w:r>
        <w:rPr>
          <w:rFonts w:eastAsia="georgia" w:cs="georgia" w:ascii="georgia" w:hAnsi="georgia"/>
          <w:b/>
          <w:color w:val="000000"/>
          <w:sz w:val="24"/>
        </w:rPr>
        <w:t xml:space="preserve">Desbridamento cirúrgico urgente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desbridamento cirúrgico precoce e agressivo é necessário para controle local da mucormicose, e casos de recorrência exigem ressecção/desbridamento repetidos (</w:t>
      </w:r>
      <w:hyperlink r:id="rId4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 O desbridamento completo de tecido necrótico é crítico, e o tratamento inclui cirurgia para remover tecido infectado e morto (</w:t>
      </w:r>
      <w:hyperlink r:id="rId5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Merck Manual Professional</w:t>
        </w:r>
      </w:hyperlink>
      <w:r>
        <w:rPr>
          <w:rFonts w:eastAsia="georgia" w:cs="georgia" w:ascii="georgia" w:hAnsi="georgia"/>
          <w:color w:val="000000"/>
        </w:rPr>
        <w:t xml:space="preserve">). A cirurgia pode envolver endoscopia nasal, debridamento sinusal, ressecção maxilofacial, abordagem orbitária, exenteração em doença orbitária avançada selecionada e neurocirurgia quando houver abscesso, compressão, necrose ou complicação intracraniana tratável (</w:t>
      </w:r>
      <w:hyperlink r:id="rId5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22" w:name="indicações_fortes_de_cirurgia_orl_a6c914"/>
      <w:r>
        <w:rPr>
          <w:rFonts w:eastAsia="georgia" w:cs="georgia" w:ascii="georgia" w:hAnsi="georgia"/>
          <w:b/>
          <w:color w:val="000000"/>
          <w:sz w:val="24"/>
        </w:rPr>
        <w:t xml:space="preserve">Indicações fortes de cirurgia/ORL imediata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Achado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Necrose nasal/palatina, escara negra, tecido desvitalizado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Endoscopia nasal, biópsia e desbridamento urgente.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Invasão orbitária, oftalmoplegia, perda visual, proptose, ápice orbitário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ORL + Oftalmologia imediatos para decisão de desbridamento orbitário, terapia local e eventual exenteração.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Extensão intracraniana, abscesso, infarto, trombose de seio cavernoso, efeito de massa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Neurocirurgia/Neurologia + UTI + Infectologia; discutir transferência se recurso não disponível.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Falha clínica ou imagem progressiva apesar de terapia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Reimagem e reoperação devem ser consideradas, pois recorrência pode exigir ressecções repetidas (</w:t>
            </w:r>
            <w:hyperlink r:id="rId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critérios_de_transferência_para_u_9d93ce"/>
      <w:r>
        <w:rPr>
          <w:rFonts w:eastAsia="georgia" w:cs="georgia" w:ascii="georgia" w:hAnsi="georgia"/>
          <w:b/>
          <w:color w:val="000000"/>
          <w:sz w:val="24"/>
        </w:rPr>
        <w:t xml:space="preserve">Critérios de transferência para unidade especializada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Transfira para centro com </w:t>
      </w:r>
      <w:r>
        <w:rPr>
          <w:rFonts w:eastAsia="georgia" w:cs="georgia" w:ascii="georgia" w:hAnsi="georgia"/>
          <w:b/>
          <w:color w:val="000000"/>
        </w:rPr>
        <w:t xml:space="preserve">UTI, Infectologia, ORL cirúrgica, Oftalmologia, Neurocirurgia, Radiologia com RM, Patologia/Microbiologia e farmácia com anfotericina lipossomal/isavuconazol/posaconazol</w:t>
      </w:r>
      <w:r>
        <w:rPr>
          <w:rFonts w:eastAsia="georgia" w:cs="georgia" w:ascii="georgia" w:hAnsi="georgia"/>
          <w:color w:val="000000"/>
        </w:rPr>
        <w:t xml:space="preserve"> quando esses recursos não estiverem disponíveis localmente, porque a OMS descreve que a doença frequentemente exige antifúngico IV, excisão cirúrgica e equipe multidisciplinar em ambiente institucional (</w:t>
      </w:r>
      <w:hyperlink r:id="rId5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WHO</w:t>
        </w:r>
      </w:hyperlink>
      <w:r>
        <w:rPr>
          <w:rFonts w:eastAsia="georgia" w:cs="georgia" w:ascii="georgia" w:hAnsi="georgia"/>
          <w:color w:val="000000"/>
        </w:rPr>
        <w:t xml:space="preserve">). A transferência não deve atrasar primeira dose de antifúngico, estabilização da via aérea e contato cirúrgico, pois a intervenção médica e cirúrgica urgente é salvadora (</w:t>
      </w:r>
      <w:hyperlink r:id="rId5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Transferir imediatamente 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Justificativa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Glasgow baixo, deterioração neurológica, crise convulsiva, anisocoria, déficit focal ou suspeita de hipertensão intracraniana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Necessita UTI, imagem avançada e Neurocirurgia/Neurologia.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Invasão orbitária grave, perda visual, oftalmoplegia completa, ápice orbitário ou seio cavernoso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Necessita Oftalmologia/ORL experientes e possível cirurgia orbitária.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Necessidade de desbridamento extenso indisponível localmente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desbridamento precoce e agressivo é essencial para controle local (</w:t>
            </w:r>
            <w:hyperlink r:id="rId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Falta de anfotericina B lipossomal ou monitorização renal/eletrolítica segura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anfotericina B lipossomal é primeira linha fortemente recomendada (</w:t>
            </w:r>
            <w:hyperlink r:id="rId5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PubMed: ECMM/MSG Global Guideline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Cetoacidose grave, choque, sepse, insuficiência renal ou múltiplas disfunções orgânicas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manejo exige UTI e reversão intensiva de fatores predisponentes (</w:t>
            </w:r>
            <w:hyperlink r:id="rId5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checklist_de_30_minutos"/>
      <w:r>
        <w:rPr>
          <w:rFonts w:eastAsia="georgia" w:cs="georgia" w:ascii="georgia" w:hAnsi="georgia"/>
          <w:b/>
          <w:color w:val="000000"/>
          <w:sz w:val="24"/>
        </w:rPr>
        <w:t xml:space="preserve">Checklist de 30 minutos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 a 5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Reconhecer risco + sinais nasais/orbitários/neurológicos; colocar em monitorização; glicemia capilar; ABCDE.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a 10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Glasgow E/V/M, pupilas, déficit focal; avaliar via aérea e chamar Anestesia/UTI se Glasgow baixo ou deteriorando.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 a 15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Coletar exames basais, eletrólitos, função renal/hepática, gasometria/cetonas se diabetes ou acidose; chamar Infectologia, ORL, Oftalmo, Neuro.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 a 30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Solicitar TC crânio/seios/órbitas urgente e RM se estável/disponível; iniciar anfotericina B lipossomal se suspeita alta; preparar endoscopia/biópsia/desbridamento.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Depois dos 30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Controlar glicemia/cetoacidose, suspender fatores predisponentes quando possível, documentar extensão, operar cedo, reavaliar necessidade de transferência.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5" w:name="algoritmo_prático"/>
      <w:r>
        <w:rPr>
          <w:rFonts w:eastAsia="georgia" w:cs="georgia" w:ascii="georgia" w:hAnsi="georgia"/>
          <w:b/>
          <w:color w:val="000000"/>
          <w:sz w:val="24"/>
        </w:rPr>
        <w:t xml:space="preserve">Algoritmo prático</w:t>
      </w:r>
      <w:bookmarkEnd w:id="2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Paciente de risco + sinusite/orbitopatia/necrose + rebaixamento?</w:t>
        <w:br/>
        <w:t xml:space="preserve">        |</w:t>
        <w:br/>
        <w:t xml:space="preserve">        v</w:t>
        <w:br/>
        <w:t xml:space="preserve">ABCDE + Glasgow E/V/M + pupilas + glicemia + via aérea segura</w:t>
        <w:br/>
        <w:t xml:space="preserve">        |</w:t>
        <w:br/>
        <w:t xml:space="preserve">        v</w:t>
        <w:br/>
        <w:t xml:space="preserve">Acionar UTI + Infectologia + ORL + Oftalmo + Neuro/Neurocirurgia</w:t>
        <w:br/>
        <w:t xml:space="preserve">        |</w:t>
        <w:br/>
        <w:t xml:space="preserve">        v</w:t>
        <w:br/>
        <w:t xml:space="preserve">Coletar exames, eletrólitos, função renal, gasometria/cetonas, material se possível</w:t>
        <w:br/>
        <w:t xml:space="preserve">        |</w:t>
        <w:br/>
        <w:t xml:space="preserve">        v</w:t>
        <w:br/>
        <w:t xml:space="preserve">TC urgente +/- RM com contraste conforme estabilidade</w:t>
        <w:br/>
        <w:t xml:space="preserve">        |</w:t>
        <w:br/>
        <w:t xml:space="preserve">        v</w:t>
        <w:br/>
        <w:t xml:space="preserve">Suspeita alta? NÃO esperar cultura</w:t>
        <w:br/>
        <w:t xml:space="preserve">        |</w:t>
        <w:br/>
        <w:t xml:space="preserve">        v</w:t>
        <w:br/>
        <w:t xml:space="preserve">Anfotericina B lipossomal + correção de fatores predisponentes</w:t>
        <w:br/>
        <w:t xml:space="preserve">        |</w:t>
        <w:br/>
        <w:t xml:space="preserve">        v</w:t>
        <w:br/>
        <w:t xml:space="preserve">Endoscopia, biópsia e desbridamento precoce/agressivo</w:t>
        <w:br/>
        <w:t xml:space="preserve">        |</w:t>
        <w:br/>
        <w:t xml:space="preserve">        v</w:t>
        <w:br/>
        <w:t xml:space="preserve">Reavaliação clínica + imagem seriada + nova cirurgia se progressão/recidiva</w:t>
        <w:br/>
        <w:t xml:space="preserve">        |</w:t>
        <w:br/>
        <w:t xml:space="preserve">        v</w:t>
        <w:br/>
        <w:t xml:space="preserve">Transferir se precisar de UTI, Infectologia, ORL/Oftalmo/Neurocirurgia ou antifúngico indisponível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6" w:name="pegadinhas_temi_r3_e_erros_fatais"/>
      <w:r>
        <w:rPr>
          <w:rFonts w:eastAsia="georgia" w:cs="georgia" w:ascii="georgia" w:hAnsi="georgia"/>
          <w:b/>
          <w:color w:val="000000"/>
          <w:sz w:val="24"/>
        </w:rPr>
        <w:t xml:space="preserve">Pegadinhas TEMI/R3 e erros fatais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Pegadinha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 de prova e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“A cultura ainda não saiu; aguardar para iniciar antifúngico?”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Errado; a OMS afirma que o tratamento não deve esperar cultura fúngica (</w:t>
            </w:r>
            <w:hyperlink r:id="rId5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WHO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“Voriconazol cobre fungo filamentoso, então cobre mucor?”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Errado; voriconazol não é cobertura adequada para Mucorales, e mucormicose de escape pode ocorrer com drogas sem atividade contra Mucorales (</w:t>
            </w:r>
            <w:hyperlink r:id="rId5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Blood: How I treat mucormycosis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“TC normal exclui mucormicose invasiva?”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Errado; TC e radiografias podem subestimar ou perder destruição óssea significativa, e a suspeita clínica/tecido continuam centrais (</w:t>
            </w:r>
            <w:hyperlink r:id="rId6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Merck Manual Professional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“Antifúngico isolado basta?”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Geralmente errado; diretriz ECMM/MSG recomenda imagem para extensão seguida de intervenção cirúrgica, e desbridamento completo de tecido necrótico é crítico (</w:t>
            </w:r>
            <w:hyperlink r:id="rId6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PubMed: ECMM/MSG Global Guideline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r:id="rId6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Merck Manual Professional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“Paciente intubado recebe V1 no Glasgow?”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Errado; se a resposta verbal não é testável, deve ser registrada como NT e não convertida artificialmente em 1 ou zero (</w:t>
            </w:r>
            <w:hyperlink r:id="rId6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Glasgow Coma Scale FAQ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7" w:name="sugestões_de_imagem_síntese_para_estudo"/>
      <w:r>
        <w:rPr>
          <w:rFonts w:eastAsia="georgia" w:cs="georgia" w:ascii="georgia" w:hAnsi="georgia"/>
          <w:b/>
          <w:color w:val="000000"/>
          <w:sz w:val="24"/>
        </w:rPr>
        <w:t xml:space="preserve">Sugestões de imagem/síntese para estudo</w:t>
      </w:r>
      <w:bookmarkEnd w:id="27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Fluxograma de emergência</w:t>
      </w:r>
      <w:r>
        <w:rPr>
          <w:rFonts w:eastAsia="georgia" w:cs="georgia" w:ascii="georgia" w:hAnsi="georgia"/>
          <w:color w:val="000000"/>
          <w:sz w:val="21"/>
        </w:rPr>
        <w:t xml:space="preserve">: triagem → ABCDE → Glasgow/via aérea → imagem → anfotericina → desbridamento → transferência.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Mapa anatômico</w:t>
      </w:r>
      <w:r>
        <w:rPr>
          <w:rFonts w:eastAsia="georgia" w:cs="georgia" w:ascii="georgia" w:hAnsi="georgia"/>
          <w:color w:val="000000"/>
          <w:sz w:val="21"/>
        </w:rPr>
        <w:t xml:space="preserve">: seio maxilar/etmoidal → órbita → ápice orbitário → seio cavernoso → cérebro.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Tabela TEMI</w:t>
      </w:r>
      <w:r>
        <w:rPr>
          <w:rFonts w:eastAsia="georgia" w:cs="georgia" w:ascii="georgia" w:hAnsi="georgia"/>
          <w:color w:val="000000"/>
          <w:sz w:val="21"/>
        </w:rPr>
        <w:t xml:space="preserve">: mucormicose vs aspergilose invasiva vs sinusite bacteriana complicada vs trombose de seio cavernoso.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Card de bolso</w:t>
      </w:r>
      <w:r>
        <w:rPr>
          <w:rFonts w:eastAsia="georgia" w:cs="georgia" w:ascii="georgia" w:hAnsi="georgia"/>
          <w:color w:val="000000"/>
          <w:sz w:val="21"/>
        </w:rPr>
        <w:t xml:space="preserve">: “5 coisas que matam: atraso na anfotericina, atraso na cirurgia, não corrigir cetoacidose, não proteger via aérea, não transferir cedo”.</w:t>
      </w:r>
    </w:p>
    <w:p>
      <w:pPr>
        <w:spacing w:line="360" w:before="315" w:after="105" w:lineRule="auto"/>
        <w:ind w:left="-30"/>
        <w:jc w:val="left"/>
      </w:pPr>
      <w:bookmarkStart w:id="28" w:name="lacunas_e_limites"/>
      <w:r>
        <w:rPr>
          <w:rFonts w:eastAsia="georgia" w:cs="georgia" w:ascii="georgia" w:hAnsi="georgia"/>
          <w:b/>
          <w:color w:val="000000"/>
          <w:sz w:val="24"/>
        </w:rPr>
        <w:t xml:space="preserve">Lacunas e limites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As recomendações de dose exata, duração, combinação antifúngica, exenteração orbitária e escalonamento para 10 mg/kg/dia devem ser individualizadas com Infectologia, ORL, Oftalmologia e Neurocirurgia, porque a diretriz global reconhece alta complexidade, limitações de acesso e necessidade de manejo multidisciplinar (</w:t>
      </w:r>
      <w:hyperlink r:id="rId6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 Em cenários com poucos recursos, anfotericina B desoxicolato pode ser a única opção, mas a diretriz ECMM/MSG a desaconselha quando há alternativa devido à toxicidade substancial (</w:t>
      </w:r>
      <w:hyperlink r:id="rId6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who.int/india/home/emergencies/coronavirus-disease-(covid-19)/mucormycosis" TargetMode="External"/><Relationship Id="rId6" Type="http://schemas.openxmlformats.org/officeDocument/2006/relationships/hyperlink" Target="https://www.who.int/india/home/emergencies/coronavirus-disease-(covid-19)/mucormycosis" TargetMode="External"/><Relationship Id="rId7" Type="http://schemas.openxmlformats.org/officeDocument/2006/relationships/hyperlink" Target="https://pubmed.ncbi.nlm.nih.gov/31699664/" TargetMode="External"/><Relationship Id="rId8" Type="http://schemas.openxmlformats.org/officeDocument/2006/relationships/hyperlink" Target="https://pmc.ncbi.nlm.nih.gov/articles/PMC8447004/" TargetMode="External"/><Relationship Id="rId9" Type="http://schemas.openxmlformats.org/officeDocument/2006/relationships/hyperlink" Target="https://www.merckmanuals.com/professional/infectious-diseases/fungal-infections/mucormycosis" TargetMode="External"/><Relationship Id="rId10" Type="http://schemas.openxmlformats.org/officeDocument/2006/relationships/hyperlink" Target="https://pmc.ncbi.nlm.nih.gov/articles/PMC8447004/" TargetMode="External"/><Relationship Id="rId11" Type="http://schemas.openxmlformats.org/officeDocument/2006/relationships/hyperlink" Target="https://www.ncbi.nlm.nih.gov/books/NBK544364/" TargetMode="External"/><Relationship Id="rId12" Type="http://schemas.openxmlformats.org/officeDocument/2006/relationships/hyperlink" Target="https://www.ncbi.nlm.nih.gov/books/NBK544364/" TargetMode="External"/><Relationship Id="rId13" Type="http://schemas.openxmlformats.org/officeDocument/2006/relationships/hyperlink" Target="https://pmc.ncbi.nlm.nih.gov/articles/PMC8447004/" TargetMode="External"/><Relationship Id="rId14" Type="http://schemas.openxmlformats.org/officeDocument/2006/relationships/hyperlink" Target="https://www.ncbi.nlm.nih.gov/books/NBK544364/" TargetMode="External"/><Relationship Id="rId15" Type="http://schemas.openxmlformats.org/officeDocument/2006/relationships/hyperlink" Target="https://www.ncbi.nlm.nih.gov/books/NBK544364/" TargetMode="External"/><Relationship Id="rId16" Type="http://schemas.openxmlformats.org/officeDocument/2006/relationships/hyperlink" Target="https://www.ncbi.nlm.nih.gov/books/NBK544364/" TargetMode="External"/><Relationship Id="rId17" Type="http://schemas.openxmlformats.org/officeDocument/2006/relationships/hyperlink" Target="https://pmc.ncbi.nlm.nih.gov/articles/PMC8447004/" TargetMode="External"/><Relationship Id="rId18" Type="http://schemas.openxmlformats.org/officeDocument/2006/relationships/hyperlink" Target="https://pmc.ncbi.nlm.nih.gov/articles/PMC8447004/" TargetMode="External"/><Relationship Id="rId19" Type="http://schemas.openxmlformats.org/officeDocument/2006/relationships/hyperlink" Target="https://pubmed.ncbi.nlm.nih.gov/31699664/" TargetMode="External"/><Relationship Id="rId20" Type="http://schemas.openxmlformats.org/officeDocument/2006/relationships/hyperlink" Target="https://www.glasgowcomascale.org/what-is-gcs/" TargetMode="External"/><Relationship Id="rId21" Type="http://schemas.openxmlformats.org/officeDocument/2006/relationships/hyperlink" Target="https://www.glasgowcomascale.org/what-is-gcs/" TargetMode="External"/><Relationship Id="rId22" Type="http://schemas.openxmlformats.org/officeDocument/2006/relationships/hyperlink" Target="https://www.glasgowcomascale.org/what-is-gcs/" TargetMode="External"/><Relationship Id="rId23" Type="http://schemas.openxmlformats.org/officeDocument/2006/relationships/hyperlink" Target="https://www.glasgowcomascale.org/what-is-gcs/" TargetMode="External"/><Relationship Id="rId24" Type="http://schemas.openxmlformats.org/officeDocument/2006/relationships/hyperlink" Target="https://www.glasgowcomascale.org/what-is-gcs/" TargetMode="External"/><Relationship Id="rId25" Type="http://schemas.openxmlformats.org/officeDocument/2006/relationships/hyperlink" Target="https://www.glasgowcomascale.org/faq/" TargetMode="External"/><Relationship Id="rId26" Type="http://schemas.openxmlformats.org/officeDocument/2006/relationships/hyperlink" Target="https://www.glasgowcomascale.org/faq/" TargetMode="External"/><Relationship Id="rId27" Type="http://schemas.openxmlformats.org/officeDocument/2006/relationships/hyperlink" Target="https://pmc.ncbi.nlm.nih.gov/articles/PMC8447004/" TargetMode="External"/><Relationship Id="rId28" Type="http://schemas.openxmlformats.org/officeDocument/2006/relationships/hyperlink" Target="https://www.merckmanuals.com/professional/infectious-diseases/fungal-infections/mucormycosis" TargetMode="External"/><Relationship Id="rId29" Type="http://schemas.openxmlformats.org/officeDocument/2006/relationships/hyperlink" Target="https://www.ncbi.nlm.nih.gov/books/NBK544364/" TargetMode="External"/><Relationship Id="rId30" Type="http://schemas.openxmlformats.org/officeDocument/2006/relationships/hyperlink" Target="https://www.merckmanuals.com/professional/infectious-diseases/fungal-infections/mucormycosis" TargetMode="External"/><Relationship Id="rId31" Type="http://schemas.openxmlformats.org/officeDocument/2006/relationships/hyperlink" Target="https://www.merckmanuals.com/professional/infectious-diseases/fungal-infections/mucormycosis" TargetMode="External"/><Relationship Id="rId32" Type="http://schemas.openxmlformats.org/officeDocument/2006/relationships/hyperlink" Target="https://www.ncbi.nlm.nih.gov/books/NBK544364/" TargetMode="External"/><Relationship Id="rId33" Type="http://schemas.openxmlformats.org/officeDocument/2006/relationships/hyperlink" Target="https://pubmed.ncbi.nlm.nih.gov/31699664/" TargetMode="External"/><Relationship Id="rId34" Type="http://schemas.openxmlformats.org/officeDocument/2006/relationships/hyperlink" Target="https://www.who.int/india/home/emergencies/coronavirus-disease-(covid-19)/mucormycosis" TargetMode="External"/><Relationship Id="rId35" Type="http://schemas.openxmlformats.org/officeDocument/2006/relationships/hyperlink" Target="https://pubmed.ncbi.nlm.nih.gov/31699664/" TargetMode="External"/><Relationship Id="rId36" Type="http://schemas.openxmlformats.org/officeDocument/2006/relationships/hyperlink" Target="https://pubmed.ncbi.nlm.nih.gov/31699664/" TargetMode="External"/><Relationship Id="rId37" Type="http://schemas.openxmlformats.org/officeDocument/2006/relationships/hyperlink" Target="https://pmc.ncbi.nlm.nih.gov/articles/PMC8447004/" TargetMode="External"/><Relationship Id="rId38" Type="http://schemas.openxmlformats.org/officeDocument/2006/relationships/hyperlink" Target="https://www.ncbi.nlm.nih.gov/books/NBK544364/" TargetMode="External"/><Relationship Id="rId39" Type="http://schemas.openxmlformats.org/officeDocument/2006/relationships/hyperlink" Target="https://pubmed.ncbi.nlm.nih.gov/31699664/" TargetMode="External"/><Relationship Id="rId40" Type="http://schemas.openxmlformats.org/officeDocument/2006/relationships/hyperlink" Target="https://www.merckmanuals.com/professional/infectious-diseases/fungal-infections/mucormycosis" TargetMode="External"/><Relationship Id="rId41" Type="http://schemas.openxmlformats.org/officeDocument/2006/relationships/hyperlink" Target="https://pmc.ncbi.nlm.nih.gov/articles/PMC3292433/" TargetMode="External"/><Relationship Id="rId42" Type="http://schemas.openxmlformats.org/officeDocument/2006/relationships/hyperlink" Target="https://pmc.ncbi.nlm.nih.gov/articles/PMC9560507/" TargetMode="External"/><Relationship Id="rId43" Type="http://schemas.openxmlformats.org/officeDocument/2006/relationships/hyperlink" Target="https://pmc.ncbi.nlm.nih.gov/articles/PMC3292433/" TargetMode="External"/><Relationship Id="rId44" Type="http://schemas.openxmlformats.org/officeDocument/2006/relationships/hyperlink" Target="https://pubmed.ncbi.nlm.nih.gov/31699664/" TargetMode="External"/><Relationship Id="rId45" Type="http://schemas.openxmlformats.org/officeDocument/2006/relationships/hyperlink" Target="https://www.ncbi.nlm.nih.gov/books/NBK544364/" TargetMode="External"/><Relationship Id="rId46" Type="http://schemas.openxmlformats.org/officeDocument/2006/relationships/hyperlink" Target="https://pmc.ncbi.nlm.nih.gov/articles/PMC8447004/" TargetMode="External"/><Relationship Id="rId47" Type="http://schemas.openxmlformats.org/officeDocument/2006/relationships/hyperlink" Target="https://www.merckmanuals.com/professional/infectious-diseases/fungal-infections/mucormycosis" TargetMode="External"/><Relationship Id="rId48" Type="http://schemas.openxmlformats.org/officeDocument/2006/relationships/hyperlink" Target="https://www.ncbi.nlm.nih.gov/books/NBK544364/" TargetMode="External"/><Relationship Id="rId49" Type="http://schemas.openxmlformats.org/officeDocument/2006/relationships/hyperlink" Target="https://pmc.ncbi.nlm.nih.gov/articles/PMC8447004/" TargetMode="External"/><Relationship Id="rId50" Type="http://schemas.openxmlformats.org/officeDocument/2006/relationships/hyperlink" Target="https://www.merckmanuals.com/professional/infectious-diseases/fungal-infections/mucormycosis" TargetMode="External"/><Relationship Id="rId51" Type="http://schemas.openxmlformats.org/officeDocument/2006/relationships/hyperlink" Target="https://pmc.ncbi.nlm.nih.gov/articles/PMC8447004/" TargetMode="External"/><Relationship Id="rId52" Type="http://schemas.openxmlformats.org/officeDocument/2006/relationships/hyperlink" Target="https://pmc.ncbi.nlm.nih.gov/articles/PMC8447004/" TargetMode="External"/><Relationship Id="rId53" Type="http://schemas.openxmlformats.org/officeDocument/2006/relationships/hyperlink" Target="https://www.who.int/india/home/emergencies/coronavirus-disease-(covid-19)/mucormycosis" TargetMode="External"/><Relationship Id="rId54" Type="http://schemas.openxmlformats.org/officeDocument/2006/relationships/hyperlink" Target="https://pubmed.ncbi.nlm.nih.gov/31699664/" TargetMode="External"/><Relationship Id="rId55" Type="http://schemas.openxmlformats.org/officeDocument/2006/relationships/hyperlink" Target="https://pmc.ncbi.nlm.nih.gov/articles/PMC8447004/" TargetMode="External"/><Relationship Id="rId56" Type="http://schemas.openxmlformats.org/officeDocument/2006/relationships/hyperlink" Target="https://pubmed.ncbi.nlm.nih.gov/31699664/" TargetMode="External"/><Relationship Id="rId57" Type="http://schemas.openxmlformats.org/officeDocument/2006/relationships/hyperlink" Target="https://www.ncbi.nlm.nih.gov/books/NBK544364/" TargetMode="External"/><Relationship Id="rId58" Type="http://schemas.openxmlformats.org/officeDocument/2006/relationships/hyperlink" Target="https://www.who.int/india/home/emergencies/coronavirus-disease-(covid-19)/mucormycosis" TargetMode="External"/><Relationship Id="rId59" Type="http://schemas.openxmlformats.org/officeDocument/2006/relationships/hyperlink" Target="https://pmc.ncbi.nlm.nih.gov/articles/PMC3292433/" TargetMode="External"/><Relationship Id="rId60" Type="http://schemas.openxmlformats.org/officeDocument/2006/relationships/hyperlink" Target="https://www.merckmanuals.com/professional/infectious-diseases/fungal-infections/mucormycosis" TargetMode="External"/><Relationship Id="rId61" Type="http://schemas.openxmlformats.org/officeDocument/2006/relationships/hyperlink" Target="https://pubmed.ncbi.nlm.nih.gov/31699664/" TargetMode="External"/><Relationship Id="rId62" Type="http://schemas.openxmlformats.org/officeDocument/2006/relationships/hyperlink" Target="https://www.merckmanuals.com/professional/infectious-diseases/fungal-infections/mucormycosis" TargetMode="External"/><Relationship Id="rId63" Type="http://schemas.openxmlformats.org/officeDocument/2006/relationships/hyperlink" Target="https://www.glasgowcomascale.org/faq/" TargetMode="External"/><Relationship Id="rId64" Type="http://schemas.openxmlformats.org/officeDocument/2006/relationships/hyperlink" Target="https://pubmed.ncbi.nlm.nih.gov/31699664/" TargetMode="External"/><Relationship Id="rId65" Type="http://schemas.openxmlformats.org/officeDocument/2006/relationships/hyperlink" Target="https://pubmed.ncbi.nlm.nih.gov/31699664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2026-05-21T00:38:29.046Z</dcterms:created>
  <dcterms:modified xsi:type="dcterms:W3CDTF">2026-05-21T00:38:29.046Z</dcterms:modified>
</cp:coreProperties>
</file>