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medicações importantes que podem causar plaquetopenia na UTI</w:t>
        <w:br/>
      </w:r>
      <w:r>
        <w:rPr>
          <w:color w:val="444444"/>
          <w:sz w:val="30"/>
        </w:rPr>
        <w:t>e opções práticas de substituição</w:t>
      </w:r>
    </w:p>
    <w:p>
      <w:pPr>
        <w:jc w:val="center"/>
      </w:pPr>
      <w:r>
        <w:rPr>
          <w:i/>
          <w:sz w:val="20"/>
        </w:rPr>
        <w:t>Versão prática para plantão, enfermaria crítica e discussão multiprofissional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5538"/>
      </w:tblGrid>
      <w:tr>
        <w:tc>
          <w:tcPr>
            <w:tcW w:type="dxa" w:w="15538"/>
            <w:shd w:fill="FFF2CC"/>
          </w:tcPr>
          <w:p>
            <w:pPr>
              <w:jc w:val="left"/>
            </w:pPr>
            <w:r/>
            <w:r>
              <w:rPr>
                <w:b/>
                <w:color w:val="784100"/>
                <w:sz w:val="18"/>
              </w:rPr>
              <w:t>ALERTA DE SEGURANÇA: plaquetopenia em paciente crítico é frequentemente multifatorial. Antes de culpar uma droga, excluir/considerar sepse, CIVD, sangramento, diluição/transfusão, CRRT/hemodiálise, ECMO, balão intra-aórtico, hepatopatia/hiperesplenismo, deficiência nutricional, TMA/PTT/SHU e pseudoplaquetopenia por EDTA. Se houver suspeita forte de droga, suspender a medicação suspeita e NÃO reexpor sem discussão especializada.</w:t>
            </w:r>
          </w:p>
        </w:tc>
      </w:tr>
    </w:tbl>
    <w:p/>
    <w:p>
      <w:pPr>
        <w:pStyle w:val="Heading1"/>
      </w:pPr>
      <w:r>
        <w:t>Quando suspeitar de plaquetopenia induzida por droga?</w:t>
      </w:r>
    </w:p>
    <w:p>
      <w:pPr>
        <w:pStyle w:val="ListBullet"/>
      </w:pPr>
      <w:r>
        <w:rPr>
          <w:sz w:val="20"/>
        </w:rPr>
        <w:t>Queda nova após início recente de medicação, especialmente nos últimos 5-14 dias; reexposição pode causar queda em horas a poucos dias.</w:t>
      </w:r>
    </w:p>
    <w:p>
      <w:pPr>
        <w:pStyle w:val="ListBullet"/>
      </w:pPr>
      <w:r>
        <w:rPr>
          <w:sz w:val="20"/>
        </w:rPr>
        <w:t>Queda abrupta ou desproporcional ao quadro, principalmente plaquetas &lt; 20-30 mil sem explicação clara.</w:t>
      </w:r>
    </w:p>
    <w:p>
      <w:pPr>
        <w:pStyle w:val="ListBullet"/>
      </w:pPr>
      <w:r>
        <w:rPr>
          <w:sz w:val="20"/>
        </w:rPr>
        <w:t>Outras séries preservadas favorecem mecanismo imune; pancitopenia sugere mielotoxicidade/supressão medular.</w:t>
      </w:r>
    </w:p>
    <w:p>
      <w:pPr>
        <w:pStyle w:val="ListBullet"/>
      </w:pPr>
      <w:r>
        <w:rPr>
          <w:sz w:val="20"/>
        </w:rPr>
        <w:t>Em uso de heparina/enoxaparina: queda &gt;50% das plaquetas, geralmente entre 5-10 dias, com trombose ou necrose cutânea = pensar em HIT e calcular 4Ts.</w:t>
      </w:r>
    </w:p>
    <w:p>
      <w:pPr>
        <w:pStyle w:val="ListBullet"/>
      </w:pPr>
      <w:r>
        <w:rPr>
          <w:sz w:val="20"/>
        </w:rPr>
        <w:t>Recuperação das plaquetas após suspensão da droga reforça causalidade.</w:t>
      </w:r>
    </w:p>
    <w:p>
      <w:r>
        <w:br w:type="page"/>
      </w:r>
    </w:p>
    <w:p>
      <w:pPr>
        <w:pStyle w:val="Heading1"/>
      </w:pPr>
      <w:r>
        <w:t>Tabela-mãe: 10 drogas de UTI e substituições possíveis — parte 1/2</w:t>
      </w:r>
    </w:p>
    <w:p>
      <w:pPr>
        <w:jc w:val="left"/>
      </w:pPr>
      <w:r>
        <w:rPr>
          <w:i/>
          <w:color w:val="5A5A5A"/>
          <w:sz w:val="17"/>
        </w:rPr>
        <w:t>Use esta tabela como triagem. A substituição final depende de foco infeccioso, cultura, função renal/hepática, gravidade, disponibilidade local e protocolo institucional.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Droga suspeita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Quando suspeitar</w:t>
            </w:r>
          </w:p>
        </w:tc>
        <w:tc>
          <w:tcPr>
            <w:tcW w:type="dxa" w:w="237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Mecanismo provável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Substituir por / estratégia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Observações críticas</w:t>
            </w:r>
          </w:p>
        </w:tc>
      </w:tr>
      <w:tr>
        <w:tc>
          <w:tcPr>
            <w:tcW w:type="dxa" w:w="2232"/>
            <w:shd w:fill="F8FBFF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1. Heparina não fracionada</w:t>
            </w:r>
          </w:p>
        </w:tc>
        <w:tc>
          <w:tcPr>
            <w:tcW w:type="dxa" w:w="2880"/>
            <w:shd w:fill="F8FB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HIT tipo 2: queda &gt;50%, 5-10 dias após início; trombose nova; necrose cutânea; reação sistêmica após bolus.</w:t>
            </w:r>
          </w:p>
        </w:tc>
        <w:tc>
          <w:tcPr>
            <w:tcW w:type="dxa" w:w="2376"/>
            <w:shd w:fill="F8FB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Imune anti-PF4/heparina; quadro pró-trombótico, não apenas hemorrágico.</w:t>
            </w:r>
          </w:p>
        </w:tc>
        <w:tc>
          <w:tcPr>
            <w:tcW w:type="dxa" w:w="4464"/>
            <w:shd w:fill="F8FB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Suspender TODAS as heparinas. Anticoagulante não-heparínico: argatroban, bivalirudina ou fondaparinux conforme disponibilidade, função hepática/renal e gravidade. DOAC pode ser opção em casos selecionados/estáveis.</w:t>
            </w:r>
          </w:p>
        </w:tc>
        <w:tc>
          <w:tcPr>
            <w:tcW w:type="dxa" w:w="3600"/>
            <w:shd w:fill="F8FB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Calcular 4T score. Se 4T baixo, HIT improvável. Se intermediário/alto, colher anti-PF4 conforme disponibilidade e iniciar anticoagulação alternativa se sem contraindicação.</w:t>
            </w:r>
          </w:p>
        </w:tc>
      </w:tr>
      <w:tr>
        <w:tc>
          <w:tcPr>
            <w:tcW w:type="dxa" w:w="2232"/>
            <w:shd w:fill="FFFFFF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2. Enoxaparina / HBPM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Mesmo raciocínio da HIT, embora risco menor que HNF. Pode ocorrer após exposição prévia a heparina.</w:t>
            </w:r>
          </w:p>
        </w:tc>
        <w:tc>
          <w:tcPr>
            <w:tcW w:type="dxa" w:w="2376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HIT mediada por anticorpos anti-PF4/heparina.</w:t>
            </w:r>
          </w:p>
        </w:tc>
        <w:tc>
          <w:tcPr>
            <w:tcW w:type="dxa" w:w="4464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Evitar HNF e HBPM. Para profilaxia/tratamento: fondaparinux se função renal permitir; argatroban/bivalirudina se UTI grave; compressão pneumática quando anticoagulação contraindicada.</w:t>
            </w:r>
          </w:p>
        </w:tc>
        <w:tc>
          <w:tcPr>
            <w:tcW w:type="dxa" w:w="3600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Não “trocar HNF por enoxaparina” se suspeita de HIT. Tratar como alergia funcional a heparinas até elucidar.</w:t>
            </w:r>
          </w:p>
        </w:tc>
      </w:tr>
      <w:tr>
        <w:tc>
          <w:tcPr>
            <w:tcW w:type="dxa" w:w="2232"/>
            <w:shd w:fill="F8FBFF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3. Linezolida</w:t>
            </w:r>
          </w:p>
        </w:tc>
        <w:tc>
          <w:tcPr>
            <w:tcW w:type="dxa" w:w="2880"/>
            <w:shd w:fill="F8FB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Plaquetas caindo após 5-10+ dias; maior risco em DRC, hemodiálise, idosos, sepse, uso prolongado e níveis elevados.</w:t>
            </w:r>
          </w:p>
        </w:tc>
        <w:tc>
          <w:tcPr>
            <w:tcW w:type="dxa" w:w="2376"/>
            <w:shd w:fill="F8FB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Mielossupressão reversível; pode haver componente imune em alguns casos.</w:t>
            </w:r>
          </w:p>
        </w:tc>
        <w:tc>
          <w:tcPr>
            <w:tcW w:type="dxa" w:w="4464"/>
            <w:shd w:fill="F8FB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MRSA pneumonia: vancomicina ou ceftarolina se apropriado. MRSA bacteremia/endocardite/pele: vancomicina, daptomicina ou ceftarolina conforme foco. VRE não-pulmonar: daptomicina dose alta pode ser alternativa. Evitar daptomicina em pneumonia.</w:t>
            </w:r>
          </w:p>
        </w:tc>
        <w:tc>
          <w:tcPr>
            <w:tcW w:type="dxa" w:w="3600"/>
            <w:shd w:fill="F8FB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Monitorar hemograma seriado. Ajustar estratégia por cultura, MIC, sítio infeccioso, função renal e parecer da infectologia.</w:t>
            </w:r>
          </w:p>
        </w:tc>
      </w:tr>
      <w:tr>
        <w:tc>
          <w:tcPr>
            <w:tcW w:type="dxa" w:w="2232"/>
            <w:shd w:fill="FFFFFF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4. Vancomicina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Queda grave/aguda, às vezes &lt;20 mil, com petéquias ou sangramento; relação temporal com uso ou reexposição.</w:t>
            </w:r>
          </w:p>
        </w:tc>
        <w:tc>
          <w:tcPr>
            <w:tcW w:type="dxa" w:w="2376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Plaquetopenia imune induzida por droga; anticorpos dependentes de vancomicina.</w:t>
            </w:r>
          </w:p>
        </w:tc>
        <w:tc>
          <w:tcPr>
            <w:tcW w:type="dxa" w:w="4464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MRSA pneumonia: linezolida ou ceftarolina. MRSA bacteremia/endocardite: daptomicina ou ceftarolina conforme cenário. Pele/partes moles: daptomicina, ceftarolina, linezolida, clindamicina se sensível e quadro leve.</w:t>
            </w:r>
          </w:p>
        </w:tc>
        <w:tc>
          <w:tcPr>
            <w:tcW w:type="dxa" w:w="3600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Evitar reexposição se suspeita forte. Daptomicina não serve para pneumonia por inativação pelo surfactante.</w:t>
            </w:r>
          </w:p>
        </w:tc>
      </w:tr>
      <w:tr>
        <w:tc>
          <w:tcPr>
            <w:tcW w:type="dxa" w:w="2232"/>
            <w:shd w:fill="F8FBFF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5. Piperacilina-tazobactam</w:t>
            </w:r>
          </w:p>
        </w:tc>
        <w:tc>
          <w:tcPr>
            <w:tcW w:type="dxa" w:w="2880"/>
            <w:shd w:fill="F8FB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Plaquetopenia nova em paciente séptico usando beta-lactâmico amplo; pode ser intensa e rápida em reexposição.</w:t>
            </w:r>
          </w:p>
        </w:tc>
        <w:tc>
          <w:tcPr>
            <w:tcW w:type="dxa" w:w="2376"/>
            <w:shd w:fill="F8FB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Frequentemente imune; beta-lactâmicos também podem contribuir para citopenias em uso prolongado.</w:t>
            </w:r>
          </w:p>
        </w:tc>
        <w:tc>
          <w:tcPr>
            <w:tcW w:type="dxa" w:w="4464"/>
            <w:shd w:fill="F8FB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Depende do foco: cefepime + metronidazol para cobertura antipseudomonas + anaeróbios; meropenem se ESBL/choque/risco alto; aztreonam + metronidazol + cobertura Gram+ quando alergia/evitar beta-lactâmico selecionado.</w:t>
            </w:r>
          </w:p>
        </w:tc>
        <w:tc>
          <w:tcPr>
            <w:tcW w:type="dxa" w:w="3600"/>
            <w:shd w:fill="F8FB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Não reduzir cobertura no choque séptico sem plano. Reavaliar cultura, foco, antibiograma e epidemiologia local.</w:t>
            </w:r>
          </w:p>
        </w:tc>
      </w:tr>
    </w:tbl>
    <w:p>
      <w:r>
        <w:br w:type="page"/>
      </w:r>
    </w:p>
    <w:p>
      <w:pPr>
        <w:pStyle w:val="Heading1"/>
      </w:pPr>
      <w:r>
        <w:t>Tabela-mãe: 10 drogas de UTI e substituições possíveis — parte 2/2</w:t>
      </w:r>
    </w:p>
    <w:p>
      <w:pPr>
        <w:jc w:val="left"/>
      </w:pPr>
      <w:r>
        <w:rPr>
          <w:i/>
          <w:color w:val="5A5A5A"/>
          <w:sz w:val="17"/>
        </w:rPr>
        <w:t>Use esta tabela como triagem. A substituição final depende de foco infeccioso, cultura, função renal/hepática, gravidade, disponibilidade local e protocolo institucional.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23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Droga suspeita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Quando suspeitar</w:t>
            </w:r>
          </w:p>
        </w:tc>
        <w:tc>
          <w:tcPr>
            <w:tcW w:type="dxa" w:w="237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Mecanismo provável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Substituir por / estratégia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Observações críticas</w:t>
            </w:r>
          </w:p>
        </w:tc>
      </w:tr>
      <w:tr>
        <w:tc>
          <w:tcPr>
            <w:tcW w:type="dxa" w:w="2232"/>
            <w:shd w:fill="F8FBFF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6. Cefalosporinas: cefepime, ceftriaxona, cefazolina, ceftazidima</w:t>
            </w:r>
          </w:p>
        </w:tc>
        <w:tc>
          <w:tcPr>
            <w:tcW w:type="dxa" w:w="2880"/>
            <w:shd w:fill="F8FB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Queda temporal após início; pensar mais se outras causas foram afastadas e há recuperação após suspensão.</w:t>
            </w:r>
          </w:p>
        </w:tc>
        <w:tc>
          <w:tcPr>
            <w:tcW w:type="dxa" w:w="2376"/>
            <w:shd w:fill="F8FB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Plaquetopenia imune rara; uso prolongado pode associar-se a citopenias.</w:t>
            </w:r>
          </w:p>
        </w:tc>
        <w:tc>
          <w:tcPr>
            <w:tcW w:type="dxa" w:w="4464"/>
            <w:shd w:fill="F8FB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Conforme foco: carbapenêmico em infecção grave/ESBL; aztreonam + metronidazol quando precisa evitar beta-lactâmico; quinolona ou aminoglicosídeo como componente em cenários selecionados; clindamicina/vancomicina em profilaxia cirúrgica com alergia, conforme protocolo.</w:t>
            </w:r>
          </w:p>
        </w:tc>
        <w:tc>
          <w:tcPr>
            <w:tcW w:type="dxa" w:w="3600"/>
            <w:shd w:fill="F8FB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Cuidado com troca dentro da mesma classe se suspeita imune forte. Ideal: discutir com infectologia/farmácia clínica.</w:t>
            </w:r>
          </w:p>
        </w:tc>
      </w:tr>
      <w:tr>
        <w:tc>
          <w:tcPr>
            <w:tcW w:type="dxa" w:w="2232"/>
            <w:shd w:fill="FFFFFF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7. Sulfametoxazol-trimetoprim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Clássico de plaquetopenia imune; pode ser grave. Também pode causar leucopenia/hipercalemia/lesão renal.</w:t>
            </w:r>
          </w:p>
        </w:tc>
        <w:tc>
          <w:tcPr>
            <w:tcW w:type="dxa" w:w="2376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Imune e/ou mielotoxicidade, especialmente em uso prolongado, deficiência de folato, HIV/transplante.</w:t>
            </w:r>
          </w:p>
        </w:tc>
        <w:tc>
          <w:tcPr>
            <w:tcW w:type="dxa" w:w="4464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Pneumocistose: clindamicina + primaquina (checar G6PD), atovaquona em casos leves, pentamidina IV em casos selecionados. Nocardia: imipenem, amikacina, linezolida ou ceftriaxona conforme espécie/sensibilidade. UTI simples: guiar por cultura.</w:t>
            </w:r>
          </w:p>
        </w:tc>
        <w:tc>
          <w:tcPr>
            <w:tcW w:type="dxa" w:w="3600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 suspeita imune grave, evitar reexposição. Para primaquina/dapsona, checar G6PD quando possível.</w:t>
            </w:r>
          </w:p>
        </w:tc>
      </w:tr>
      <w:tr>
        <w:tc>
          <w:tcPr>
            <w:tcW w:type="dxa" w:w="2232"/>
            <w:shd w:fill="F8FBFF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8. Ácido valproico / valproato</w:t>
            </w:r>
          </w:p>
        </w:tc>
        <w:tc>
          <w:tcPr>
            <w:tcW w:type="dxa" w:w="2880"/>
            <w:shd w:fill="F8FB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Plaquetopenia dose/nível-dependente; risco maior com níveis altos, idoso, sexo feminino, hipoalbuminemia, hepatopatia.</w:t>
            </w:r>
          </w:p>
        </w:tc>
        <w:tc>
          <w:tcPr>
            <w:tcW w:type="dxa" w:w="2376"/>
            <w:shd w:fill="F8FB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Redução de produção e/ou toxicidade medular; pode coexistir com disfunção plaquetária.</w:t>
            </w:r>
          </w:p>
        </w:tc>
        <w:tc>
          <w:tcPr>
            <w:tcW w:type="dxa" w:w="4464"/>
            <w:shd w:fill="F8FB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Levetiracetam é alternativa prática para profilaxia/tratamento de crises na UTI; lacosamida é opção em crises focais/adjunto; benzodiazepínico + levetiracetam/lacosamida em status conforme protocolo.</w:t>
            </w:r>
          </w:p>
        </w:tc>
        <w:tc>
          <w:tcPr>
            <w:tcW w:type="dxa" w:w="3600"/>
            <w:shd w:fill="F8FB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Checar amônia, transaminases, nível total e considerar nível livre se hipoalbuminemia. Redução de dose pode bastar em queda leve, mas suspender se grave/sangramento.</w:t>
            </w:r>
          </w:p>
        </w:tc>
      </w:tr>
      <w:tr>
        <w:tc>
          <w:tcPr>
            <w:tcW w:type="dxa" w:w="2232"/>
            <w:shd w:fill="FFFFFF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9. Fenitoína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Plaquetopenia rara, mas possível; pode vir com rash, febre, DRESS, leucopenia ou pancitopenia.</w:t>
            </w:r>
          </w:p>
        </w:tc>
        <w:tc>
          <w:tcPr>
            <w:tcW w:type="dxa" w:w="2376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Imune ou discrasia hematológica/supressão medular rara.</w:t>
            </w:r>
          </w:p>
        </w:tc>
        <w:tc>
          <w:tcPr>
            <w:tcW w:type="dxa" w:w="4464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Levetiracetam costuma ser a troca mais prática em TCE/neuro-UTI; lacosamida pode ser alternativa/adjunto; valproato deve ser evitado se plaquetopenia importante, hepatopatia ou hiperamonemia.</w:t>
            </w:r>
          </w:p>
        </w:tc>
        <w:tc>
          <w:tcPr>
            <w:tcW w:type="dxa" w:w="3600"/>
            <w:shd w:fill="FFFF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Evitar reexposição se suspeita forte. Avaliar interação medicamentosa, albumina e nível livre em hipoalbuminemia/DRC.</w:t>
            </w:r>
          </w:p>
        </w:tc>
      </w:tr>
      <w:tr>
        <w:tc>
          <w:tcPr>
            <w:tcW w:type="dxa" w:w="2232"/>
            <w:shd w:fill="F8FBFF"/>
            <w:vAlign w:val="top"/>
          </w:tcPr>
          <w:p>
            <w:pPr>
              <w:jc w:val="left"/>
            </w:pPr>
            <w:r/>
            <w:r>
              <w:rPr>
                <w:b/>
                <w:sz w:val="16"/>
              </w:rPr>
              <w:t>10. Ganciclovir / valganciclovir</w:t>
            </w:r>
          </w:p>
        </w:tc>
        <w:tc>
          <w:tcPr>
            <w:tcW w:type="dxa" w:w="2880"/>
            <w:shd w:fill="F8FB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Citopenias em paciente transplantado/imunossuprimido/CMV: neutropenia, anemia e plaquetopenia; risco maior em DRC e dose acumulada.</w:t>
            </w:r>
          </w:p>
        </w:tc>
        <w:tc>
          <w:tcPr>
            <w:tcW w:type="dxa" w:w="2376"/>
            <w:shd w:fill="F8FB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Mielotoxicidade/supressão medular.</w:t>
            </w:r>
          </w:p>
        </w:tc>
        <w:tc>
          <w:tcPr>
            <w:tcW w:type="dxa" w:w="4464"/>
            <w:shd w:fill="F8FB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Ajustar dose pela função renal; pausar/reduzir se possível; considerar foscarnet em CMV quando mielotoxicidade impede ganciclovir, ponderando nefrotoxicidade e distúrbios eletrolíticos. Letermovir é mais profilático em contextos específicos; não é substituto universal de tratamento.</w:t>
            </w:r>
          </w:p>
        </w:tc>
        <w:tc>
          <w:tcPr>
            <w:tcW w:type="dxa" w:w="3600"/>
            <w:shd w:fill="F8FBFF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Decisão deve ser individualizada com infectologia/transplante. Monitorar hemograma, função renal, eletrólitos e carga viral quando aplicável.</w:t>
            </w:r>
          </w:p>
        </w:tc>
      </w:tr>
    </w:tbl>
    <w:p>
      <w:r>
        <w:br w:type="page"/>
      </w:r>
    </w:p>
    <w:p>
      <w:pPr>
        <w:pStyle w:val="Heading1"/>
      </w:pPr>
      <w:r>
        <w:t>Algoritmo rápido: plaqueta caiu na UTI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7769"/>
        <w:gridCol w:w="7769"/>
      </w:tblGrid>
      <w:tr>
        <w:tc>
          <w:tcPr>
            <w:tcW w:type="dxa" w:w="7769"/>
            <w:shd w:fill="5B9BD5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Passo</w:t>
            </w:r>
          </w:p>
        </w:tc>
        <w:tc>
          <w:tcPr>
            <w:tcW w:type="dxa" w:w="7769"/>
            <w:shd w:fill="5B9BD5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Conduta prática</w:t>
            </w:r>
          </w:p>
        </w:tc>
      </w:tr>
      <w:tr>
        <w:tc>
          <w:tcPr>
            <w:tcW w:type="dxa" w:w="7769"/>
          </w:tcPr>
          <w:p>
            <w:pPr>
              <w:jc w:val="left"/>
            </w:pPr>
            <w:r/>
            <w:r>
              <w:rPr>
                <w:b/>
                <w:sz w:val="18"/>
              </w:rPr>
              <w:t>1. Confirmar</w:t>
            </w:r>
          </w:p>
        </w:tc>
        <w:tc>
          <w:tcPr>
            <w:tcW w:type="dxa" w:w="77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Repetir hemograma; checar lâmina se suspeita de pseudoplaquetopenia por EDTA/agregados.</w:t>
            </w:r>
          </w:p>
        </w:tc>
      </w:tr>
      <w:tr>
        <w:tc>
          <w:tcPr>
            <w:tcW w:type="dxa" w:w="7769"/>
          </w:tcPr>
          <w:p>
            <w:pPr>
              <w:jc w:val="left"/>
            </w:pPr>
            <w:r/>
            <w:r>
              <w:rPr>
                <w:b/>
                <w:sz w:val="18"/>
              </w:rPr>
              <w:t>2. Quantificar gravidade</w:t>
            </w:r>
          </w:p>
        </w:tc>
        <w:tc>
          <w:tcPr>
            <w:tcW w:type="dxa" w:w="77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Plaquetas &lt;50 mil: revisar sangramento/procedimentos. &lt;20-30 mil ou sangramento: discutir transfusão e hematologia.</w:t>
            </w:r>
          </w:p>
        </w:tc>
      </w:tr>
      <w:tr>
        <w:tc>
          <w:tcPr>
            <w:tcW w:type="dxa" w:w="7769"/>
          </w:tcPr>
          <w:p>
            <w:pPr>
              <w:jc w:val="left"/>
            </w:pPr>
            <w:r/>
            <w:r>
              <w:rPr>
                <w:b/>
                <w:sz w:val="18"/>
              </w:rPr>
              <w:t>3. Procurar causas não farmacológicas</w:t>
            </w:r>
          </w:p>
        </w:tc>
        <w:tc>
          <w:tcPr>
            <w:tcW w:type="dxa" w:w="77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Sepse, CIVD, sangramento, transfusão maciça, CRRT/ECMO, hepatopatia, TMA/PTT/SHU, hiperesplenismo.</w:t>
            </w:r>
          </w:p>
        </w:tc>
      </w:tr>
      <w:tr>
        <w:tc>
          <w:tcPr>
            <w:tcW w:type="dxa" w:w="7769"/>
          </w:tcPr>
          <w:p>
            <w:pPr>
              <w:jc w:val="left"/>
            </w:pPr>
            <w:r/>
            <w:r>
              <w:rPr>
                <w:b/>
                <w:sz w:val="18"/>
              </w:rPr>
              <w:t>4. Revisar drogas dos últimos 14 dias</w:t>
            </w:r>
          </w:p>
        </w:tc>
        <w:tc>
          <w:tcPr>
            <w:tcW w:type="dxa" w:w="77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Priorizar heparinas, linezolida, vancomicina, piperacilina-tazobactam, cefalosporinas, SMX-TMP, valproato/fenitoína, ganciclovir.</w:t>
            </w:r>
          </w:p>
        </w:tc>
      </w:tr>
      <w:tr>
        <w:tc>
          <w:tcPr>
            <w:tcW w:type="dxa" w:w="7769"/>
          </w:tcPr>
          <w:p>
            <w:pPr>
              <w:jc w:val="left"/>
            </w:pPr>
            <w:r/>
            <w:r>
              <w:rPr>
                <w:b/>
                <w:sz w:val="18"/>
              </w:rPr>
              <w:t>5. Se heparina/enoxaparina</w:t>
            </w:r>
          </w:p>
        </w:tc>
        <w:tc>
          <w:tcPr>
            <w:tcW w:type="dxa" w:w="77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Calcular 4T score. Se intermediário/alto: suspender heparinas e iniciar anticoagulante não-heparínico se sem contraindicação.</w:t>
            </w:r>
          </w:p>
        </w:tc>
      </w:tr>
      <w:tr>
        <w:tc>
          <w:tcPr>
            <w:tcW w:type="dxa" w:w="7769"/>
          </w:tcPr>
          <w:p>
            <w:pPr>
              <w:jc w:val="left"/>
            </w:pPr>
            <w:r/>
            <w:r>
              <w:rPr>
                <w:b/>
                <w:sz w:val="18"/>
              </w:rPr>
              <w:t>6. Se antibiótico suspeito</w:t>
            </w:r>
          </w:p>
        </w:tc>
        <w:tc>
          <w:tcPr>
            <w:tcW w:type="dxa" w:w="77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Não deixar buraco de cobertura: trocar por equivalente guiado por foco, culturas e epidemiologia local.</w:t>
            </w:r>
          </w:p>
        </w:tc>
      </w:tr>
      <w:tr>
        <w:tc>
          <w:tcPr>
            <w:tcW w:type="dxa" w:w="7769"/>
          </w:tcPr>
          <w:p>
            <w:pPr>
              <w:jc w:val="left"/>
            </w:pPr>
            <w:r/>
            <w:r>
              <w:rPr>
                <w:b/>
                <w:sz w:val="18"/>
              </w:rPr>
              <w:t>7. Se anticonvulsivante suspeito</w:t>
            </w:r>
          </w:p>
        </w:tc>
        <w:tc>
          <w:tcPr>
            <w:tcW w:type="dxa" w:w="77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Trocar preferencialmente para levetiracetam ou lacosamida, ajustando função renal e indicação neurológica.</w:t>
            </w:r>
          </w:p>
        </w:tc>
      </w:tr>
      <w:tr>
        <w:tc>
          <w:tcPr>
            <w:tcW w:type="dxa" w:w="7769"/>
          </w:tcPr>
          <w:p>
            <w:pPr>
              <w:jc w:val="left"/>
            </w:pPr>
            <w:r/>
            <w:r>
              <w:rPr>
                <w:b/>
                <w:sz w:val="18"/>
              </w:rPr>
              <w:t>8. Reavaliar resposta</w:t>
            </w:r>
          </w:p>
        </w:tc>
        <w:tc>
          <w:tcPr>
            <w:tcW w:type="dxa" w:w="77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Aumento de plaquetas em 48-96h após suspensão ajuda na causalidade; recuperação pode demorar se mielotoxicidade.</w:t>
            </w:r>
          </w:p>
        </w:tc>
      </w:tr>
    </w:tbl>
    <w:p>
      <w:r>
        <w:br w:type="page"/>
      </w:r>
    </w:p>
    <w:p>
      <w:pPr>
        <w:pStyle w:val="Heading1"/>
      </w:pPr>
      <w:r>
        <w:t>Ordem prática de revisão no prontuário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79"/>
        <w:gridCol w:w="5179"/>
        <w:gridCol w:w="5179"/>
      </w:tblGrid>
      <w:tr>
        <w:tc>
          <w:tcPr>
            <w:tcW w:type="dxa" w:w="5179"/>
            <w:shd w:fill="70AD47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5179"/>
            <w:shd w:fill="70AD47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Droga/classe</w:t>
            </w:r>
          </w:p>
        </w:tc>
        <w:tc>
          <w:tcPr>
            <w:tcW w:type="dxa" w:w="5179"/>
            <w:shd w:fill="70AD47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Por que revisar cedo?</w:t>
            </w:r>
          </w:p>
        </w:tc>
      </w:tr>
      <w:tr>
        <w:tc>
          <w:tcPr>
            <w:tcW w:type="dxa" w:w="5179"/>
          </w:tcPr>
          <w:p>
            <w:pPr>
              <w:jc w:val="left"/>
            </w:pPr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5179"/>
          </w:tcPr>
          <w:p>
            <w:pPr>
              <w:jc w:val="left"/>
            </w:pPr>
            <w:r/>
            <w:r>
              <w:rPr>
                <w:b/>
                <w:sz w:val="18"/>
              </w:rPr>
              <w:t>Heparina/HBPM</w:t>
            </w:r>
          </w:p>
        </w:tc>
        <w:tc>
          <w:tcPr>
            <w:tcW w:type="dxa" w:w="517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Risco de HIT e trombose; muda anticoagulação imediatamente.</w:t>
            </w:r>
          </w:p>
        </w:tc>
      </w:tr>
      <w:tr>
        <w:tc>
          <w:tcPr>
            <w:tcW w:type="dxa" w:w="5179"/>
          </w:tcPr>
          <w:p>
            <w:pPr>
              <w:jc w:val="left"/>
            </w:pPr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5179"/>
          </w:tcPr>
          <w:p>
            <w:pPr>
              <w:jc w:val="left"/>
            </w:pPr>
            <w:r/>
            <w:r>
              <w:rPr>
                <w:b/>
                <w:sz w:val="18"/>
              </w:rPr>
              <w:t>Linezolida</w:t>
            </w:r>
          </w:p>
        </w:tc>
        <w:tc>
          <w:tcPr>
            <w:tcW w:type="dxa" w:w="517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Muito vista na UTI; risco maior com DRC e uso prolongado.</w:t>
            </w:r>
          </w:p>
        </w:tc>
      </w:tr>
      <w:tr>
        <w:tc>
          <w:tcPr>
            <w:tcW w:type="dxa" w:w="5179"/>
          </w:tcPr>
          <w:p>
            <w:pPr>
              <w:jc w:val="left"/>
            </w:pPr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5179"/>
          </w:tcPr>
          <w:p>
            <w:pPr>
              <w:jc w:val="left"/>
            </w:pPr>
            <w:r/>
            <w:r>
              <w:rPr>
                <w:b/>
                <w:sz w:val="18"/>
              </w:rPr>
              <w:t>Vancomicina</w:t>
            </w:r>
          </w:p>
        </w:tc>
        <w:tc>
          <w:tcPr>
            <w:tcW w:type="dxa" w:w="517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Pode causar DITP grave; alternativa depende do sítio MRSA.</w:t>
            </w:r>
          </w:p>
        </w:tc>
      </w:tr>
      <w:tr>
        <w:tc>
          <w:tcPr>
            <w:tcW w:type="dxa" w:w="5179"/>
          </w:tcPr>
          <w:p>
            <w:pPr>
              <w:jc w:val="left"/>
            </w:pPr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5179"/>
          </w:tcPr>
          <w:p>
            <w:pPr>
              <w:jc w:val="left"/>
            </w:pPr>
            <w:r/>
            <w:r>
              <w:rPr>
                <w:b/>
                <w:sz w:val="18"/>
              </w:rPr>
              <w:t>Piperacilina-tazobactam / cefalosporinas</w:t>
            </w:r>
          </w:p>
        </w:tc>
        <w:tc>
          <w:tcPr>
            <w:tcW w:type="dxa" w:w="517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Antibióticos amplos são comuns e podem ser causa imune.</w:t>
            </w:r>
          </w:p>
        </w:tc>
      </w:tr>
      <w:tr>
        <w:tc>
          <w:tcPr>
            <w:tcW w:type="dxa" w:w="5179"/>
          </w:tcPr>
          <w:p>
            <w:pPr>
              <w:jc w:val="left"/>
            </w:pPr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5179"/>
          </w:tcPr>
          <w:p>
            <w:pPr>
              <w:jc w:val="left"/>
            </w:pPr>
            <w:r/>
            <w:r>
              <w:rPr>
                <w:b/>
                <w:sz w:val="18"/>
              </w:rPr>
              <w:t>SMX-TMP</w:t>
            </w:r>
          </w:p>
        </w:tc>
        <w:tc>
          <w:tcPr>
            <w:tcW w:type="dxa" w:w="517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Clássico; importante em PJP/Nocardia/transplante.</w:t>
            </w:r>
          </w:p>
        </w:tc>
      </w:tr>
      <w:tr>
        <w:tc>
          <w:tcPr>
            <w:tcW w:type="dxa" w:w="5179"/>
          </w:tcPr>
          <w:p>
            <w:pPr>
              <w:jc w:val="left"/>
            </w:pPr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5179"/>
          </w:tcPr>
          <w:p>
            <w:pPr>
              <w:jc w:val="left"/>
            </w:pPr>
            <w:r/>
            <w:r>
              <w:rPr>
                <w:b/>
                <w:sz w:val="18"/>
              </w:rPr>
              <w:t>Valproato/fenitoína</w:t>
            </w:r>
          </w:p>
        </w:tc>
        <w:tc>
          <w:tcPr>
            <w:tcW w:type="dxa" w:w="517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Neuro-UTI/TCE/status; troca costuma ser levetiracetam/lacosamida.</w:t>
            </w:r>
          </w:p>
        </w:tc>
      </w:tr>
      <w:tr>
        <w:tc>
          <w:tcPr>
            <w:tcW w:type="dxa" w:w="5179"/>
          </w:tcPr>
          <w:p>
            <w:pPr>
              <w:jc w:val="left"/>
            </w:pPr>
            <w:r/>
            <w:r>
              <w:rPr>
                <w:b/>
                <w:sz w:val="18"/>
              </w:rPr>
              <w:t>7</w:t>
            </w:r>
          </w:p>
        </w:tc>
        <w:tc>
          <w:tcPr>
            <w:tcW w:type="dxa" w:w="5179"/>
          </w:tcPr>
          <w:p>
            <w:pPr>
              <w:jc w:val="left"/>
            </w:pPr>
            <w:r/>
            <w:r>
              <w:rPr>
                <w:b/>
                <w:sz w:val="18"/>
              </w:rPr>
              <w:t>Ganciclovir/valganciclovir</w:t>
            </w:r>
          </w:p>
        </w:tc>
        <w:tc>
          <w:tcPr>
            <w:tcW w:type="dxa" w:w="517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Mielotoxicidade em imunossuprimidos/CMV.</w:t>
            </w:r>
          </w:p>
        </w:tc>
      </w:tr>
    </w:tbl>
    <w:p>
      <w:pPr>
        <w:pStyle w:val="Heading1"/>
      </w:pPr>
      <w:r>
        <w:t>Drogas extras que também podem entrar no radar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7769"/>
        <w:gridCol w:w="7769"/>
      </w:tblGrid>
      <w:tr>
        <w:tc>
          <w:tcPr>
            <w:tcW w:type="dxa" w:w="7769"/>
            <w:shd w:fill="8064A2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7769"/>
            <w:shd w:fill="8064A2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Exemplos/observação</w:t>
            </w:r>
          </w:p>
        </w:tc>
      </w:tr>
      <w:tr>
        <w:tc>
          <w:tcPr>
            <w:tcW w:type="dxa" w:w="7769"/>
          </w:tcPr>
          <w:p>
            <w:pPr>
              <w:jc w:val="left"/>
            </w:pPr>
            <w:r/>
            <w:r>
              <w:rPr>
                <w:b/>
                <w:sz w:val="18"/>
              </w:rPr>
              <w:t>Quinolonas</w:t>
            </w:r>
          </w:p>
        </w:tc>
        <w:tc>
          <w:tcPr>
            <w:tcW w:type="dxa" w:w="77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ciprofloxacino, levofloxacino: raras, mas descritas.</w:t>
            </w:r>
          </w:p>
        </w:tc>
      </w:tr>
      <w:tr>
        <w:tc>
          <w:tcPr>
            <w:tcW w:type="dxa" w:w="7769"/>
          </w:tcPr>
          <w:p>
            <w:pPr>
              <w:jc w:val="left"/>
            </w:pPr>
            <w:r/>
            <w:r>
              <w:rPr>
                <w:b/>
                <w:sz w:val="18"/>
              </w:rPr>
              <w:t>Rifampicina</w:t>
            </w:r>
          </w:p>
        </w:tc>
        <w:tc>
          <w:tcPr>
            <w:tcW w:type="dxa" w:w="77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plaquetopenia imune, especialmente com uso intermitente/reexposição.</w:t>
            </w:r>
          </w:p>
        </w:tc>
      </w:tr>
      <w:tr>
        <w:tc>
          <w:tcPr>
            <w:tcW w:type="dxa" w:w="7769"/>
          </w:tcPr>
          <w:p>
            <w:pPr>
              <w:jc w:val="left"/>
            </w:pPr>
            <w:r/>
            <w:r>
              <w:rPr>
                <w:b/>
                <w:sz w:val="18"/>
              </w:rPr>
              <w:t>IBP</w:t>
            </w:r>
          </w:p>
        </w:tc>
        <w:tc>
          <w:tcPr>
            <w:tcW w:type="dxa" w:w="77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pantoprazol/omeprazol: raro; geralmente diagnóstico de exclusão.</w:t>
            </w:r>
          </w:p>
        </w:tc>
      </w:tr>
      <w:tr>
        <w:tc>
          <w:tcPr>
            <w:tcW w:type="dxa" w:w="7769"/>
          </w:tcPr>
          <w:p>
            <w:pPr>
              <w:jc w:val="left"/>
            </w:pPr>
            <w:r/>
            <w:r>
              <w:rPr>
                <w:b/>
                <w:sz w:val="18"/>
              </w:rPr>
              <w:t>Diuréticos</w:t>
            </w:r>
          </w:p>
        </w:tc>
        <w:tc>
          <w:tcPr>
            <w:tcW w:type="dxa" w:w="77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furosemida, tiazídicos: raros.</w:t>
            </w:r>
          </w:p>
        </w:tc>
      </w:tr>
      <w:tr>
        <w:tc>
          <w:tcPr>
            <w:tcW w:type="dxa" w:w="7769"/>
          </w:tcPr>
          <w:p>
            <w:pPr>
              <w:jc w:val="left"/>
            </w:pPr>
            <w:r/>
            <w:r>
              <w:rPr>
                <w:b/>
                <w:sz w:val="18"/>
              </w:rPr>
              <w:t>AINEs/dipirona</w:t>
            </w:r>
          </w:p>
        </w:tc>
        <w:tc>
          <w:tcPr>
            <w:tcW w:type="dxa" w:w="77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mais lembrados por disfunção plaquetária/agranulocitose, mas podem cursar com citopenias.</w:t>
            </w:r>
          </w:p>
        </w:tc>
      </w:tr>
      <w:tr>
        <w:tc>
          <w:tcPr>
            <w:tcW w:type="dxa" w:w="7769"/>
          </w:tcPr>
          <w:p>
            <w:pPr>
              <w:jc w:val="left"/>
            </w:pPr>
            <w:r/>
            <w:r>
              <w:rPr>
                <w:b/>
                <w:sz w:val="18"/>
              </w:rPr>
              <w:t>Imunossupressores/quimioterápicos</w:t>
            </w:r>
          </w:p>
        </w:tc>
        <w:tc>
          <w:tcPr>
            <w:tcW w:type="dxa" w:w="776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metotrexato, azatioprina, micofenolato, ciclofosfamida: mielossupressão.</w:t>
            </w:r>
          </w:p>
        </w:tc>
      </w:tr>
    </w:tbl>
    <w:p>
      <w:r>
        <w:br w:type="page"/>
      </w:r>
    </w:p>
    <w:p>
      <w:pPr>
        <w:pStyle w:val="Heading1"/>
      </w:pPr>
      <w:r>
        <w:t>Substituições: regras de ouro para não errar</w:t>
      </w:r>
    </w:p>
    <w:p>
      <w:pPr>
        <w:pStyle w:val="ListBullet"/>
      </w:pPr>
      <w:r>
        <w:rPr>
          <w:sz w:val="20"/>
        </w:rPr>
        <w:t>Nunca retirar antibiótico amplo de paciente em choque sem colocar cobertura equivalente e sem revisar foco/cultura.</w:t>
      </w:r>
    </w:p>
    <w:p>
      <w:pPr>
        <w:pStyle w:val="ListBullet"/>
      </w:pPr>
      <w:r>
        <w:rPr>
          <w:sz w:val="20"/>
        </w:rPr>
        <w:t>Daptomicina é excelente para bacteremia/endocardite/pele por Gram+ resistente, mas não serve para pneumonia.</w:t>
      </w:r>
    </w:p>
    <w:p>
      <w:pPr>
        <w:pStyle w:val="ListBullet"/>
      </w:pPr>
      <w:r>
        <w:rPr>
          <w:sz w:val="20"/>
        </w:rPr>
        <w:t>Se suspeita de HIT, não substituir heparina por enoxaparina; usar anticoagulante não-heparínico.</w:t>
      </w:r>
    </w:p>
    <w:p>
      <w:pPr>
        <w:pStyle w:val="ListBullet"/>
      </w:pPr>
      <w:r>
        <w:rPr>
          <w:sz w:val="20"/>
        </w:rPr>
        <w:t>Em plaquetopenia grave por droga imune, evitar reexposição: a próxima queda pode ser mais rápida e intensa.</w:t>
      </w:r>
    </w:p>
    <w:p>
      <w:pPr>
        <w:pStyle w:val="ListBullet"/>
      </w:pPr>
      <w:r>
        <w:rPr>
          <w:sz w:val="20"/>
        </w:rPr>
        <w:t>Em mielotoxicidade, a recuperação pode demorar; considere outras citopenias e suporte hematológico.</w:t>
      </w:r>
    </w:p>
    <w:p>
      <w:pPr>
        <w:pStyle w:val="ListBullet"/>
      </w:pPr>
      <w:r>
        <w:rPr>
          <w:sz w:val="20"/>
        </w:rPr>
        <w:t>Em anticonvulsivante neuro-UTI, levetiracetam é frequentemente a troca mais simples; ajustar dose pela função renal.</w:t>
      </w:r>
    </w:p>
    <w:p>
      <w:r>
        <w:br w:type="page"/>
      </w:r>
    </w:p>
    <w:p>
      <w:pPr>
        <w:pStyle w:val="Heading1"/>
      </w:pPr>
      <w:r>
        <w:t>Referências essenciais usadas para construção do guia</w:t>
      </w:r>
    </w:p>
    <w:p>
      <w:pPr>
        <w:pStyle w:val="ListNumber"/>
      </w:pPr>
      <w:r>
        <w:rPr>
          <w:sz w:val="18"/>
        </w:rPr>
        <w:t>Cuker A, et al. American Society of Hematology 2018 guidelines for management of venous thromboembolism: heparin-induced thrombocytopenia. Blood Advances. 2018.</w:t>
      </w:r>
    </w:p>
    <w:p>
      <w:pPr>
        <w:pStyle w:val="ListNumber"/>
      </w:pPr>
      <w:r>
        <w:rPr>
          <w:sz w:val="18"/>
        </w:rPr>
        <w:t>Aster RH, Bougie DW. Drug-induced immune thrombocytopenia. New England Journal of Medicine / review literature; and open review: PMC2935185.</w:t>
      </w:r>
    </w:p>
    <w:p>
      <w:pPr>
        <w:pStyle w:val="ListNumber"/>
      </w:pPr>
      <w:r>
        <w:rPr>
          <w:sz w:val="18"/>
        </w:rPr>
        <w:t>Reese JA, et al. Identifying drugs that cause acute thrombocytopenia: an analysis using 3 distinct methods. Blood. 2010.</w:t>
      </w:r>
    </w:p>
    <w:p>
      <w:pPr>
        <w:pStyle w:val="ListNumber"/>
      </w:pPr>
      <w:r>
        <w:rPr>
          <w:sz w:val="18"/>
        </w:rPr>
        <w:t>Laarhuis SRE, et al. Linezolid-Induced Thrombocytopenia in Patients with Renal Impairment. Drugs in R&amp;D. 2024.</w:t>
      </w:r>
    </w:p>
    <w:p>
      <w:pPr>
        <w:pStyle w:val="ListNumber"/>
      </w:pPr>
      <w:r>
        <w:rPr>
          <w:sz w:val="18"/>
        </w:rPr>
        <w:t>Buoli M, et al. The Risk of Thrombocytopenia During Valproic Acid Therapy: A Critical Summary. Drugs R D. 2018.</w:t>
      </w:r>
    </w:p>
    <w:p>
      <w:pPr>
        <w:pStyle w:val="ListNumber"/>
      </w:pPr>
      <w:r>
        <w:rPr>
          <w:sz w:val="18"/>
        </w:rPr>
        <w:t>FDA/DailyMed. Ganciclovir prescribing information: hematologic toxicity including neutropenia, anemia and thrombocytopenia.</w:t>
      </w:r>
    </w:p>
    <w:p>
      <w:pPr>
        <w:pStyle w:val="ListNumber"/>
      </w:pPr>
      <w:r>
        <w:rPr>
          <w:sz w:val="18"/>
        </w:rPr>
        <w:t>MedlinePlus. Drug-induced immune thrombocytopenia: overview and implicated drugs.</w:t>
      </w:r>
    </w:p>
    <w:p>
      <w:pPr>
        <w:pStyle w:val="ListNumber"/>
      </w:pPr>
      <w:r>
        <w:rPr>
          <w:sz w:val="18"/>
        </w:rPr>
        <w:t>Relatos/revisões clínicas sobre vancomicina e piperacilina-tazobactam associadas a plaquetopenia imune induzida por drogas.</w:t>
      </w:r>
    </w:p>
    <w:p>
      <w:pPr>
        <w:jc w:val="left"/>
      </w:pPr>
      <w:r>
        <w:rPr>
          <w:i/>
          <w:color w:val="5A5A5A"/>
          <w:sz w:val="17"/>
        </w:rPr>
        <w:t>Atualizado em maio/2026. Material educacional para apoio à decisão; não substitui julgamento clínico, protocolos institucionais, cultura/antibiograma e avaliação de hematologia/infectologia quando indicada.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Documento de apoio clínico - adaptar a culturas, função renal/hepática, protocolos locais e avaliação hematologia/infectologia quando necessário.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05050"/>
        <w:sz w:val="16"/>
      </w:rPr>
      <w:t>Plaquetopenia medicamentosa na UTI - guia rápido de substituição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