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6375A"/>
          <w:sz w:val="50"/>
        </w:rPr>
        <w:t>PLANO DE APRENDIZAGEM POCUS</w:t>
      </w:r>
    </w:p>
    <w:p>
      <w:pPr>
        <w:jc w:val="center"/>
      </w:pPr>
      <w:r>
        <w:rPr>
          <w:rFonts w:ascii="Aptos" w:hAnsi="Aptos" w:eastAsia="Aptos"/>
          <w:b/>
          <w:color w:val="2E74B5"/>
          <w:sz w:val="30"/>
        </w:rPr>
        <w:t>Y-Med Vision Pro 192E / Ultrassom portátil 3 em 1</w:t>
      </w:r>
    </w:p>
    <w:p>
      <w:pPr>
        <w:jc w:val="center"/>
      </w:pPr>
      <w:r>
        <w:rPr>
          <w:rFonts w:ascii="Aptos" w:hAnsi="Aptos" w:eastAsia="Aptos"/>
          <w:b/>
          <w:color w:val="1F4E79"/>
          <w:sz w:val="24"/>
        </w:rPr>
        <w:t>UTI | Emergência | Clínica Médica | POCUS guiado por decisão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16375A"/>
                <w:sz w:val="22"/>
              </w:rPr>
              <w:t>Objetivo central</w:t>
              <w:br/>
            </w:r>
            <w:r>
              <w:rPr>
                <w:rFonts w:ascii="Aptos" w:hAnsi="Aptos" w:eastAsia="Aptos"/>
                <w:b w:val="0"/>
                <w:color w:val="1E1E1E"/>
                <w:sz w:val="20"/>
              </w:rPr>
              <w:t>Transformar o aparelho em um estetoscópio hemodinâmico-respiratório avançado para responder perguntas clínicas rápidas no plantão.</w:t>
              <w:br/>
            </w:r>
            <w:r>
              <w:rPr>
                <w:rFonts w:ascii="Aptos" w:hAnsi="Aptos" w:eastAsia="Aptos"/>
                <w:b w:val="0"/>
                <w:color w:val="1E1E1E"/>
                <w:sz w:val="18"/>
              </w:rPr>
              <w:t>Choque? Congestão? Hipovolemia? Pneumotórax? Derrame? Tamponamento? VD? IVC? Bexigoma? Hidronefrose? Acesso vascular seguro?</w:t>
              <w:br/>
            </w:r>
          </w:p>
        </w:tc>
      </w:tr>
    </w:tbl>
    <w:p>
      <w:pPr>
        <w:jc w:val="center"/>
      </w:pPr>
      <w:r>
        <w:rPr>
          <w:rFonts w:ascii="Aptos" w:hAnsi="Aptos" w:eastAsia="Aptos"/>
          <w:i/>
          <w:color w:val="505050"/>
          <w:sz w:val="19"/>
        </w:rPr>
        <w:t>Versão de bolso expandida para estudo, rotina de plantão e preparação TEMI</w:t>
      </w:r>
    </w:p>
    <w:p>
      <w:r>
        <w:br w:type="page"/>
      </w:r>
    </w:p>
    <w:p>
      <w:pPr>
        <w:pStyle w:val="Heading1"/>
      </w:pPr>
      <w:r>
        <w:t>SUMÁRIO EXECUTIVO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Seção</w:t>
            </w:r>
          </w:p>
        </w:tc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Uso prático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7"/>
              </w:rPr>
              <w:t>1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Domínio técnico do aparelho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instalação, presets, salvamento, exportação e segurança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7"/>
              </w:rPr>
              <w:t>2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Configurações por aplicação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pulmão, coração, vascular, abdome, rim/bexiga e procedimentos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7"/>
              </w:rPr>
              <w:t>3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Cuidados e biossegurança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limpeza, desinfecção, proteção e manutenção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7"/>
              </w:rPr>
              <w:t>4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Trilha de 8 semanas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metas práticas com número de exames e foco de cada semana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7"/>
              </w:rPr>
              <w:t>5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Protocolos POCUS essenciais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BLUE, eFAST, FoCUS, RUSH/HI-MAP, DVT, VExUS e LVOT VTI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7"/>
              </w:rPr>
              <w:t>6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Integração no prontuário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modelo pronto de anotação médica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7"/>
              </w:rPr>
              <w:t>7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7"/>
              </w:rPr>
              <w:t>Logbook de evolução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controle objetivo de treino e qualidade de imagem</w:t>
            </w:r>
          </w:p>
        </w:tc>
      </w:tr>
    </w:tbl>
    <w:p>
      <w:pPr>
        <w:pStyle w:val="Callout"/>
      </w:pPr>
      <w:r>
        <w:rPr>
          <w:b/>
        </w:rPr>
        <w:t xml:space="preserve">Nota de segurança: </w:t>
      </w:r>
      <w:r>
        <w:t>POCUS é exame direcionado por pergunta clínica. Não substitui ecocardiograma completo, tomografia, radiologia formal ou especialista quando esses forem necessários.</w:t>
      </w:r>
    </w:p>
    <w:p>
      <w:r>
        <w:br w:type="page"/>
      </w:r>
    </w:p>
    <w:p>
      <w:pPr>
        <w:pStyle w:val="Heading1"/>
      </w:pPr>
      <w:r>
        <w:t>1. Domínio técnico inicial do Y-Med Vision Pro 192E</w:t>
      </w:r>
    </w:p>
    <w:p>
      <w:pPr/>
      <w:r>
        <w:t>O aparelho deve ser treinado como ferramenta de decisão à beira-leito, não apenas como dispositivo de imagem.</w:t>
      </w:r>
    </w:p>
    <w:p>
      <w:pPr/>
      <w:r>
        <w:t>A prioridade inicial é ganhar velocidade: abrir o app, escolher preset, obter imagem aceitável, salvar clipe e registrar conclusão em menos de 5 minutos.</w:t>
      </w:r>
    </w:p>
    <w:p>
      <w:pPr/>
      <w:r>
        <w:t>Confirmar no manual e com o vendedor/fabricante quais recursos estão habilitados no seu modelo: Doppler color, Doppler pulsado, M-mode, medidas automáticas, exportação DICOM/PNG/MP4 e compatibilidade com iOS/iPadOS/macOS.</w:t>
      </w:r>
    </w:p>
    <w:p>
      <w:pPr>
        <w:pStyle w:val="Heading2"/>
      </w:pPr>
      <w:r>
        <w:t>Checklist inicial obrigatório</w:t>
      </w:r>
    </w:p>
    <w:p>
      <w:pPr/>
      <w:r>
        <w:t>□ Guardar nota fiscal, número de série, garantia e contato da assistência técnica.</w:t>
      </w:r>
    </w:p>
    <w:p>
      <w:pPr/>
      <w:r>
        <w:t>□ Solicitar manual em PDF, app oficial, registro ANVISA correspondente e vídeo de configuração.</w:t>
      </w:r>
    </w:p>
    <w:p>
      <w:pPr/>
      <w:r>
        <w:t>□ Testar pareamento com iPhone e iPad; se usar no Mac, confirmar compatibilidade do app.</w:t>
      </w:r>
    </w:p>
    <w:p>
      <w:pPr/>
      <w:r>
        <w:t>□ Testar uso com fio e sem fio, latência, estabilidade de conexão e duração da bateria.</w:t>
      </w:r>
    </w:p>
    <w:p>
      <w:pPr/>
      <w:r>
        <w:t>□ Criar padrão de nome de arquivo: DATA_LEITO_PROTOCOLO_ACHADO.</w:t>
      </w:r>
    </w:p>
    <w:p>
      <w:pPr/>
      <w:r>
        <w:t>□ Criar pasta de estudos: POCUS &gt; Pulmão / Cardíaco / Vascular / Abdome / Procedimentos.</w:t>
      </w:r>
    </w:p>
    <w:p>
      <w:pPr/>
      <w:r>
        <w:t>□ Validar exportação de imagem estática e cine loop antes do primeiro plantão real.</w:t>
      </w:r>
    </w:p>
    <w:p>
      <w:pPr>
        <w:pStyle w:val="Heading2"/>
      </w:pPr>
      <w:r>
        <w:t>Mapa das sondas e melhores usos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Sonda</w:t>
            </w:r>
          </w:p>
        </w:tc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Melhor uso</w:t>
            </w:r>
          </w:p>
        </w:tc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Profundidade típica</w:t>
            </w:r>
          </w:p>
        </w:tc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Pergunta clínica</w:t>
            </w:r>
          </w:p>
        </w:tc>
      </w:tr>
      <w:tr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Linear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Vasos, DVT, punção, pleura superficial, partes moles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2-8 cm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Onde está o vaso? Tem trombo? Tem sliding?</w:t>
            </w:r>
          </w:p>
        </w:tc>
      </w:tr>
      <w:tr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Convexa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Abdome, FAST/eFAST, rim, bexiga, aorta, derrame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8-20 cm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Tem líquido livre, hidronefrose, bexigoma, derrame?</w:t>
            </w:r>
          </w:p>
        </w:tc>
      </w:tr>
      <w:tr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Setorial/cardíaca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FoCUS, IVC, choque, PCR, tamponamento, VD/VE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12-22 cm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Bomba, pericárdio, VD, IVC e causa do choque?</w:t>
            </w:r>
          </w:p>
        </w:tc>
      </w:tr>
    </w:tbl>
    <w:p>
      <w:pPr>
        <w:pStyle w:val="Heading1"/>
      </w:pPr>
      <w:r>
        <w:t>2. Configurações práticas por aplicação</w:t>
      </w:r>
    </w:p>
    <w:p>
      <w:pPr>
        <w:pStyle w:val="Callout"/>
      </w:pPr>
      <w:r>
        <w:t>Regra de ouro: primeiro ajustar profundidade, depois ganho, depois foco. Imagem ruim costuma ser profundidade errada + ganho excessivo + preset inadequado.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0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20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Sonda</w:t>
            </w:r>
          </w:p>
        </w:tc>
        <w:tc>
          <w:tcPr>
            <w:tcW w:type="dxa" w:w="20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Profundidade</w:t>
            </w:r>
          </w:p>
        </w:tc>
        <w:tc>
          <w:tcPr>
            <w:tcW w:type="dxa" w:w="20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Ajuste-chave</w:t>
            </w:r>
          </w:p>
        </w:tc>
        <w:tc>
          <w:tcPr>
            <w:tcW w:type="dxa" w:w="20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O que buscar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Pulmão anterior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Linear/convexa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4-8 cm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Foco na linha pleural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Sliding, A-lines, B-lines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Derrame pleural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Convexa/setorial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10-18 cm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Ganho moderado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Líquido, atelectasia, consolidação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Pneumotórax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Linear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3-6 cm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M-mode se disponível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Ausência de sliding, barcode, lung point</w:t>
            </w:r>
          </w:p>
        </w:tc>
      </w:tr>
      <w:tr>
        <w:tc>
          <w:tcPr>
            <w:tcW w:type="dxa" w:w="2091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FoCUS</w:t>
            </w:r>
          </w:p>
        </w:tc>
        <w:tc>
          <w:tcPr>
            <w:tcW w:type="dxa" w:w="2091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Setorial</w:t>
            </w:r>
          </w:p>
        </w:tc>
        <w:tc>
          <w:tcPr>
            <w:tcW w:type="dxa" w:w="2091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14-22 cm</w:t>
            </w:r>
          </w:p>
        </w:tc>
        <w:tc>
          <w:tcPr>
            <w:tcW w:type="dxa" w:w="2091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Ganho menor, imagem ampla</w:t>
            </w:r>
          </w:p>
        </w:tc>
        <w:tc>
          <w:tcPr>
            <w:tcW w:type="dxa" w:w="2091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VE, VD, pericárdio, contratilidade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IVC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Setorial/convexa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12-18 cm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Subxifoide longitudinal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Diâmetro e colapsabilidade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DVT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Linear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3-6 cm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Compressão venosa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Veia não compressível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Acesso vascular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Linear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2-5 cm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Agulha em plano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Veia, artéria, ponta da agulha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FAST/eFAST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Convexa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12-20 cm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Varredura ampla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Líquido livre, pleura, pericárdio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Rim/bexiga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Convexa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8-18 cm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Ganho médio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Hidronefrose, retenção urinária</w:t>
            </w:r>
          </w:p>
        </w:tc>
      </w:tr>
      <w:tr>
        <w:tc>
          <w:tcPr>
            <w:tcW w:type="dxa" w:w="2091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VExUS</w:t>
            </w:r>
          </w:p>
        </w:tc>
        <w:tc>
          <w:tcPr>
            <w:tcW w:type="dxa" w:w="2091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Convexa/setorial</w:t>
            </w:r>
          </w:p>
        </w:tc>
        <w:tc>
          <w:tcPr>
            <w:tcW w:type="dxa" w:w="2091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Variável</w:t>
            </w:r>
          </w:p>
        </w:tc>
        <w:tc>
          <w:tcPr>
            <w:tcW w:type="dxa" w:w="2091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Doppler color/PW</w:t>
            </w:r>
          </w:p>
        </w:tc>
        <w:tc>
          <w:tcPr>
            <w:tcW w:type="dxa" w:w="2091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Congestão venosa sistêmica</w:t>
            </w:r>
          </w:p>
        </w:tc>
      </w:tr>
    </w:tbl>
    <w:p>
      <w:pPr>
        <w:pStyle w:val="Heading2"/>
      </w:pPr>
      <w:r>
        <w:t>Configuração mental rápida antes de encostar a sonda</w:t>
      </w:r>
    </w:p>
    <w:p>
      <w:pPr/>
      <w:r>
        <w:t>1. Qual pergunta clínica quero responder?</w:t>
      </w:r>
    </w:p>
    <w:p>
      <w:pPr/>
      <w:r>
        <w:t>2. Qual sonda responde melhor essa pergunta?</w:t>
      </w:r>
    </w:p>
    <w:p>
      <w:pPr/>
      <w:r>
        <w:t>3. Qual janela anatômica é mais rápida neste paciente?</w:t>
      </w:r>
    </w:p>
    <w:p>
      <w:pPr/>
      <w:r>
        <w:t>4. O achado, se positivo, muda conduta agora?</w:t>
      </w:r>
    </w:p>
    <w:p>
      <w:pPr/>
      <w:r>
        <w:t>5. Salvei imagem/clipe suficiente para revisar depois?</w:t>
      </w:r>
    </w:p>
    <w:p>
      <w:pPr>
        <w:pStyle w:val="Heading1"/>
      </w:pPr>
      <w:r>
        <w:t>3. Cuidados, limpeza, desinfecção e manutenção</w:t>
      </w:r>
    </w:p>
    <w:p>
      <w:pPr/>
      <w:r>
        <w:t>Para pele íntegra, usar limpeza/desinfecção de baixo nível conforme protocolo institucional e compatibilidade do fabricante. Para procedimentos, utilizar técnica asséptica, capa/proteção adequada e gel estéril quando indicado.</w:t>
      </w:r>
    </w:p>
    <w:p>
      <w:pPr/>
      <w:r>
        <w:t>Evitar produtos incompatíveis, imersão indevida, queda, calor excessivo e armazenamento com pressão sobre a face da sonda.</w:t>
      </w:r>
    </w:p>
    <w:p>
      <w:pPr/>
      <w:r>
        <w:t>Inspecionar periodicamente lente, carcaça, cabo/conector e qualidade da imagem. Dano estrutural pode reduzir resolução, prejudicar Doppler e aumentar risco de contaminação.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Erro a evitar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5"/>
              </w:rPr>
              <w:t>Antes do exame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Checar bateria, app, preset, capa se procedimento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Entrar no leito sem conexão testada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5"/>
              </w:rPr>
              <w:t>Entre pacientes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Remover gel, limpar e desinfetar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Usar mesmo gel/sonda contaminada sem limpeza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5"/>
              </w:rPr>
              <w:t>Procedimento invasivo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Campo, capa, gel estéril, técnica asséptica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Tocar campo estéril com app/celular contaminado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5"/>
              </w:rPr>
              <w:t>Pós-plantão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Carregar, armazenar seco, revisar clipes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Deixar descarregado ou exposto a calor/umidade</w:t>
            </w:r>
          </w:p>
        </w:tc>
      </w:tr>
    </w:tbl>
    <w:p>
      <w:r>
        <w:br w:type="page"/>
      </w:r>
    </w:p>
    <w:p>
      <w:pPr>
        <w:pStyle w:val="Heading1"/>
      </w:pPr>
      <w:r>
        <w:t>4. Trilha de aprendizagem em 8 semanas</w:t>
      </w:r>
    </w:p>
    <w:p>
      <w:pPr>
        <w:pStyle w:val="Callout"/>
      </w:pPr>
      <w:r>
        <w:t>Meta global sugerida para 90 dias: 200 exames POCUS registrados em logbook, com revisão de qualidade de imagem sempre que possível.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Semana</w:t>
            </w:r>
          </w:p>
        </w:tc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Meta prática</w:t>
            </w:r>
          </w:p>
        </w:tc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Competências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Semana 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Conhecer o aparelho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30 imagens boas em pessoas estáveis/saudáveis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orientação do marcador; congelar/salvar; cine loop; medidas; presets; ganho; profundidade; Doppler color; exportação</w:t>
            </w:r>
          </w:p>
        </w:tc>
      </w:tr>
      <w:tr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Semana 2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Pulmão e BLUE básico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25 exames pulmonares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A-lines; B-lines; lung sliding; consolidação; derrame; pneumotórax; lung point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Semana 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Vascular e procedimentos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20 punções guiadas/simuladas + 20 DVT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veia vs artéria; compressibilidade; agulha em plano; DVT 2/3 pontos; segurança procedural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Semana 4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FoCUS cardíaco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30 FoCUS revisados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PLAX; PSAX; apical 4C; subcostal 4C; IVC; VE/VD/pericárdio</w:t>
            </w:r>
          </w:p>
        </w:tc>
      </w:tr>
      <w:tr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Semana 5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Choque: RUSH/HI-MAP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25 exames integrados em pacientes graves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Heart; IVC; Morrison/FAST; Aorta; Pneumothorax/Pulmonary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Semana 6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Sepse, fluido e congestão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25 avaliações antes/depois de conduta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B-lines; VE; VD; IVC; VExUS; LVOT VTI/PLR se disponível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Semana 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Abdome clínico e emergência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40 exames abdominais simples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FAST; aorta; rim; bexiga; vesícula; ascite; derrame pleural</w:t>
            </w:r>
          </w:p>
        </w:tc>
      </w:tr>
      <w:tr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Semana 8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4"/>
              </w:rPr>
              <w:t>Integração no plantão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POCUS em 5 minutos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pulmão + coração + IVC + FAST + DVT seletivo + rim/bexiga se indicado</w:t>
            </w:r>
          </w:p>
        </w:tc>
      </w:tr>
    </w:tbl>
    <w:p>
      <w:pPr>
        <w:pStyle w:val="Heading2"/>
      </w:pPr>
      <w:r>
        <w:t>Microtreino diário de 12 minutos</w:t>
      </w:r>
    </w:p>
    <w:p>
      <w:pPr/>
      <w:r>
        <w:t>□ 3 min: abrir app, escolher preset e ajustar imagem.</w:t>
      </w:r>
    </w:p>
    <w:p>
      <w:pPr/>
      <w:r>
        <w:t>□ 3 min: pulmão bilateral.</w:t>
      </w:r>
    </w:p>
    <w:p>
      <w:pPr/>
      <w:r>
        <w:t>□ 3 min: IVC ou coração.</w:t>
      </w:r>
    </w:p>
    <w:p>
      <w:pPr/>
      <w:r>
        <w:t>□ 3 min: salvar, nomear e revisar.</w:t>
      </w:r>
    </w:p>
    <w:p>
      <w:r>
        <w:br w:type="page"/>
      </w:r>
    </w:p>
    <w:p>
      <w:pPr>
        <w:pStyle w:val="Heading1"/>
      </w:pPr>
      <w:r>
        <w:t>5. Protocolos POCUS prioritários para UTI, emergência e clínica médica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Protocolo</w:t>
            </w:r>
          </w:p>
        </w:tc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Quando usar</w:t>
            </w:r>
          </w:p>
        </w:tc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Janelas/sinais</w:t>
            </w:r>
          </w:p>
        </w:tc>
        <w:tc>
          <w:tcPr>
            <w:tcW w:type="dxa" w:w="261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Decisão que ajuda a tomar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3"/>
              </w:rPr>
              <w:t>BLUE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Dispneia / insuficiência respiratória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A-lines, B-lines, sliding, consolidação, derrame, pneumotórax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Distinguir edema pulmonar, DPOC/asma, pneumonia, pneumotórax e derrame.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3"/>
              </w:rPr>
              <w:t>eFAST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Trauma / choque / dor toracoabdominal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Pericárdio, Morrison, esplenorrenal, pelve, pleura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Detectar líquido livre e pneumotórax em contexto agudo.</w:t>
            </w:r>
          </w:p>
        </w:tc>
      </w:tr>
      <w:tr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3"/>
              </w:rPr>
              <w:t>FoCUS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Choque, dispneia, PCR, dor torácica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VE, VD, pericárdio, IVC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Identificar bomba ruim, tamponamento, sobrecarga de VD e hipovolemia/congestão.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3"/>
              </w:rPr>
              <w:t>RUSH / HI-MAP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Choque indiferenciado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Heart, IVC, FAST, aorta, pulmão, DVT seletivo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Classificar choque: hipovolêmico, cardiogênico, obstrutivo ou distributivo.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3"/>
              </w:rPr>
              <w:t>DVT compressivo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Suspeita de TEP / edema unilateral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Compressibilidade femoral e poplítea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Achar trombose proximal que muda probabilidade e conduta.</w:t>
            </w:r>
          </w:p>
        </w:tc>
      </w:tr>
      <w:tr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3"/>
              </w:rPr>
              <w:t>VExUS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IRA, congestão, choque, cardiorrenal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IVC + Doppler hepático/porta/renal se disponível</w:t>
            </w:r>
          </w:p>
        </w:tc>
        <w:tc>
          <w:tcPr>
            <w:tcW w:type="dxa" w:w="2613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Graduar congestão venosa e orientar diurese/ultrafiltração com clínica.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3"/>
              </w:rPr>
              <w:t>LVOT VTI / PLR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Responsividade a fluido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VTI antes/depois de PLR ou intervenção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Avaliar se volume aumenta fluxo sistêmico quando Doppler PW for confiável.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3"/>
              </w:rPr>
              <w:t>Diafragma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Desmame ventilatório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Espessura, excursão, assimetria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Apoiar decisão de desmame junto com clínica e mecânica ventilatória.</w:t>
            </w:r>
          </w:p>
        </w:tc>
      </w:tr>
    </w:tbl>
    <w:p>
      <w:pPr>
        <w:pStyle w:val="Heading2"/>
      </w:pPr>
      <w:r>
        <w:t>Algoritmo mental do choque: HI-MAP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Letra</w:t>
            </w:r>
          </w:p>
        </w:tc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Avaliação</w:t>
            </w:r>
          </w:p>
        </w:tc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Pergunta clínica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Heart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Bomba falhou? Tamponamento? VD dilatado?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I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IVC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Vazio, responsivo, cheio ou congesto?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M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Morrison/FAST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Sangramento ou líquido livre?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A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Aorta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Aneurisma/dissecção provável?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P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Pneumothorax/Pulmonary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Pneumotórax, edema ou pneumonia?</w:t>
            </w:r>
          </w:p>
        </w:tc>
      </w:tr>
    </w:tbl>
    <w:p>
      <w:pPr>
        <w:pStyle w:val="Heading2"/>
      </w:pPr>
      <w:r>
        <w:t>Padrões de decisão rápida</w:t>
      </w:r>
    </w:p>
    <w:p>
      <w:pPr/>
      <w:r>
        <w:t>• VE ruim + B-lines difusas: pensar choque cardiogênico/congestão.</w:t>
      </w:r>
    </w:p>
    <w:p>
      <w:pPr/>
      <w:r>
        <w:t>• VE hiperdinâmico + IVC colabada: pensar hipovolemia ou distributivo inicial.</w:t>
      </w:r>
    </w:p>
    <w:p>
      <w:pPr/>
      <w:r>
        <w:t>• VD dilatado + perfil pulmonar A + DVT: aumentar suspeita de TEP grave.</w:t>
      </w:r>
    </w:p>
    <w:p>
      <w:pPr/>
      <w:r>
        <w:t>• Derrame pericárdico + instabilidade: considerar tamponamento até prova em contrário.</w:t>
      </w:r>
    </w:p>
    <w:p>
      <w:pPr/>
      <w:r>
        <w:t>• Ausência de sliding + instabilidade respiratória/hemodinâmica: pneumotórax hipertensivo é ameaça imediata.</w:t>
      </w:r>
    </w:p>
    <w:p>
      <w:pPr/>
      <w:r>
        <w:t>• FAST positivo + choque: priorizar sangramento/abdome conforme contexto.</w:t>
      </w:r>
    </w:p>
    <w:p>
      <w:r>
        <w:br w:type="page"/>
      </w:r>
    </w:p>
    <w:p>
      <w:pPr>
        <w:pStyle w:val="Heading1"/>
      </w:pPr>
      <w:r>
        <w:t>6. Integração prática no plantão: POCUS em 5 minutos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Exame</w:t>
            </w:r>
          </w:p>
        </w:tc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Resposta esperada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1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Pulmão anterior bilateral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A/B-lines, sliding, pneumotórax, edema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2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Coração subcostal/paraesternal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VE, VD, pericárdio, contratilidade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3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IVC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cheia, vazia, colabável ou pouco colabável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4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FAST/eFAST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líquido livre se choque/trauma; pleura se dispneia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5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DVT se suspeita de TEP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veia não compressível aumenta probabilidade clínica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6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Rim/bexiga se IRA/anúria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bexigoma, hidronefrose, obstrução</w:t>
            </w:r>
          </w:p>
        </w:tc>
      </w:tr>
    </w:tbl>
    <w:p>
      <w:pPr>
        <w:pStyle w:val="Heading2"/>
      </w:pPr>
      <w:r>
        <w:t>Modelo pronto para prontuário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color w:val="1E1E1E"/>
                <w:sz w:val="17"/>
              </w:rPr>
              <w:t>POCUS à beira-leito realizado com objetivo de avaliação clínica direcionada.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E1E1E"/>
                <w:sz w:val="17"/>
              </w:rPr>
              <w:t>Pulmões: [A-lines/B-lines/derrame/consolidação/sliding].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E1E1E"/>
                <w:sz w:val="17"/>
              </w:rPr>
              <w:t>Cardíaco: VE [preservado/reduzido/hiperdinâmico], VD [normal/dilatado], sem/com derrame pericárdico.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E1E1E"/>
                <w:sz w:val="17"/>
              </w:rPr>
              <w:t>IVC: [colabável/distendida/pouco colabável].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E1E1E"/>
                <w:sz w:val="17"/>
              </w:rPr>
              <w:t>Abdome/FAST: [sem/com líquido livre].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E1E1E"/>
                <w:sz w:val="17"/>
              </w:rPr>
              <w:t>Conclusão POCUS: achados compatíveis com [hipótese]. Conduta integrada a exame físico, sinais vitais e exames laboratoriais.</w:t>
            </w:r>
          </w:p>
        </w:tc>
      </w:tr>
    </w:tbl>
    <w:p>
      <w:pPr>
        <w:pStyle w:val="Heading1"/>
      </w:pPr>
      <w:r>
        <w:t>7. Logbook de evolução e metas de proficiência</w:t>
      </w:r>
    </w:p>
    <w:p>
      <w:pPr>
        <w:pStyle w:val="Callout"/>
      </w:pPr>
      <w:r>
        <w:t>A meta prática é construir repertório, não apenas “fazer exames”. Sempre registrar qualidade da imagem, achado, se mudou conduta e se houve revisão posterior.</w:t>
      </w:r>
    </w:p>
    <w:p>
      <w:pPr>
        <w:pStyle w:val="Heading2"/>
      </w:pPr>
      <w:r>
        <w:t>Meta sugerida para 90 dias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Quantidade-alvo</w:t>
            </w:r>
          </w:p>
        </w:tc>
        <w:tc>
          <w:tcPr>
            <w:tcW w:type="dxa" w:w="348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Pulmão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50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BLUE, B-lines, derrame, pneumotórax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Cardíaco/FoCUS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40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VE, VD, pericárdio, IVC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Vascular/DVT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30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compressão, acesso venoso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Abdome/FAST/renal/bexiga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30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líquido livre, hidronefrose, bexigoma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Choque integrado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30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RUSH/HI-MAP, sepse, cardiogênico, TEP</w:t>
            </w:r>
          </w:p>
        </w:tc>
      </w:tr>
      <w:tr>
        <w:tc>
          <w:tcPr>
            <w:tcW w:type="dxa" w:w="3485"/>
            <w:vAlign w:val="center"/>
            <w:shd w:fill="EEF5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Procedimentos/guias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4E79"/>
                <w:sz w:val="16"/>
              </w:rPr>
              <w:t>20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acesso, toraco/paracentese quando indicado</w:t>
            </w:r>
          </w:p>
        </w:tc>
      </w:tr>
    </w:tbl>
    <w:p>
      <w:pPr>
        <w:pStyle w:val="Heading2"/>
      </w:pPr>
      <w:r>
        <w:t>Tabela de logbook para copiar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74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</w:t>
            </w:r>
          </w:p>
        </w:tc>
        <w:tc>
          <w:tcPr>
            <w:tcW w:type="dxa" w:w="174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Protocolo</w:t>
            </w:r>
          </w:p>
        </w:tc>
        <w:tc>
          <w:tcPr>
            <w:tcW w:type="dxa" w:w="174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Paciente/leito</w:t>
            </w:r>
          </w:p>
        </w:tc>
        <w:tc>
          <w:tcPr>
            <w:tcW w:type="dxa" w:w="174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Qualidade 0-5</w:t>
            </w:r>
          </w:p>
        </w:tc>
        <w:tc>
          <w:tcPr>
            <w:tcW w:type="dxa" w:w="174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Achado</w:t>
            </w:r>
          </w:p>
        </w:tc>
        <w:tc>
          <w:tcPr>
            <w:tcW w:type="dxa" w:w="174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Mudou conduta?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__/__/__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BLUE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UTI __ L__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____________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sim/não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__/__/__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FoCUS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PS/UTI 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____________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sim/não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__/__/__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RUSH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UTI __ L__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____________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sim/não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__/__/__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DVT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CM/UTI 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____________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sim/não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__/__/__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Renal/bexiga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CM/UTI 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____________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sim/não</w:t>
            </w:r>
          </w:p>
        </w:tc>
      </w:tr>
    </w:tbl>
    <w:p>
      <w:r>
        <w:br w:type="page"/>
      </w:r>
    </w:p>
    <w:p>
      <w:pPr>
        <w:pStyle w:val="Heading1"/>
      </w:pPr>
      <w:r>
        <w:t>8. Bibliografia prática e aprofundamento</w:t>
      </w:r>
    </w:p>
    <w:p>
      <w:r>
        <w:rPr>
          <w:rFonts w:ascii="Aptos" w:hAnsi="Aptos" w:eastAsia="Aptos"/>
          <w:b/>
          <w:color w:val="1F4E79"/>
          <w:sz w:val="17"/>
        </w:rPr>
        <w:t xml:space="preserve">Y-Med Health: </w:t>
      </w:r>
      <w:r>
        <w:rPr>
          <w:rFonts w:ascii="Aptos" w:hAnsi="Aptos" w:eastAsia="Aptos"/>
          <w:sz w:val="17"/>
        </w:rPr>
        <w:t xml:space="preserve">Informações gerais do equipamento Vision Pro 192E / YMD-9900 e características declaradas pelo fabricante. </w:t>
      </w:r>
      <w:r>
        <w:rPr>
          <w:rFonts w:ascii="Aptos" w:hAnsi="Aptos" w:eastAsia="Aptos"/>
          <w:color w:val="505050"/>
          <w:sz w:val="14"/>
        </w:rPr>
        <w:t>https://www.ymedhealth.com/</w:t>
      </w:r>
    </w:p>
    <w:p>
      <w:r>
        <w:rPr>
          <w:rFonts w:ascii="Aptos" w:hAnsi="Aptos" w:eastAsia="Aptos"/>
          <w:b/>
          <w:color w:val="1F4E79"/>
          <w:sz w:val="17"/>
        </w:rPr>
        <w:t xml:space="preserve">AIUM: </w:t>
      </w:r>
      <w:r>
        <w:rPr>
          <w:rFonts w:ascii="Aptos" w:hAnsi="Aptos" w:eastAsia="Aptos"/>
          <w:sz w:val="17"/>
        </w:rPr>
        <w:t xml:space="preserve">Guidelines for cleaning and preparing external and internal use ultrasound transducers and equipment between patients. </w:t>
      </w:r>
      <w:r>
        <w:rPr>
          <w:rFonts w:ascii="Aptos" w:hAnsi="Aptos" w:eastAsia="Aptos"/>
          <w:color w:val="505050"/>
          <w:sz w:val="14"/>
        </w:rPr>
        <w:t>https://www.aium.org/resources/official-statements/view/guidelines-for-cleaning-and-preparing-external--and-internal-use-ultrasound-transducers-and-equipment-between-patients-as-well-as-safe-handling-and-use-of-ultrasound-coupling-gel</w:t>
      </w:r>
    </w:p>
    <w:p>
      <w:r>
        <w:rPr>
          <w:rFonts w:ascii="Aptos" w:hAnsi="Aptos" w:eastAsia="Aptos"/>
          <w:b/>
          <w:color w:val="1F4E79"/>
          <w:sz w:val="17"/>
        </w:rPr>
        <w:t xml:space="preserve">ACEP: </w:t>
      </w:r>
      <w:r>
        <w:rPr>
          <w:rFonts w:ascii="Aptos" w:hAnsi="Aptos" w:eastAsia="Aptos"/>
          <w:sz w:val="17"/>
        </w:rPr>
        <w:t xml:space="preserve">Emergency Ultrasound Guidelines: referências de treinamento, escopo e proficiência por aplicação. </w:t>
      </w:r>
      <w:r>
        <w:rPr>
          <w:rFonts w:ascii="Aptos" w:hAnsi="Aptos" w:eastAsia="Aptos"/>
          <w:color w:val="505050"/>
          <w:sz w:val="14"/>
        </w:rPr>
        <w:t>https://www.acep.org/siteassets/sites/acep/media/ultrasound/pointofcareultrasound-guidelines.pdf</w:t>
      </w:r>
    </w:p>
    <w:p>
      <w:r>
        <w:rPr>
          <w:rFonts w:ascii="Aptos" w:hAnsi="Aptos" w:eastAsia="Aptos"/>
          <w:b/>
          <w:color w:val="1F4E79"/>
          <w:sz w:val="17"/>
        </w:rPr>
        <w:t xml:space="preserve">Lichtenstein et al.: </w:t>
      </w:r>
      <w:r>
        <w:rPr>
          <w:rFonts w:ascii="Aptos" w:hAnsi="Aptos" w:eastAsia="Aptos"/>
          <w:sz w:val="17"/>
        </w:rPr>
        <w:t xml:space="preserve">BLUE protocol para insuficiência respiratória aguda. </w:t>
      </w:r>
      <w:r>
        <w:rPr>
          <w:rFonts w:ascii="Aptos" w:hAnsi="Aptos" w:eastAsia="Aptos"/>
          <w:color w:val="505050"/>
          <w:sz w:val="14"/>
        </w:rPr>
        <w:t>https://teachim.org/wp-content/uploads/2021/09/Lichtenstein-BLUE-Chest-2008.full_.pdf</w:t>
      </w:r>
    </w:p>
    <w:p>
      <w:r>
        <w:rPr>
          <w:rFonts w:ascii="Aptos" w:hAnsi="Aptos" w:eastAsia="Aptos"/>
          <w:b/>
          <w:color w:val="1F4E79"/>
          <w:sz w:val="17"/>
        </w:rPr>
        <w:t xml:space="preserve">ACC: </w:t>
      </w:r>
      <w:r>
        <w:rPr>
          <w:rFonts w:ascii="Aptos" w:hAnsi="Aptos" w:eastAsia="Aptos"/>
          <w:sz w:val="17"/>
        </w:rPr>
        <w:t xml:space="preserve">Point-of-care ultrasound workbook com abordagem cardiovascular direcionada. </w:t>
      </w:r>
      <w:r>
        <w:rPr>
          <w:rFonts w:ascii="Aptos" w:hAnsi="Aptos" w:eastAsia="Aptos"/>
          <w:color w:val="505050"/>
          <w:sz w:val="14"/>
        </w:rPr>
        <w:t>https://www.acc.org/-/media/Non-Clinical/Files-PDFs-Excel-MS-Word-etc/About-ACC/Innovation/B22123-POCUS-Workbook_Linked.pdf</w:t>
      </w:r>
    </w:p>
    <w:p>
      <w:r>
        <w:rPr>
          <w:rFonts w:ascii="Aptos" w:hAnsi="Aptos" w:eastAsia="Aptos"/>
          <w:b/>
          <w:color w:val="1F4E79"/>
          <w:sz w:val="17"/>
        </w:rPr>
        <w:t xml:space="preserve">SCCM: </w:t>
      </w:r>
      <w:r>
        <w:rPr>
          <w:rFonts w:ascii="Aptos" w:hAnsi="Aptos" w:eastAsia="Aptos"/>
          <w:sz w:val="17"/>
        </w:rPr>
        <w:t xml:space="preserve">Guidelines on adult critical care ultrasonography focused update 2024. </w:t>
      </w:r>
      <w:r>
        <w:rPr>
          <w:rFonts w:ascii="Aptos" w:hAnsi="Aptos" w:eastAsia="Aptos"/>
          <w:color w:val="505050"/>
          <w:sz w:val="14"/>
        </w:rPr>
        <w:t>https://sccm.org/clinical-resources/guidelines/guidelines/guidelines-on-adult-critical-care-ultrasonography-focused-update-2024</w:t>
      </w:r>
    </w:p>
    <w:p>
      <w:r>
        <w:rPr>
          <w:rFonts w:ascii="Aptos" w:hAnsi="Aptos" w:eastAsia="Aptos"/>
          <w:b/>
          <w:color w:val="1F4E79"/>
          <w:sz w:val="17"/>
        </w:rPr>
        <w:t xml:space="preserve">Cambridge / CJEM: </w:t>
      </w:r>
      <w:r>
        <w:rPr>
          <w:rFonts w:ascii="Aptos" w:hAnsi="Aptos" w:eastAsia="Aptos"/>
          <w:sz w:val="17"/>
        </w:rPr>
        <w:t xml:space="preserve">Revisão sistemática e meta-análise sobre acurácia do protocolo POCUS para etiologia do choque. </w:t>
      </w:r>
      <w:r>
        <w:rPr>
          <w:rFonts w:ascii="Aptos" w:hAnsi="Aptos" w:eastAsia="Aptos"/>
          <w:color w:val="505050"/>
          <w:sz w:val="14"/>
        </w:rPr>
        <w:t>https://www.cambridge.org/core/services/aop-cambridge-core/content/view/28DF4477E868AC9A1E5A2CD70729FCAF/S1481803518004980a.pdf/the-diagnostic-accuracy-of-a-point-of-care-ultrasound-protocol-for-shock-etiology-a-systematic-review-and-meta-analysis.pdf</w:t>
      </w:r>
    </w:p>
    <w:p>
      <w:pPr>
        <w:pStyle w:val="Heading2"/>
      </w:pPr>
      <w:r>
        <w:t>Sugestões de aprofundamento</w:t>
      </w:r>
    </w:p>
    <w:p>
      <w:pPr/>
      <w:r>
        <w:t>□ Montar um fluxograma visual 1080 x 1920 para iPhone: BLUE + RUSH + FoCUS.</w:t>
      </w:r>
    </w:p>
    <w:p>
      <w:pPr/>
      <w:r>
        <w:t>□ Criar um logbook em planilha com contagem automática de exames por protocolo.</w:t>
      </w:r>
    </w:p>
    <w:p>
      <w:pPr/>
      <w:r>
        <w:t>□ Gerar 100 casos simulados de POCUS para preparação TEMI.</w:t>
      </w:r>
    </w:p>
    <w:p>
      <w:pPr/>
      <w:r>
        <w:t>□ Criar modelos de prontuário por cenário: choque, dispneia, IRA/anúria, TEP, trauma.</w:t>
      </w:r>
    </w:p>
    <w:p>
      <w:pPr/>
      <w:r>
        <w:t>□ Criar checklist de limpeza/desinfecção específico conforme manual oficial do aparelho e rotina do hospital.</w:t>
      </w:r>
    </w:p>
    <w:p>
      <w:pPr>
        <w:pStyle w:val="Heading2"/>
      </w:pPr>
      <w:r>
        <w:t>Aviso final</w:t>
      </w:r>
    </w:p>
    <w:p>
      <w:pPr>
        <w:pStyle w:val="Callout"/>
      </w:pPr>
      <w:r>
        <w:t>Este documento é material educacional e operacional. A decisão clínica deve integrar anamnese, exame físico, monitorização, gasometria, laboratório, imagem formal, protocolos institucionais e disponibilidade de especialistas. Recursos específicos dependem do app e da versão do equipamento adquiridos.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A5A5A"/>
        <w:sz w:val="16"/>
      </w:rPr>
      <w:t xml:space="preserve">Uso clínico direcionado - UTI, emergência e clínica médica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 w:eastAsia="Aptos"/>
        <w:b/>
        <w:color w:val="5A5A5A"/>
        <w:sz w:val="16"/>
      </w:rPr>
      <w:t>Plano de aprendizagem POCUS | Y-Med Vision Pro 192E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b/>
      <w:color w:val="1637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60" w:after="60"/>
      <w:ind w:left="115"/>
    </w:pPr>
    <w:rPr>
      <w:i/>
      <w:color w:val="3E3E3E"/>
      <w:sz w:val="19"/>
    </w:rPr>
  </w:style>
  <w:style w:type="paragraph" w:customStyle="1" w:styleId="Tiny">
    <w:name w:val="Tiny"/>
    <w:basedOn w:val="Normal"/>
    <w:pPr>
      <w:spacing w:after="20"/>
    </w:pPr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aprendizagem POCUS - Y-Med Vision Pro 192E</dc:title>
  <dc:subject>Ultrassom portátil, POCUS, UTI, emergência e clínica médica</dc:subject>
  <dc:creator>ChatGPT</dc:creator>
  <cp:keywords>POCUS; Y-Med; Vision Pro 192E; UTI; emergência; ultrassom portátil; FoCUS; BLUE; RUSH; VExUS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