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Sample</w:t>
      </w:r>
      <w:r>
        <w:t xml:space="preserve"> </w:t>
      </w:r>
      <w:r>
        <w:t xml:space="preserve">document</w:t>
      </w:r>
    </w:p>
    <w:bookmarkStart w:id="24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This document is the source-of-truth for the binary format fixtures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testdata/formats/</w:t>
      </w:r>
      <w:r>
        <w:t xml:space="preserve">. Regenerate the siblings with: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fixture-source.md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fixture-source.md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sample.odt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fixture-source.md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sample.epub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fixture-source.md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sample.fb2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fixture-source.md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sample.pptx</w:t>
      </w:r>
    </w:p>
    <w:p>
      <w:pPr>
        <w:pStyle w:val="FirstParagraph"/>
      </w:pPr>
      <w:r>
        <w:rPr>
          <w:rStyle w:val="VerbatimChar"/>
        </w:rPr>
        <w:t xml:space="preserve">sample.xlsx</w:t>
      </w:r>
      <w:r>
        <w:t xml:space="preserve"> </w:t>
      </w:r>
      <w:r>
        <w:t xml:space="preserve">is generated separately from</w:t>
      </w:r>
      <w:r>
        <w:t xml:space="preserve"> </w:t>
      </w:r>
      <w:r>
        <w:rPr>
          <w:rStyle w:val="VerbatimChar"/>
        </w:rPr>
        <w:t xml:space="preserve">sample.xlsx-source.csv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libreoffice --headless --convert-to xlsx</w:t>
      </w:r>
      <w:r>
        <w:t xml:space="preserve">, since pandoc 3.x</w:t>
      </w:r>
      <w:r>
        <w:t xml:space="preserve"> </w:t>
      </w:r>
      <w:r>
        <w:t xml:space="preserve">cannot write xlsx (only read it).</w:t>
      </w:r>
    </w:p>
    <w:bookmarkStart w:id="21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t xml:space="preserve">Headings, paragraphs, and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prose</w:t>
      </w:r>
    </w:p>
    <w:p>
      <w:pPr>
        <w:numPr>
          <w:ilvl w:val="0"/>
          <w:numId w:val="1001"/>
        </w:numPr>
        <w:pStyle w:val="Compact"/>
      </w:pPr>
      <w:r>
        <w:t xml:space="preserve">Lists with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and an</w:t>
      </w:r>
      <w:r>
        <w:t xml:space="preserve"> </w:t>
      </w:r>
      <w:hyperlink r:id="rId20">
        <w:r>
          <w:rPr>
            <w:rStyle w:val="Hyperlink"/>
          </w:rPr>
          <w:t xml:space="preserve">external link</w:t>
        </w:r>
      </w:hyperlink>
    </w:p>
    <w:p>
      <w:pPr>
        <w:numPr>
          <w:ilvl w:val="0"/>
          <w:numId w:val="1001"/>
        </w:numPr>
        <w:pStyle w:val="Compact"/>
      </w:pPr>
      <w:r>
        <w:t xml:space="preserve">Fenced code blocks</w:t>
      </w:r>
    </w:p>
    <w:p>
      <w:pPr>
        <w:numPr>
          <w:ilvl w:val="0"/>
          <w:numId w:val="1001"/>
        </w:numPr>
        <w:pStyle w:val="Compact"/>
      </w:pPr>
      <w:r>
        <w:t xml:space="preserve">Tables and blockquotes</w:t>
      </w:r>
    </w:p>
    <w:bookmarkEnd w:id="21"/>
    <w:bookmarkStart w:id="22" w:name="code-sample"/>
    <w:p>
      <w:pPr>
        <w:pStyle w:val="Heading2"/>
      </w:pPr>
      <w:r>
        <w:t xml:space="preserve">Code sample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(greet(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))</w:t>
      </w:r>
    </w:p>
    <w:bookmarkEnd w:id="22"/>
    <w:bookmarkStart w:id="23" w:name="comparison-table"/>
    <w:p>
      <w:pPr>
        <w:pStyle w:val="Heading2"/>
      </w:pPr>
      <w:r>
        <w:t xml:space="preserve">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Open XML, zip-packed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OpenDocument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 e-book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FictionBook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PowerPoint, input only in 3.5+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Spreadsheet, input only</w:t>
            </w:r>
          </w:p>
        </w:tc>
      </w:tr>
    </w:tbl>
    <w:p>
      <w:pPr>
        <w:pStyle w:val="BlockText"/>
      </w:pPr>
      <w:r>
        <w:t xml:space="preserve">Final line: a blockquote so the rendered output exercises every</w:t>
      </w:r>
      <w:r>
        <w:t xml:space="preserve"> </w:t>
      </w:r>
      <w:r>
        <w:t xml:space="preserve">block-level construct exposed by the renderer.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creator/>
  <cp:keywords/>
  <dcterms:created xsi:type="dcterms:W3CDTF">2026-05-13T21:40:30Z</dcterms:created>
  <dcterms:modified xsi:type="dcterms:W3CDTF">2026-05-13T21:40:30Z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