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78E1A" w14:textId="646FD947" w:rsidR="000D26C4" w:rsidRDefault="000D26C4" w:rsidP="000D26C4">
      <w:pPr>
        <w:rPr>
          <w:rFonts w:ascii="Times New Roman" w:hAnsi="Times New Roman" w:cs="Times New Roman"/>
          <w:sz w:val="24"/>
          <w:szCs w:val="24"/>
        </w:rPr>
      </w:pPr>
      <w:r w:rsidRPr="000D26C4">
        <w:rPr>
          <w:rFonts w:ascii="Times New Roman" w:hAnsi="Times New Roman" w:cs="Times New Roman"/>
          <w:b/>
          <w:bCs/>
          <w:sz w:val="24"/>
          <w:szCs w:val="24"/>
        </w:rPr>
        <w:t>Nama:</w:t>
      </w:r>
      <w:r w:rsidRPr="000D26C4">
        <w:rPr>
          <w:rFonts w:ascii="Times New Roman" w:hAnsi="Times New Roman" w:cs="Times New Roman"/>
          <w:sz w:val="24"/>
          <w:szCs w:val="24"/>
        </w:rPr>
        <w:t xml:space="preserve"> Amelia Reza Putri</w:t>
      </w:r>
    </w:p>
    <w:p w14:paraId="19BCC150" w14:textId="32223976" w:rsidR="000D26C4" w:rsidRDefault="000D26C4" w:rsidP="000D26C4">
      <w:pPr>
        <w:rPr>
          <w:rFonts w:ascii="Times New Roman" w:hAnsi="Times New Roman" w:cs="Times New Roman"/>
          <w:sz w:val="24"/>
          <w:szCs w:val="24"/>
        </w:rPr>
      </w:pPr>
      <w:r w:rsidRPr="000D26C4">
        <w:rPr>
          <w:rFonts w:ascii="Times New Roman" w:hAnsi="Times New Roman" w:cs="Times New Roman"/>
          <w:b/>
          <w:bCs/>
          <w:sz w:val="24"/>
          <w:szCs w:val="24"/>
        </w:rPr>
        <w:t>NIM:</w:t>
      </w:r>
      <w:r w:rsidRPr="000D26C4">
        <w:rPr>
          <w:rFonts w:ascii="Times New Roman" w:hAnsi="Times New Roman" w:cs="Times New Roman"/>
          <w:sz w:val="24"/>
          <w:szCs w:val="24"/>
        </w:rPr>
        <w:t xml:space="preserve"> (2474207004) </w:t>
      </w:r>
    </w:p>
    <w:p w14:paraId="2B040327" w14:textId="32165FE7" w:rsidR="000D26C4" w:rsidRDefault="000D26C4" w:rsidP="000D26C4">
      <w:pPr>
        <w:rPr>
          <w:rFonts w:ascii="Times New Roman" w:hAnsi="Times New Roman" w:cs="Times New Roman"/>
          <w:sz w:val="24"/>
          <w:szCs w:val="24"/>
        </w:rPr>
      </w:pPr>
      <w:r w:rsidRPr="000D26C4">
        <w:rPr>
          <w:rFonts w:ascii="Times New Roman" w:hAnsi="Times New Roman" w:cs="Times New Roman"/>
          <w:b/>
          <w:bCs/>
          <w:sz w:val="24"/>
          <w:szCs w:val="24"/>
        </w:rPr>
        <w:t>Mata Kuliah:</w:t>
      </w:r>
      <w:r w:rsidRPr="000D26C4">
        <w:rPr>
          <w:rFonts w:ascii="Times New Roman" w:hAnsi="Times New Roman" w:cs="Times New Roman"/>
          <w:sz w:val="24"/>
          <w:szCs w:val="24"/>
        </w:rPr>
        <w:t xml:space="preserve">  </w:t>
      </w:r>
      <w:r w:rsidR="008C5908" w:rsidRPr="008C5908">
        <w:rPr>
          <w:rFonts w:ascii="Times New Roman" w:hAnsi="Times New Roman" w:cs="Times New Roman"/>
          <w:sz w:val="24"/>
          <w:szCs w:val="24"/>
        </w:rPr>
        <w:t>Hukum perbankan</w:t>
      </w:r>
    </w:p>
    <w:p w14:paraId="2608FBE1" w14:textId="77777777" w:rsidR="000D26C4" w:rsidRDefault="000D26C4" w:rsidP="000D26C4">
      <w:pPr>
        <w:rPr>
          <w:rFonts w:ascii="Times New Roman" w:hAnsi="Times New Roman" w:cs="Times New Roman"/>
          <w:sz w:val="24"/>
          <w:szCs w:val="24"/>
        </w:rPr>
      </w:pPr>
    </w:p>
    <w:tbl>
      <w:tblPr>
        <w:tblStyle w:val="TableGrid"/>
        <w:tblW w:w="9385" w:type="dxa"/>
        <w:tblLook w:val="04A0" w:firstRow="1" w:lastRow="0" w:firstColumn="1" w:lastColumn="0" w:noHBand="0" w:noVBand="1"/>
      </w:tblPr>
      <w:tblGrid>
        <w:gridCol w:w="1129"/>
        <w:gridCol w:w="2518"/>
        <w:gridCol w:w="2669"/>
        <w:gridCol w:w="3069"/>
      </w:tblGrid>
      <w:tr w:rsidR="000D26C4" w:rsidRPr="000D26C4" w14:paraId="40979291" w14:textId="77777777" w:rsidTr="000D26C4">
        <w:tc>
          <w:tcPr>
            <w:tcW w:w="1129" w:type="dxa"/>
          </w:tcPr>
          <w:p w14:paraId="6B520A5F"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Pasal</w:t>
            </w:r>
          </w:p>
        </w:tc>
        <w:tc>
          <w:tcPr>
            <w:tcW w:w="0" w:type="auto"/>
          </w:tcPr>
          <w:p w14:paraId="4564D13A"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UU Nomor 7 Tahun 1992</w:t>
            </w:r>
          </w:p>
        </w:tc>
        <w:tc>
          <w:tcPr>
            <w:tcW w:w="0" w:type="auto"/>
          </w:tcPr>
          <w:p w14:paraId="47BB7B81"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UU Nomor 10 Tahun 1998</w:t>
            </w:r>
          </w:p>
        </w:tc>
        <w:tc>
          <w:tcPr>
            <w:tcW w:w="0" w:type="auto"/>
          </w:tcPr>
          <w:p w14:paraId="7E7DF11B"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Analisis Tata Kelola, Kelembagaan &amp; Manajemen Risiko</w:t>
            </w:r>
          </w:p>
        </w:tc>
      </w:tr>
      <w:tr w:rsidR="000D26C4" w:rsidRPr="000D26C4" w14:paraId="60AC72EA" w14:textId="77777777" w:rsidTr="000D26C4">
        <w:tc>
          <w:tcPr>
            <w:tcW w:w="1129" w:type="dxa"/>
          </w:tcPr>
          <w:p w14:paraId="11DEA4F6"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Pasal 1</w:t>
            </w:r>
          </w:p>
        </w:tc>
        <w:tc>
          <w:tcPr>
            <w:tcW w:w="0" w:type="auto"/>
          </w:tcPr>
          <w:p w14:paraId="256B3481"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Bank adalah badan usaha yang menghimpun dana dari masyarakat dalam bentuk simpanan, dan menyalurkannya kepada masyarakat dalam rangka meningkatkan taraf hidup rakyat banyak;</w:t>
            </w:r>
          </w:p>
          <w:p w14:paraId="1CCA091D"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2. Bank Umum adalah bank yang dapat memberikan jasa dalam lalu lintas pembayaran;</w:t>
            </w:r>
          </w:p>
          <w:p w14:paraId="0DCC659F"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3. Bank Perkreditan Rakyat adalah bank yang menerima simpanan hanya dalam bentuk deposito berjangka, tabungan, dan/atau bentuk lainnya yang dipersamakan dengan itu;</w:t>
            </w:r>
          </w:p>
          <w:p w14:paraId="75632E32"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4. Bank Campuran adalah Bank Umum yang didirikan bersama oleh satu atau lebih Bank Umum yang berkedudukan di Indonesia...</w:t>
            </w:r>
          </w:p>
          <w:p w14:paraId="78F01F29"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5. Kantor Cabang adalah setiap kantor bank yang secara langsung bertanggung jawab...</w:t>
            </w:r>
          </w:p>
          <w:p w14:paraId="2EE8506C"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6. Simpanan adalah dana yang dipercayakan oleh masyarakat kepada bank dalam bentuk giro, deposito berjangka, sertifikat deposito...</w:t>
            </w:r>
          </w:p>
          <w:p w14:paraId="216201B3"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7. Giro adalah simpanan yang dapat digunakan sebagai alat pembayaran...</w:t>
            </w:r>
          </w:p>
        </w:tc>
        <w:tc>
          <w:tcPr>
            <w:tcW w:w="0" w:type="auto"/>
          </w:tcPr>
          <w:p w14:paraId="47E7E7EC"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1. Perbankan adalah segala sesuatu yang menyangkut tentang bank, mencakup kelembagaan, kegiatan usaha, serta cara dan proses dalam melaksanakan kegiatan usahanya;</w:t>
            </w:r>
          </w:p>
          <w:p w14:paraId="26B935E8"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2. Bank adalah badan usaha yang menghimpun dana dari masyarakat dalam bentuk simpanan dan menyalurkannya kepada masyarakat dalam bentuk kredit dan atau bentuk-bentuk lainnya...</w:t>
            </w:r>
          </w:p>
          <w:p w14:paraId="2A55D1B6"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3. Bank Umum adalah bank yang melaksanakan kegiatan usaha secara konvensional dan atau berdasarkan Prinsip Syariah...</w:t>
            </w:r>
          </w:p>
          <w:p w14:paraId="395AF115"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4. Bank Perkreditan Rakyat adalah bank yang melaksanakan kegiatan usaha secara konvensional atau berdasarkan Prinsip Syariah...</w:t>
            </w:r>
          </w:p>
          <w:p w14:paraId="70DF94C8"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5. Simpanan adalah dana yang dipercayakan oleh masyarakat...</w:t>
            </w:r>
          </w:p>
          <w:p w14:paraId="4C5BBAE9"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6. Giro adalah simpanan yang penarikannya dapat dilakukan setiap saat...</w:t>
            </w:r>
          </w:p>
          <w:p w14:paraId="761E5907"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7. Deposito adalah simpanan yang penarikannya hanya dapat dilakukan pada waktu tertentu...</w:t>
            </w:r>
          </w:p>
          <w:p w14:paraId="054A6053"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(Termasuk penambahan poin 12, 13 tentang Prinsip Syariah)</w:t>
            </w:r>
          </w:p>
        </w:tc>
        <w:tc>
          <w:tcPr>
            <w:tcW w:w="0" w:type="auto"/>
          </w:tcPr>
          <w:p w14:paraId="115E1085"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 xml:space="preserve">Transformasi Filosofis dan Pengenalan Dual Banking System: Pada UU 1992, definisi bank sangat konvensional dan sempit, hanya mengandalkan instrumen simpanan berbunga. Krisis ekonomi 1998 membuktikan bahwa sistem berbasis interest rate (suku bunga) sangat rentan terhadap guncangan makroekonomi (ketika suku bunga melonjak tajam, bank konvensional mengalami negative spread dan kolaps). Perubahan pada UU 1998 dengan memasukkan frasa "Prinsip Syariah" (poin 12 dan 13) bukan sekadar penambahan produk, melainkan sebuah restrukturisasi fundamental yang memperkenalkan Dual Banking System. Hal ini </w:t>
            </w:r>
            <w:r w:rsidRPr="000D26C4">
              <w:rPr>
                <w:rFonts w:ascii="Times New Roman" w:hAnsi="Times New Roman" w:cs="Times New Roman"/>
                <w:sz w:val="24"/>
                <w:szCs w:val="24"/>
              </w:rPr>
              <w:lastRenderedPageBreak/>
              <w:t>didesain sebagai buffer (penyangga) risiko sistemik, di mana sistem bagi hasil (Syariah) terbukti lebih tangguh terhadap fluktuasi moneter global. Selain itu, definisi kelembagaan diperluas dengan istilah "bentuk-bentuk lainnya", memberikan keleluasaan bagi bank untuk melakukan inovasi instrumen keuangan di masa depan guna menjaga likuiditas.</w:t>
            </w:r>
          </w:p>
        </w:tc>
      </w:tr>
      <w:tr w:rsidR="000D26C4" w:rsidRPr="000D26C4" w14:paraId="218A4DB0" w14:textId="77777777" w:rsidTr="000D26C4">
        <w:tc>
          <w:tcPr>
            <w:tcW w:w="1129" w:type="dxa"/>
          </w:tcPr>
          <w:p w14:paraId="52C1687A"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6 huruf k</w:t>
            </w:r>
          </w:p>
        </w:tc>
        <w:tc>
          <w:tcPr>
            <w:tcW w:w="0" w:type="auto"/>
          </w:tcPr>
          <w:p w14:paraId="60D1F89E"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 xml:space="preserve">k. membeli melalui pelelangan agunan baik semua maupun sebagian dalam hal debitur tidak memenuhi kewajibannya kepada bank, dengan ketentuan agunan yang dibeli </w:t>
            </w:r>
            <w:r w:rsidRPr="000D26C4">
              <w:rPr>
                <w:rFonts w:ascii="Times New Roman" w:hAnsi="Times New Roman" w:cs="Times New Roman"/>
                <w:sz w:val="24"/>
                <w:szCs w:val="24"/>
              </w:rPr>
              <w:lastRenderedPageBreak/>
              <w:t>tersebut wajib dicairkan secepatnya;</w:t>
            </w:r>
          </w:p>
        </w:tc>
        <w:tc>
          <w:tcPr>
            <w:tcW w:w="0" w:type="auto"/>
          </w:tcPr>
          <w:p w14:paraId="723BBF9B"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DIHAPUS</w:t>
            </w:r>
          </w:p>
        </w:tc>
        <w:tc>
          <w:tcPr>
            <w:tcW w:w="0" w:type="auto"/>
          </w:tcPr>
          <w:p w14:paraId="793280F6"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 xml:space="preserve">Penghapusan Tekanan Likuidasi Agunan: Penghapusan kewajiban bagi bank untuk segera mencairkan agunan (aset sitaan) merupakan bentuk relaksasi dari krisis likuiditas. Pada masa krisis, </w:t>
            </w:r>
            <w:r w:rsidRPr="000D26C4">
              <w:rPr>
                <w:rFonts w:ascii="Times New Roman" w:hAnsi="Times New Roman" w:cs="Times New Roman"/>
                <w:sz w:val="24"/>
                <w:szCs w:val="24"/>
              </w:rPr>
              <w:lastRenderedPageBreak/>
              <w:t>harga aset (properti, tanah) anjlok drastis (harga distressed asset). Jika bank dipaksa mencairkan agunan secepatnya sesuai UU lama, bank akan menderita kerugian pembukuan yang masif (fire sale). Penghapusan ini memberikan ruang bagi perbankan untuk menahan aset (hold) hingga harga pasar pulih kembali, yang merupakan bagian dari strategi asset recovery management.</w:t>
            </w:r>
          </w:p>
        </w:tc>
      </w:tr>
      <w:tr w:rsidR="000D26C4" w:rsidRPr="000D26C4" w14:paraId="44593C5F" w14:textId="77777777" w:rsidTr="000D26C4">
        <w:tc>
          <w:tcPr>
            <w:tcW w:w="1129" w:type="dxa"/>
          </w:tcPr>
          <w:p w14:paraId="51D31734"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6 huruf m</w:t>
            </w:r>
          </w:p>
        </w:tc>
        <w:tc>
          <w:tcPr>
            <w:tcW w:w="0" w:type="auto"/>
          </w:tcPr>
          <w:p w14:paraId="2A2DFD8F"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m. menyediakan pembiayaan bagi nasabah berdasarkan prinsip bagi hasil sesuai dengan ketentuan yang ditetapkan dalam Peraturan Pemerintah;</w:t>
            </w:r>
          </w:p>
        </w:tc>
        <w:tc>
          <w:tcPr>
            <w:tcW w:w="0" w:type="auto"/>
          </w:tcPr>
          <w:p w14:paraId="41651E5B"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m. Menyediakan pembiayaan dan atau melakukan kegiatan lain berdasarkan Prinsip Syariah, sesuai dengan ketentuan yang ditetapkan oleh Bank Indonesia.</w:t>
            </w:r>
          </w:p>
        </w:tc>
        <w:tc>
          <w:tcPr>
            <w:tcW w:w="0" w:type="auto"/>
          </w:tcPr>
          <w:p w14:paraId="5F4A66DE"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 xml:space="preserve">Pendelegasian Wewenang Teknis (Desentralisasi Regulasi): Perubahan redaksi dari "Peraturan Pemerintah" menjadi "ketentuan yang ditetapkan oleh Bank Indonesia" merepresentasikan pergeseran struktur kelembagaan yang krusial. Peraturan Pemerintah (PP) adalah produk eksekutif yang sarat muatan politis dan birokrasinya lambat. Dengan mengalihkan kewenangan regulasi teknis syariah ke tangan Bank Indonesia, otoritas moneter memiliki </w:t>
            </w:r>
            <w:r w:rsidRPr="000D26C4">
              <w:rPr>
                <w:rFonts w:ascii="Times New Roman" w:hAnsi="Times New Roman" w:cs="Times New Roman"/>
                <w:sz w:val="24"/>
                <w:szCs w:val="24"/>
              </w:rPr>
              <w:lastRenderedPageBreak/>
              <w:t>kecepatan, fleksibilitas, dan independensi penuh untuk mengatur instrumen keuangan syariah tanpa harus menunggu proses birokrasi dari Presiden dan Kabinet.</w:t>
            </w:r>
          </w:p>
        </w:tc>
      </w:tr>
      <w:tr w:rsidR="000D26C4" w:rsidRPr="000D26C4" w14:paraId="0F3B58E5" w14:textId="77777777" w:rsidTr="000D26C4">
        <w:tc>
          <w:tcPr>
            <w:tcW w:w="1129" w:type="dxa"/>
          </w:tcPr>
          <w:p w14:paraId="2E6DEDAB"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7 huruf c</w:t>
            </w:r>
          </w:p>
        </w:tc>
        <w:tc>
          <w:tcPr>
            <w:tcW w:w="0" w:type="auto"/>
          </w:tcPr>
          <w:p w14:paraId="4A4374D7"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c. melakukan kegiatan penyertaan modal sementara untuk mengatasi akibat kegagalan kredit, dengan syarat harus menarik kembali penyertaannya, dengan memenuhi ketentuan yang ditetapkan oleh Bank Indonesia</w:t>
            </w:r>
          </w:p>
        </w:tc>
        <w:tc>
          <w:tcPr>
            <w:tcW w:w="0" w:type="auto"/>
          </w:tcPr>
          <w:p w14:paraId="18E62D08"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c. melakukan kegiatan penyertaan modal sementara untuk mengatasi akibat kegagalan kredit atau kegagalan pembiayaan berdasarkan Prinsip Syariah, dengan syarat harus menarik kembali penyertaannya, dengan memenuhi ketentuan yang ditetapkan oleh Bank Indonesia</w:t>
            </w:r>
          </w:p>
        </w:tc>
        <w:tc>
          <w:tcPr>
            <w:tcW w:w="0" w:type="auto"/>
          </w:tcPr>
          <w:p w14:paraId="515A45FA"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Akomodasi Restrukturisasi Korporasi (Debt-to-Equity Swap): Perubahan ini menambahkan frasa "kegagalan pembiayaan berdasarkan Prinsip Syariah". Dalam perspektif manajemen risiko, pasal ini memperkokoh landasan hukum bagi bank (baik konvensional maupun syariah) untuk melakukan Debt-to-Equity Swap (menukar utang macet menjadi kepemilikan saham/penyertaan modal sementara di perusahaan debitur). Ini adalah instrumen penyelamatan krusial yang banyak digunakan pasca 1998 untuk merevitalisasi sektor riil yang macet, sehingga bank tidak langsung mempailitkan perusahaan yang dapat memicu PHK massal.</w:t>
            </w:r>
          </w:p>
        </w:tc>
      </w:tr>
      <w:tr w:rsidR="000D26C4" w:rsidRPr="000D26C4" w14:paraId="104FCF6C" w14:textId="77777777" w:rsidTr="000D26C4">
        <w:tc>
          <w:tcPr>
            <w:tcW w:w="1129" w:type="dxa"/>
          </w:tcPr>
          <w:p w14:paraId="72CE1132"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8</w:t>
            </w:r>
          </w:p>
        </w:tc>
        <w:tc>
          <w:tcPr>
            <w:tcW w:w="0" w:type="auto"/>
          </w:tcPr>
          <w:p w14:paraId="66769A5B"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Dalam memberikan kredit, Bank Umum wajib mempunyai keyakinan atas kemampuan dan kesanggupan debitur untuk melunasi hutangnya sesuai dengan yang diperjanjikan.</w:t>
            </w:r>
          </w:p>
        </w:tc>
        <w:tc>
          <w:tcPr>
            <w:tcW w:w="0" w:type="auto"/>
          </w:tcPr>
          <w:p w14:paraId="6F0C842D"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Dalam memberikan kredit atau pembiayaan berasarkan Prinsip Syariah, Bank Umum wajib mempunyai keyakinan berdasarkan analisis yang mendalam atau itikad dan kemampuan serta kesanggupan Nasabah Debitur untuk melunasi utangnya...</w:t>
            </w:r>
          </w:p>
          <w:p w14:paraId="4E379A7F"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(2) Bank Umum wajib memiliki dan menerapkan pedoman perkreditan dan pembiayaan...</w:t>
            </w:r>
          </w:p>
        </w:tc>
        <w:tc>
          <w:tcPr>
            <w:tcW w:w="0" w:type="auto"/>
          </w:tcPr>
          <w:p w14:paraId="462EE68F"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Pemberantasan Praktik Crony Capitalism dan Penerapan Prinsip 5C: Pasal 8 UU 1992 terbukti menjadi celah besar (loophole) yang menghancurkan ekonomi Indonesia. Bankir bisa berdalih bahwa mereka "yakin" debiturnya mampu, lalu menyalurkan kredit triliunan rupiah kepada kroni, keluarga, dan grup usahanya sendiri tanpa agunan yang jelas. Penambahan frasa "analisis yang mendalam atas itikad" (Character) di UU 1998 adalah fondasi Good Corporate Governance. Bank diwajibkan secara hukum untuk memiliki sistem credit scoring dan Standard Operating Procedure (SOP) perkreditan tertulis. Ini mencegah keputusan kredit berbasis nepotisme dan mewajibkan pendekatan analitik (Capacity, Capital, Collateral, Condition of Economy).</w:t>
            </w:r>
          </w:p>
        </w:tc>
      </w:tr>
      <w:tr w:rsidR="000D26C4" w:rsidRPr="000D26C4" w14:paraId="2993B275" w14:textId="77777777" w:rsidTr="000D26C4">
        <w:tc>
          <w:tcPr>
            <w:tcW w:w="1129" w:type="dxa"/>
          </w:tcPr>
          <w:p w14:paraId="60D5230C"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Pasal 11 ayat 1 dan 3</w:t>
            </w:r>
          </w:p>
        </w:tc>
        <w:tc>
          <w:tcPr>
            <w:tcW w:w="0" w:type="auto"/>
          </w:tcPr>
          <w:p w14:paraId="6BAE61C4"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 xml:space="preserve">1) Bank Umum yang menyelenggarakan kegiatan penitipan sebagai mana dimaksud </w:t>
            </w:r>
            <w:r w:rsidRPr="000D26C4">
              <w:rPr>
                <w:rFonts w:ascii="Times New Roman" w:hAnsi="Times New Roman" w:cs="Times New Roman"/>
                <w:sz w:val="24"/>
                <w:szCs w:val="24"/>
              </w:rPr>
              <w:lastRenderedPageBreak/>
              <w:t>dalam Pasal 6 huruf i, bertanggung jawab untuk menyimpan harta milik penitip...</w:t>
            </w:r>
          </w:p>
          <w:p w14:paraId="1BE99750"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(3) Dalam hal bank mengalami kepailitan, semua harta yang dititip kan pada bank tersebut tidak dimasukkan dalam harta kepailitan...</w:t>
            </w:r>
          </w:p>
        </w:tc>
        <w:tc>
          <w:tcPr>
            <w:tcW w:w="0" w:type="auto"/>
          </w:tcPr>
          <w:p w14:paraId="6B5E9C52"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 xml:space="preserve">(1) Bank Indonesia menetapkan ketentuan mengenai batas maksimum pemberian </w:t>
            </w:r>
            <w:r w:rsidRPr="000D26C4">
              <w:rPr>
                <w:rFonts w:ascii="Times New Roman" w:hAnsi="Times New Roman" w:cs="Times New Roman"/>
                <w:sz w:val="24"/>
                <w:szCs w:val="24"/>
              </w:rPr>
              <w:lastRenderedPageBreak/>
              <w:t>kredit atau pembiayaan berdasarkan Prinsip Syariah, pemberian jaminan, penempatan investasi... kepada peminjam atau sekelompok peminjam yang terkait...</w:t>
            </w:r>
          </w:p>
          <w:p w14:paraId="279FE1D6"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(3) Bank Indonesia menetapkan ketentuan mengenai batas maksimum pemberian kredit... kepada: a. pemegang saham... b. anggota Dewan Komisaris; c. anggota Direksi; d. keluarga dari pihak... e. pejabat bank...</w:t>
            </w:r>
          </w:p>
        </w:tc>
        <w:tc>
          <w:tcPr>
            <w:tcW w:w="0" w:type="auto"/>
          </w:tcPr>
          <w:p w14:paraId="3BA7A5E2"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 xml:space="preserve">Regulasi Batas Maksimum Pemberian Kredit (BMPK) / Legal Lending Limit: Ini adalah perubahan rezim </w:t>
            </w:r>
            <w:r w:rsidRPr="000D26C4">
              <w:rPr>
                <w:rFonts w:ascii="Times New Roman" w:hAnsi="Times New Roman" w:cs="Times New Roman"/>
                <w:sz w:val="24"/>
                <w:szCs w:val="24"/>
              </w:rPr>
              <w:lastRenderedPageBreak/>
              <w:t>paling revolusioner untuk menghentikan kejahatan kerah putih perbankan. UU 1992 tidak secara spesifik membatasi penyaluran dana ke pihak terafiliasi. Akibatnya, pada krisis 1998, mayoritas bank hancur karena dana masyarakat disedot oleh pemilik bank untuk mendanai proyek megaproyek miliknya sendiri (konglomerasi). Pasal 11 versi 1998 secara kaku melarang konsentrasi risiko. Bank tidak boleh lagi sembarangan mengucurkan kredit ke Pemegang Saham, Direksi, atau "keluarga" mereka melebihi persentase tertentu. Ini adalah manifestasi dari penghentian moral hazard sistemik.</w:t>
            </w:r>
          </w:p>
        </w:tc>
      </w:tr>
      <w:tr w:rsidR="000D26C4" w:rsidRPr="000D26C4" w14:paraId="3AAC691B" w14:textId="77777777" w:rsidTr="000D26C4">
        <w:tc>
          <w:tcPr>
            <w:tcW w:w="1129" w:type="dxa"/>
          </w:tcPr>
          <w:p w14:paraId="223206CD"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12</w:t>
            </w:r>
          </w:p>
        </w:tc>
        <w:tc>
          <w:tcPr>
            <w:tcW w:w="0" w:type="auto"/>
          </w:tcPr>
          <w:p w14:paraId="743BA735"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 xml:space="preserve">Pemerintah dapat menugaskan Bank Umum untuk melaksanakan pro gram pemerintah guna mengembangkan sektor-sektor perekonomian tertentu, atau memberikan perhatian yang lebih </w:t>
            </w:r>
            <w:r w:rsidRPr="000D26C4">
              <w:rPr>
                <w:rFonts w:ascii="Times New Roman" w:hAnsi="Times New Roman" w:cs="Times New Roman"/>
                <w:sz w:val="24"/>
                <w:szCs w:val="24"/>
              </w:rPr>
              <w:lastRenderedPageBreak/>
              <w:t>besar pada koperasi dan pengusaha golongan ekonomi lemah...</w:t>
            </w:r>
          </w:p>
        </w:tc>
        <w:tc>
          <w:tcPr>
            <w:tcW w:w="0" w:type="auto"/>
          </w:tcPr>
          <w:p w14:paraId="2F8A9A0F"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 xml:space="preserve">(1) Untuk menunjang pelaksanaan program peningkatan taraf hidup rakyat banyak melalui pemberdayaan koperasi, usaha kecil dan menengah, Pemerintah bersama Bank Indonesia dapat melakukan </w:t>
            </w:r>
            <w:r w:rsidRPr="000D26C4">
              <w:rPr>
                <w:rFonts w:ascii="Times New Roman" w:hAnsi="Times New Roman" w:cs="Times New Roman"/>
                <w:sz w:val="24"/>
                <w:szCs w:val="24"/>
              </w:rPr>
              <w:lastRenderedPageBreak/>
              <w:t>kerjasama dengan Bank Umum...</w:t>
            </w:r>
          </w:p>
        </w:tc>
        <w:tc>
          <w:tcPr>
            <w:tcW w:w="0" w:type="auto"/>
          </w:tcPr>
          <w:p w14:paraId="73450A63"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 xml:space="preserve">Dekonstruksi Peran Intervensi Negara: UU 1992 menggunakan kata "Pemerintah dapat menugaskan Bank Umum". Secara ekonomi-politik, ini berarti pemerintah bebas menjadikan bank (terutama Bank BUMN) sebagai "sapi perah" atau mesin kasir </w:t>
            </w:r>
            <w:r w:rsidRPr="000D26C4">
              <w:rPr>
                <w:rFonts w:ascii="Times New Roman" w:hAnsi="Times New Roman" w:cs="Times New Roman"/>
                <w:sz w:val="24"/>
                <w:szCs w:val="24"/>
              </w:rPr>
              <w:lastRenderedPageBreak/>
              <w:t>untuk mendanai proyek politik mercusuar berkedok "program pemerintah", yang seringkali tidak bankable (layak kredit). Pada UU 1998, relasi diubah dari "penugasan/instruksi" menjadi "kerjasama", dan melibatkan Bank Indonesia sebagai stabilisator. Ini memastikan bahwa program populis pemerintah tetap harus tunduk pada kaidah perbankan komersial yang sehat dan diawasi otoritas independen.</w:t>
            </w:r>
          </w:p>
        </w:tc>
      </w:tr>
      <w:tr w:rsidR="000D26C4" w:rsidRPr="000D26C4" w14:paraId="27EA67A8" w14:textId="77777777" w:rsidTr="000D26C4">
        <w:tc>
          <w:tcPr>
            <w:tcW w:w="1129" w:type="dxa"/>
          </w:tcPr>
          <w:p w14:paraId="03491571"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13 huruf c</w:t>
            </w:r>
          </w:p>
        </w:tc>
        <w:tc>
          <w:tcPr>
            <w:tcW w:w="0" w:type="auto"/>
          </w:tcPr>
          <w:p w14:paraId="25C8415B"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c. menyediakan pembiayaan bagi nasabah berdasarkan prinsip bagi hasil sesuai dengan ketentuan yang ditetapkan dalam Peraturan Pemerintah</w:t>
            </w:r>
          </w:p>
        </w:tc>
        <w:tc>
          <w:tcPr>
            <w:tcW w:w="0" w:type="auto"/>
          </w:tcPr>
          <w:p w14:paraId="0E800779"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c. menyediakan pembiayaan dan penempatan dana berdasarkan Prinsip Syariah, sesuai dengan ketentuan yang ditetapkan oleh Bank Indonesia.</w:t>
            </w:r>
          </w:p>
        </w:tc>
        <w:tc>
          <w:tcPr>
            <w:tcW w:w="0" w:type="auto"/>
          </w:tcPr>
          <w:p w14:paraId="60AB550B"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 xml:space="preserve">Penguatan Kelembagaan Syariah di Tingkat BPR: Sama seperti analisis pada Pasal 6 huruf m, perubahan ini mempertegas eksistensi Bank Perkreditan Rakyat (BPR) Syariah. Dengan mengalihkan kewenangan dari instrumen PP (eksekutif) menjadi kewenangan Bank Indonesia, BPR Syariah mendapatkan ruang regulasi yang lebih lincah. Ini sangat penting untuk mitigasi risiko pada level micro-finance (keuangan mikro) di pedesaan pasca krisis, </w:t>
            </w:r>
            <w:r w:rsidRPr="000D26C4">
              <w:rPr>
                <w:rFonts w:ascii="Times New Roman" w:hAnsi="Times New Roman" w:cs="Times New Roman"/>
                <w:sz w:val="24"/>
                <w:szCs w:val="24"/>
              </w:rPr>
              <w:lastRenderedPageBreak/>
              <w:t>dimana BPR Syariah berfungsi menggerakkan sektor UMKM yang terputus dari akses bank umum akibat kolapsnya sistem perbankan nasional.</w:t>
            </w:r>
          </w:p>
        </w:tc>
      </w:tr>
      <w:tr w:rsidR="000D26C4" w:rsidRPr="000D26C4" w14:paraId="75D85480" w14:textId="77777777" w:rsidTr="000D26C4">
        <w:tc>
          <w:tcPr>
            <w:tcW w:w="1129" w:type="dxa"/>
          </w:tcPr>
          <w:p w14:paraId="669757A5"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16</w:t>
            </w:r>
          </w:p>
        </w:tc>
        <w:tc>
          <w:tcPr>
            <w:tcW w:w="0" w:type="auto"/>
          </w:tcPr>
          <w:p w14:paraId="570A36F2"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Setiap pihak yang melakukan kegiatan menghimpun dana... wajib terlebih dahulu memperoleh izin usaha sebagai Bank Umum atau BPR dari Menteri, kecuali apabila diatur UU tersendiri.</w:t>
            </w:r>
          </w:p>
          <w:p w14:paraId="3DEAD23B"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(2) Izin usaha... diberikan oleh Menteri setelah mendengar pertimbangan Bank Indonesia...</w:t>
            </w:r>
          </w:p>
        </w:tc>
        <w:tc>
          <w:tcPr>
            <w:tcW w:w="0" w:type="auto"/>
          </w:tcPr>
          <w:p w14:paraId="749005FC"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Setiap pihak yang melakukan kegiatan menghimpun dana... wajib terlebih dahulu memperoleh izin usaha... dari Pimpinan Bank Indonesia...</w:t>
            </w:r>
          </w:p>
          <w:p w14:paraId="54428B9B"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(2) Untuk memperoleh izin usaha... wajib dipenuhi persyaratan sekurang-kurangnya tentang: a. susunan organisasi dan kepengurusan; b. permodalan; c. kepemilikan; d. keahlian; e. kelayakan...</w:t>
            </w:r>
          </w:p>
          <w:p w14:paraId="17F2AB47"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(3) Persyaratan... ditetapkan Bank Indonesia.</w:t>
            </w:r>
          </w:p>
        </w:tc>
        <w:tc>
          <w:tcPr>
            <w:tcW w:w="0" w:type="auto"/>
          </w:tcPr>
          <w:p w14:paraId="53A180D5"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 xml:space="preserve">Pemisahan Kekuatan Moneter dan Eksekutif (Independensi Kelembagaan): Pasal inilah yang secara de jure mengamputasi campur tangan kabinet (Pemerintah/Menteri) dalam tata kelola perizinan industri keuangan. Pada masa Orde Baru (UU 1992), perizinan mendirikan bank dikeluarkan oleh Menteri Keuangan, menyebabkan lisensi perbankan sering diberikan karena lobi politik, kedekatan kroni, atau "surat sakti", bukan kelayakan finansial. Dengan memindahkan kekuatan absolut ini kepada Pimpinan Bank Indonesia, negara menciptakan tembok pemisah (firewall) antara kepentingan politik eksekutif jangka pendek dengan </w:t>
            </w:r>
            <w:r w:rsidRPr="000D26C4">
              <w:rPr>
                <w:rFonts w:ascii="Times New Roman" w:hAnsi="Times New Roman" w:cs="Times New Roman"/>
                <w:sz w:val="24"/>
                <w:szCs w:val="24"/>
              </w:rPr>
              <w:lastRenderedPageBreak/>
              <w:t>stabilitas moneter jangka panjang.</w:t>
            </w:r>
          </w:p>
        </w:tc>
      </w:tr>
      <w:tr w:rsidR="000D26C4" w:rsidRPr="000D26C4" w14:paraId="458F1B2B" w14:textId="77777777" w:rsidTr="000D26C4">
        <w:tc>
          <w:tcPr>
            <w:tcW w:w="1129" w:type="dxa"/>
          </w:tcPr>
          <w:p w14:paraId="072EACA3"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17</w:t>
            </w:r>
          </w:p>
        </w:tc>
        <w:tc>
          <w:tcPr>
            <w:tcW w:w="0" w:type="auto"/>
          </w:tcPr>
          <w:p w14:paraId="24A19FB1"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Untuk mendapatkan izin usaha sebagai Bank Umum yang berbentuk bank campuran, wajib dipenuhi persyaratan... serta ketentuan yang ditetapkan dengan Peraturan Pemerintah, yang mengatur: a. jumlah kepemilikan pihak asing...</w:t>
            </w:r>
          </w:p>
        </w:tc>
        <w:tc>
          <w:tcPr>
            <w:tcW w:w="0" w:type="auto"/>
          </w:tcPr>
          <w:p w14:paraId="6777FECC"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DIHAPUS</w:t>
            </w:r>
          </w:p>
        </w:tc>
        <w:tc>
          <w:tcPr>
            <w:tcW w:w="0" w:type="auto"/>
          </w:tcPr>
          <w:p w14:paraId="0176CC7A"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Liberalisasi Pasar dan Injeksi Modal Asing: Penghapusan klausul ketat mengenai Bank Campuran (Joint Venture) merupakan langkah pragmatis yang tak terhindarkan. Pascakrisis 1998, permodalan bank lokal hancur lebur (banyak yang modalnya minus/negatif). Negara tidak punya uang yang cukup untuk menalangi semua kerugian. Penghapusan pasal restriktif ini menandai era liberalisasi sektor perbankan, di mana gerbang dibuka selebar-lebarnya bagi pemodal asing untuk masuk, membeli, dan menyuntikkan modal segar (fresh money) guna menyelamatkan nyawa perbankan nasional dari kebangkrutan total.</w:t>
            </w:r>
          </w:p>
        </w:tc>
      </w:tr>
      <w:tr w:rsidR="000D26C4" w:rsidRPr="000D26C4" w14:paraId="3FE4775E" w14:textId="77777777" w:rsidTr="000D26C4">
        <w:tc>
          <w:tcPr>
            <w:tcW w:w="1129" w:type="dxa"/>
          </w:tcPr>
          <w:p w14:paraId="1E1218F7"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Pasal 18</w:t>
            </w:r>
          </w:p>
        </w:tc>
        <w:tc>
          <w:tcPr>
            <w:tcW w:w="0" w:type="auto"/>
          </w:tcPr>
          <w:p w14:paraId="37548097"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 xml:space="preserve">(1) Pembukaan kantor cabang Bank Umum hanya dapat dilakukan dengan izin Menteri, setelah mendengar </w:t>
            </w:r>
            <w:r w:rsidRPr="000D26C4">
              <w:rPr>
                <w:rFonts w:ascii="Times New Roman" w:hAnsi="Times New Roman" w:cs="Times New Roman"/>
                <w:sz w:val="24"/>
                <w:szCs w:val="24"/>
              </w:rPr>
              <w:lastRenderedPageBreak/>
              <w:t>pertimbangan Bank Indonesia.</w:t>
            </w:r>
          </w:p>
          <w:p w14:paraId="3FD5F7EC"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(2) Pembukaan kantor cabang... di luar negeri hanya dapat dilakukan dengan izin Menteri...</w:t>
            </w:r>
          </w:p>
        </w:tc>
        <w:tc>
          <w:tcPr>
            <w:tcW w:w="0" w:type="auto"/>
          </w:tcPr>
          <w:p w14:paraId="0E94F520"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(1) Pembukaan kantor cabang Bank Umum hanya dapat dilakukan dengan izin Pimpinan Bank Indonesia.</w:t>
            </w:r>
          </w:p>
          <w:p w14:paraId="038C7EAE"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(2) Pembukaan kantor cabang... di luar negeri... dengan izin Pimpinan Bank Indonesia.</w:t>
            </w:r>
          </w:p>
        </w:tc>
        <w:tc>
          <w:tcPr>
            <w:tcW w:w="0" w:type="auto"/>
          </w:tcPr>
          <w:p w14:paraId="3FE49993"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 xml:space="preserve">Sentralisasi Otoritas Pengawasan Tata Ruang Perbankan: Relevan dengan semangat Pasal 16, pemutusan wewenang Menteri juga diberlakukan </w:t>
            </w:r>
            <w:r w:rsidRPr="000D26C4">
              <w:rPr>
                <w:rFonts w:ascii="Times New Roman" w:hAnsi="Times New Roman" w:cs="Times New Roman"/>
                <w:sz w:val="24"/>
                <w:szCs w:val="24"/>
              </w:rPr>
              <w:lastRenderedPageBreak/>
              <w:t>pada masalah ekspansi kantor cabang. Sebelum krisis, banyak bank melakukan ekspansi buta (membuka cabang secara masif) semata-mata untuk menjaring Dana Pihak Ketiga (DPK) demi memenuhi nafsu ekspansi kredit grup korporasinya. Dengan memusatkan izin di Bank Indonesia, bank sentral dapat mengukur kapasitas Capital Adequacy Ratio (CAR) sebuah bank secara teknokratis sebelum mengizinkan mereka berekspansi, mencegah strategi "bakar uang" yang membahayakan sistem.</w:t>
            </w:r>
          </w:p>
        </w:tc>
      </w:tr>
      <w:tr w:rsidR="000D26C4" w:rsidRPr="000D26C4" w14:paraId="15A2369F" w14:textId="77777777" w:rsidTr="000D26C4">
        <w:tc>
          <w:tcPr>
            <w:tcW w:w="1129" w:type="dxa"/>
          </w:tcPr>
          <w:p w14:paraId="3AC41842"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19</w:t>
            </w:r>
          </w:p>
        </w:tc>
        <w:tc>
          <w:tcPr>
            <w:tcW w:w="0" w:type="auto"/>
          </w:tcPr>
          <w:p w14:paraId="0FE35DEB"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Pembukaan kantor cabang Bank Perkreditan Rakyat di ibukota negara, ibukota propinsi... hanya dapat dilakukan dengan izin Menteri, setelah mendengar pertimbangan Bank Indonesia.</w:t>
            </w:r>
          </w:p>
        </w:tc>
        <w:tc>
          <w:tcPr>
            <w:tcW w:w="0" w:type="auto"/>
          </w:tcPr>
          <w:p w14:paraId="2096ADDB"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Pembukaan kantor cabang Bank Perkreditan Rakyat hanya dapat dilakukan dengan izin Pimpinan Bank Indonesia.</w:t>
            </w:r>
          </w:p>
          <w:p w14:paraId="4F9867D9"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(2) Persyaratan dan tata cara... ditetapkan oleh Bank Indonesia.</w:t>
            </w:r>
          </w:p>
        </w:tc>
        <w:tc>
          <w:tcPr>
            <w:tcW w:w="0" w:type="auto"/>
          </w:tcPr>
          <w:p w14:paraId="24D4E000"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 xml:space="preserve">Penyederhanaan Birokrasi (Deregulation) di Sektor Mikro: UU 1992 membuat aturan yang sangat rumit berdasarkan zonasi geografis administratif (Ibukota, Provinsi, Kabupaten) untuk pendirian BPR yang pengurusannya menumpuk di meja Menteri. UU 1998 membedah kerumitan birokrasi ini dengan menjadikannya satu pintu </w:t>
            </w:r>
            <w:r w:rsidRPr="000D26C4">
              <w:rPr>
                <w:rFonts w:ascii="Times New Roman" w:hAnsi="Times New Roman" w:cs="Times New Roman"/>
                <w:sz w:val="24"/>
                <w:szCs w:val="24"/>
              </w:rPr>
              <w:lastRenderedPageBreak/>
              <w:t>(Bank Indonesia) dan tidak lagi terpaku pada restriksi wilayah yang kaku. Hal ini bertujuan mempercepat pemulihan roda ekonomi kerakyatan melalui BPR tanpa harus dihalangi oleh birokrasi perizinan kementerian yang panjang.</w:t>
            </w:r>
          </w:p>
        </w:tc>
      </w:tr>
      <w:tr w:rsidR="000D26C4" w:rsidRPr="000D26C4" w14:paraId="44FD07F1" w14:textId="77777777" w:rsidTr="000D26C4">
        <w:tc>
          <w:tcPr>
            <w:tcW w:w="1129" w:type="dxa"/>
          </w:tcPr>
          <w:p w14:paraId="0B162458"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20 ayat 1</w:t>
            </w:r>
          </w:p>
        </w:tc>
        <w:tc>
          <w:tcPr>
            <w:tcW w:w="0" w:type="auto"/>
          </w:tcPr>
          <w:p w14:paraId="6B7CE862"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Pembukaan kantor cabang, kantor cabang pembantu dan kantor perwakilan dari suatu bank yang berkedudukan di luar negeri hanya dapat dilakukan dengan izin Menteri...</w:t>
            </w:r>
          </w:p>
        </w:tc>
        <w:tc>
          <w:tcPr>
            <w:tcW w:w="0" w:type="auto"/>
          </w:tcPr>
          <w:p w14:paraId="31EBDC15"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Pembukaan kantor cabang, kantor cabang pembantu, dan kantor perwakilan dari suatu bank yang berkedudukan di luar negeri, hanya dapat dilakukan dengan izin Pimpinan Bank Indonesia.</w:t>
            </w:r>
          </w:p>
        </w:tc>
        <w:tc>
          <w:tcPr>
            <w:tcW w:w="0" w:type="auto"/>
          </w:tcPr>
          <w:p w14:paraId="4066DB6F"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Konsistensi Regulasi Lintas Batas (Cross-Border Regulation): Perubahan ini adalah penyesuaian harmonis dari pasal-pasal perizinan sebelumnya. Menarik investasi asing dan bank asing ke Indonesia membutuhkan regulasi yang dipandang profesional oleh komunitas global. Menyerahkan urusan lisensi bank asing kepada bank sentral yang independen (BI) menaikkan tingkat kepercayaan (trust level) investor internasional, karena mereka berhadapan dengan teknokrat moneter, bukan dengan birokrat politik (Menteri).</w:t>
            </w:r>
          </w:p>
        </w:tc>
      </w:tr>
      <w:tr w:rsidR="000D26C4" w:rsidRPr="000D26C4" w14:paraId="2733C5DC" w14:textId="77777777" w:rsidTr="000D26C4">
        <w:tc>
          <w:tcPr>
            <w:tcW w:w="1129" w:type="dxa"/>
          </w:tcPr>
          <w:p w14:paraId="3A26817E"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Pasal 21 ayat 1</w:t>
            </w:r>
          </w:p>
        </w:tc>
        <w:tc>
          <w:tcPr>
            <w:tcW w:w="0" w:type="auto"/>
          </w:tcPr>
          <w:p w14:paraId="7242898D"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 xml:space="preserve">(1) Bentuk hukum suatu Bank Umum </w:t>
            </w:r>
            <w:r w:rsidRPr="000D26C4">
              <w:rPr>
                <w:rFonts w:ascii="Times New Roman" w:hAnsi="Times New Roman" w:cs="Times New Roman"/>
                <w:sz w:val="24"/>
                <w:szCs w:val="24"/>
              </w:rPr>
              <w:lastRenderedPageBreak/>
              <w:t>dapat berupa salah satu dari: a. Perusahaan Perseroan (PERSERO); b. Perusahaan Daerah; c. koperasi; d. perseroan terbatas</w:t>
            </w:r>
          </w:p>
        </w:tc>
        <w:tc>
          <w:tcPr>
            <w:tcW w:w="0" w:type="auto"/>
          </w:tcPr>
          <w:p w14:paraId="7DA3CAB3"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 xml:space="preserve">(1) Bentuk hukum suatu Bank Umum dapat </w:t>
            </w:r>
            <w:r w:rsidRPr="000D26C4">
              <w:rPr>
                <w:rFonts w:ascii="Times New Roman" w:hAnsi="Times New Roman" w:cs="Times New Roman"/>
                <w:sz w:val="24"/>
                <w:szCs w:val="24"/>
              </w:rPr>
              <w:lastRenderedPageBreak/>
              <w:t>berupa: a. Perseroan Terbatas; b. Koperasi; atau c. Perusahaan Daerah.</w:t>
            </w:r>
          </w:p>
        </w:tc>
        <w:tc>
          <w:tcPr>
            <w:tcW w:w="0" w:type="auto"/>
          </w:tcPr>
          <w:p w14:paraId="0FA42533"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 xml:space="preserve">Modernisasi Standar Badan Hukum Perusahaan: </w:t>
            </w:r>
            <w:r w:rsidRPr="000D26C4">
              <w:rPr>
                <w:rFonts w:ascii="Times New Roman" w:hAnsi="Times New Roman" w:cs="Times New Roman"/>
                <w:sz w:val="24"/>
                <w:szCs w:val="24"/>
              </w:rPr>
              <w:lastRenderedPageBreak/>
              <w:t>Hilangnya nomenklatur "Perusahaan Perseroan (PERSERO)" sebagai klasifikasi terpisah dari "Perseroan Terbatas" merupakan upaya penyeragaman payung hukum di bawah UU Perseroan Terbatas (UU PT). Dalam kerangka Tata Kelola Perusahaan, ini memaksa bank-bank milik negara (BUMN) yang berstatus Persero untuk sepenuhnya tunduk pada hukum privat dan komersial yang mengatur PT. Ini membatasi intervensi pemerintah selaku pemegang saham dan menuntut dewan direksi bank negara untuk dikelola secara seprofesional bank swasta.</w:t>
            </w:r>
          </w:p>
        </w:tc>
      </w:tr>
      <w:tr w:rsidR="000D26C4" w:rsidRPr="000D26C4" w14:paraId="2ED0CCDC" w14:textId="77777777" w:rsidTr="000D26C4">
        <w:tc>
          <w:tcPr>
            <w:tcW w:w="1129" w:type="dxa"/>
          </w:tcPr>
          <w:p w14:paraId="083A4278"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22</w:t>
            </w:r>
          </w:p>
        </w:tc>
        <w:tc>
          <w:tcPr>
            <w:tcW w:w="0" w:type="auto"/>
          </w:tcPr>
          <w:p w14:paraId="3E14BC40"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 xml:space="preserve">Bank Umum hanya dapat didirikan oleh: a. Warga negara Indonesia dan/atau badan hukum Indonesia yang sepenuhnya dimiliki oleh warga negara... atau b. Bank yang pendirinya sebagaimana dimaksud dalam huruf a dengan </w:t>
            </w:r>
            <w:r w:rsidRPr="000D26C4">
              <w:rPr>
                <w:rFonts w:ascii="Times New Roman" w:hAnsi="Times New Roman" w:cs="Times New Roman"/>
                <w:sz w:val="24"/>
                <w:szCs w:val="24"/>
              </w:rPr>
              <w:lastRenderedPageBreak/>
              <w:t>bank yang berkedudukan di luar negeri.</w:t>
            </w:r>
          </w:p>
        </w:tc>
        <w:tc>
          <w:tcPr>
            <w:tcW w:w="0" w:type="auto"/>
          </w:tcPr>
          <w:p w14:paraId="3C86C81B"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 xml:space="preserve">(1) Bank Umum hanya dapat didirikan oleh: a. Warga negara Indonesia dan atau badan hukum Indonesia; b. Warga negara Indonesia dan atau badan hukum Indonesia dengan warga negara asing dan atau </w:t>
            </w:r>
            <w:r w:rsidRPr="000D26C4">
              <w:rPr>
                <w:rFonts w:ascii="Times New Roman" w:hAnsi="Times New Roman" w:cs="Times New Roman"/>
                <w:sz w:val="24"/>
                <w:szCs w:val="24"/>
              </w:rPr>
              <w:lastRenderedPageBreak/>
              <w:t>badan hukum asing secara kemitraan.</w:t>
            </w:r>
          </w:p>
        </w:tc>
        <w:tc>
          <w:tcPr>
            <w:tcW w:w="0" w:type="auto"/>
          </w:tcPr>
          <w:p w14:paraId="19B77A05"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 xml:space="preserve">Adaptasi Globalisasi dan Strategic Partnership: UU 1992 memiliki tendensi nasionalistik yang kaku, di mana unsur asing hanya dibolehkan berupa institusi "bank yang berkedudukan di luar negeri". UU 1998 memperluas spektrum masuknya modal dengan memperbolehkan "warga </w:t>
            </w:r>
            <w:r w:rsidRPr="000D26C4">
              <w:rPr>
                <w:rFonts w:ascii="Times New Roman" w:hAnsi="Times New Roman" w:cs="Times New Roman"/>
                <w:sz w:val="24"/>
                <w:szCs w:val="24"/>
              </w:rPr>
              <w:lastRenderedPageBreak/>
              <w:t>negara asing" dan "badan hukum asing" (seperti lembaga private equity, hedge fund, atau konsorsium non-bank) untuk masuk menyelamatkan bank di Indonesia. Konsep "Kemitraan" menggantikan rezim kepemilikan kaku, mendemonstrasikan bahwa likuiditas dari entitas mana pun (asing maupun lokal) sangat dibutuhkan pasca keruntuhan sistemik.</w:t>
            </w:r>
          </w:p>
        </w:tc>
      </w:tr>
      <w:tr w:rsidR="000D26C4" w:rsidRPr="000D26C4" w14:paraId="4E87CA2C" w14:textId="77777777" w:rsidTr="000D26C4">
        <w:tc>
          <w:tcPr>
            <w:tcW w:w="1129" w:type="dxa"/>
          </w:tcPr>
          <w:p w14:paraId="1B4FF2DC"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26</w:t>
            </w:r>
          </w:p>
        </w:tc>
        <w:tc>
          <w:tcPr>
            <w:tcW w:w="0" w:type="auto"/>
          </w:tcPr>
          <w:p w14:paraId="65249AB7"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Bank Umum dapat melakukan emisi saham melalui bursa efek di Indonesia...</w:t>
            </w:r>
          </w:p>
          <w:p w14:paraId="4850528B"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(3) Warga negara asing dan/atau badan hukum asing dapat membeli saham Bank Umum melalui bursa efek, dengan ketentuan tidak menjadi mayoritas.</w:t>
            </w:r>
          </w:p>
          <w:p w14:paraId="4C7B8632"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(4) Khusus bagi Bank Umum milik negara... tanpa mengakibatkan perubahan atas mayoritas kepemilikan saham oleh negara.</w:t>
            </w:r>
          </w:p>
        </w:tc>
        <w:tc>
          <w:tcPr>
            <w:tcW w:w="0" w:type="auto"/>
          </w:tcPr>
          <w:p w14:paraId="39D814FD"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Bank Umum dapat melakukan emisi saham melalui bursa efek.</w:t>
            </w:r>
          </w:p>
          <w:p w14:paraId="31AA0C2C"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(2) Warga negara Indonesia, warga negara asing, badan hukum Indonesia dan atau badan hukum asing dapat membeli saham Bank Umum, baik secara langsung dan atau melalui bursa efek.</w:t>
            </w:r>
          </w:p>
        </w:tc>
        <w:tc>
          <w:tcPr>
            <w:tcW w:w="0" w:type="auto"/>
          </w:tcPr>
          <w:p w14:paraId="63A1BACA"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 xml:space="preserve">Privatisasi Radikal dan Penghapusan Batas Mayoritas Asing: Klausul "dengan ketentuan tidak menjadi mayoritas" dihapus sepenuhnya. Ini adalah pengakuan pahit namun realistis dari negara bahwa modal domestik telah musnah akibat krisis hiperinflasi dan kejatuhan nilai tukar Rupiah. Untuk mencegah sektor keuangan lumpuh selamanya, negara merelakan pihak asing untuk bisa menguasai mayoritas saham perbankan nasional. Langkah privatisasi ini adalah strategi utama untuk </w:t>
            </w:r>
            <w:r w:rsidRPr="000D26C4">
              <w:rPr>
                <w:rFonts w:ascii="Times New Roman" w:hAnsi="Times New Roman" w:cs="Times New Roman"/>
                <w:sz w:val="24"/>
                <w:szCs w:val="24"/>
              </w:rPr>
              <w:lastRenderedPageBreak/>
              <w:t>merekapitalisasi industri (memenuhi standar kecukupan modal) yang diawasi langsung oleh IMF pada era tersebut.</w:t>
            </w:r>
          </w:p>
        </w:tc>
      </w:tr>
      <w:tr w:rsidR="000D26C4" w:rsidRPr="000D26C4" w14:paraId="51E6CA7D" w14:textId="77777777" w:rsidTr="000D26C4">
        <w:tc>
          <w:tcPr>
            <w:tcW w:w="1129" w:type="dxa"/>
          </w:tcPr>
          <w:p w14:paraId="4A63DE50"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27</w:t>
            </w:r>
          </w:p>
        </w:tc>
        <w:tc>
          <w:tcPr>
            <w:tcW w:w="0" w:type="auto"/>
          </w:tcPr>
          <w:p w14:paraId="74548537"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Perubahan kepemilikan bank wajib: a. memenuhi ketentuan sebagaimana dimaksud dalam Pasal 16 ayat (6), Pasal 17, Pasal 22, Pasal 23, Pasal 24, Pasal 25, dan Pasal 26; b. dilaporkan kepada Bank Indonesia.</w:t>
            </w:r>
          </w:p>
        </w:tc>
        <w:tc>
          <w:tcPr>
            <w:tcW w:w="0" w:type="auto"/>
          </w:tcPr>
          <w:p w14:paraId="69878D3C"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Perubahan kepemilikan bank wajib: a. memenuhi ketentuan sebagaimana dimaksud dalam Pasal 16 ayat (3), Pasal 22, Pasal 23, Pasal 24, Pasal 25, dan Pasal 26; dan b. dilaporkan kepada Bank Indonesia.</w:t>
            </w:r>
          </w:p>
        </w:tc>
        <w:tc>
          <w:tcPr>
            <w:tcW w:w="0" w:type="auto"/>
          </w:tcPr>
          <w:p w14:paraId="10421330"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Konsolidasi Referensi Yuridis: Penghapusan referensi Pasal 17 (yang memang telah dihapus dalam UU ini) adalah bentuk legal drafting yang sistematis. Pemangkasan kompleksitas ini memastikan tidak ada pasal-pasal usang yang menjadi penghalang administratif (administrative bottleneck) bagi calon investor baru yang ingin mengambil alih (akuisisi) dan mengubah struktur kepemilikan bank-bank yang sedang direstrukturisasi atau dalam kondisi terancam pailit.</w:t>
            </w:r>
          </w:p>
        </w:tc>
      </w:tr>
      <w:tr w:rsidR="000D26C4" w:rsidRPr="000D26C4" w14:paraId="513B9D6A" w14:textId="77777777" w:rsidTr="000D26C4">
        <w:tc>
          <w:tcPr>
            <w:tcW w:w="1129" w:type="dxa"/>
          </w:tcPr>
          <w:p w14:paraId="1DF30424"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Pasal 28 ayat 1</w:t>
            </w:r>
          </w:p>
        </w:tc>
        <w:tc>
          <w:tcPr>
            <w:tcW w:w="0" w:type="auto"/>
          </w:tcPr>
          <w:p w14:paraId="0EF28DAE"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Merger dan konsolidasi antar bank, serta akuisisi bank wajib terlebih dahulu mendapat izin Menteri setelah mendengar pertimbangan Bank Indonesia.</w:t>
            </w:r>
          </w:p>
        </w:tc>
        <w:tc>
          <w:tcPr>
            <w:tcW w:w="0" w:type="auto"/>
          </w:tcPr>
          <w:p w14:paraId="0A321352"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Merger, konsolidasi, dan akuisisi wajib terlebih dahulu mendapat izin Pimpinan Bank Indonesia.</w:t>
            </w:r>
          </w:p>
        </w:tc>
        <w:tc>
          <w:tcPr>
            <w:tcW w:w="0" w:type="auto"/>
          </w:tcPr>
          <w:p w14:paraId="3E1BF2BA"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 xml:space="preserve">Akselerasi Pemangkasan Bank Lemah: Krisis 1998 meninggalkan Indonesia dengan ratusan bank kecil yang sangat keropos dan tidak efisien. Merger dan Konsolidasi adalah "obat pahit" yang wajib ditelan </w:t>
            </w:r>
            <w:r w:rsidRPr="000D26C4">
              <w:rPr>
                <w:rFonts w:ascii="Times New Roman" w:hAnsi="Times New Roman" w:cs="Times New Roman"/>
                <w:sz w:val="24"/>
                <w:szCs w:val="24"/>
              </w:rPr>
              <w:lastRenderedPageBreak/>
              <w:t>untuk merampingkan arsitektur perbankan Indonesia (Single Presence Policy di masa depan). Mengambil kewenangan ini dari tangan Menteri ke tangan Pimpinan Bank Indonesia mempercepat proses persetujuan hukum bagi bank-bank yang harus dilebur demi menyelamatkan nasabah, tanpa menunggu kalkulasi politik dari pemerintah pusat.</w:t>
            </w:r>
          </w:p>
        </w:tc>
      </w:tr>
      <w:tr w:rsidR="000D26C4" w:rsidRPr="000D26C4" w14:paraId="7CEB5111" w14:textId="77777777" w:rsidTr="000D26C4">
        <w:tc>
          <w:tcPr>
            <w:tcW w:w="1129" w:type="dxa"/>
          </w:tcPr>
          <w:p w14:paraId="7712CF29"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29</w:t>
            </w:r>
          </w:p>
        </w:tc>
        <w:tc>
          <w:tcPr>
            <w:tcW w:w="0" w:type="auto"/>
          </w:tcPr>
          <w:p w14:paraId="27A24810"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Pembinaan dan pengawasan bank dilakukan oleh Bank Indonesia.</w:t>
            </w:r>
          </w:p>
          <w:p w14:paraId="17B36482"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(2) Bank Indonesia menetapkan ketentuan tentang kesehatan bank dengan memperhatikan aspek permodalan, kualitas asset, kualitas manajemen, rentabilitas...</w:t>
            </w:r>
          </w:p>
          <w:p w14:paraId="582388C5"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(3) Bank wajib memelihara kesehatan bank... dan wajib melakukan usaha sesuai dengan prinsip kehati-hatian.</w:t>
            </w:r>
          </w:p>
        </w:tc>
        <w:tc>
          <w:tcPr>
            <w:tcW w:w="0" w:type="auto"/>
          </w:tcPr>
          <w:p w14:paraId="6642DA96"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(2) Bank wajib memelihara tingkat kesehatan bank sesuai dengan ketentuan kecukupan modal, kualitas aset, kualitas manajemen, likuiditas, rentabilitas, solvabilitas... dan wajib melakukan kegiatan usaha sesuai dengan prinsip kehati-hatian.</w:t>
            </w:r>
          </w:p>
          <w:p w14:paraId="2DC89159"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(3) Dalam memberikan kredit... wajib menempuh cara-cara yang tidak merugikan bank...</w:t>
            </w:r>
          </w:p>
          <w:p w14:paraId="027CC98B"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(4) Untuk kepentingan nasabah, bank wajib menyediakan informasi mengenai kemungkinan timbulnya risiko kerugian...</w:t>
            </w:r>
          </w:p>
        </w:tc>
        <w:tc>
          <w:tcPr>
            <w:tcW w:w="0" w:type="auto"/>
          </w:tcPr>
          <w:p w14:paraId="084C948B"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 xml:space="preserve">Konkretisasi Konsep Prudential Banking &amp; Perlindungan Konsumen: Ini adalah fondasi dari paradigma baru perbankan Indonesia. UU 1998 mempertegas elemen-elemen CAMELS (Capital, Asset Quality, Management, Earnings, Liquidity, Sensitivity). Di pasal ini, bank untuk pertama kalinya secara gamblang diwajibkan memberikan informasi "risiko kerugian" kepada nasabahnya (Aspek Transparansi &amp; Perlindungan Konsumen). Prinsip Kehati-hatian (Prudential Principle) </w:t>
            </w:r>
            <w:r w:rsidRPr="000D26C4">
              <w:rPr>
                <w:rFonts w:ascii="Times New Roman" w:hAnsi="Times New Roman" w:cs="Times New Roman"/>
                <w:sz w:val="24"/>
                <w:szCs w:val="24"/>
              </w:rPr>
              <w:lastRenderedPageBreak/>
              <w:t>tidak lagi menjadi imbauan semata, melainkan kewajiban operasional yang diikat hukum yang sangat ketat untuk menghindari investasi spekulatif yang serakah.</w:t>
            </w:r>
          </w:p>
        </w:tc>
      </w:tr>
      <w:tr w:rsidR="000D26C4" w:rsidRPr="000D26C4" w14:paraId="095F59B6" w14:textId="77777777" w:rsidTr="000D26C4">
        <w:tc>
          <w:tcPr>
            <w:tcW w:w="1129" w:type="dxa"/>
          </w:tcPr>
          <w:p w14:paraId="6A91EF53"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31 &amp; 31A</w:t>
            </w:r>
          </w:p>
        </w:tc>
        <w:tc>
          <w:tcPr>
            <w:tcW w:w="0" w:type="auto"/>
          </w:tcPr>
          <w:p w14:paraId="7B97454D"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Bank Indonesia melakukan pemeriksaan terhadap bank, baik secara berkala maupun setiap waktu apabila diperlukan.</w:t>
            </w:r>
          </w:p>
          <w:p w14:paraId="754A885D"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(2) Dalam hal diperlukan... dewan moneter dapat meminta Bank Indonesia untuk: a. menyampaikan laporan... b. melakukan pemeriksaan khusus...</w:t>
            </w:r>
          </w:p>
        </w:tc>
        <w:tc>
          <w:tcPr>
            <w:tcW w:w="0" w:type="auto"/>
          </w:tcPr>
          <w:p w14:paraId="475E5F7B"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Bank Indonesia melakukan pemeriksaan terhadap Bank... baik secara berkala maupun setiap waktu...</w:t>
            </w:r>
          </w:p>
          <w:p w14:paraId="0A81C9BA"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Bank Indonesia dapat menugaskan Akuntan Publik untuk dan atas nama Bank Indonesia melaksanakan pemeriksaan terhadap bank sebagaimana dimaksud dalam Pasal 31.</w:t>
            </w:r>
          </w:p>
        </w:tc>
        <w:tc>
          <w:tcPr>
            <w:tcW w:w="0" w:type="auto"/>
          </w:tcPr>
          <w:p w14:paraId="3024A875"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Outsourcing Pengawasan &amp; Pelibatan Akuntan Publik Independen: Pembubaran kekuatan Dewan Moneter dari pasal ini menunjukkan terputusnya kekuatan intervensi Kabinet. Yang paling revolusioner adalah masuknya wewenang BI untuk menunjuk "Akuntan Publik". Skala pembusukan (window dressing) di dalam laporan keuangan bank-bank tahun 1998 begitu masif dan rumit sehingga kapasitas internal pengawas BI tidak memadai. BI membutuhkan auditor independen berstandar internasional untuk membongkar rekayasa akuntansi yang menyembunyikan kerugian kredit macet dari para taipan.</w:t>
            </w:r>
          </w:p>
        </w:tc>
      </w:tr>
      <w:tr w:rsidR="000D26C4" w:rsidRPr="000D26C4" w14:paraId="73EC0351" w14:textId="77777777" w:rsidTr="000D26C4">
        <w:tc>
          <w:tcPr>
            <w:tcW w:w="1129" w:type="dxa"/>
          </w:tcPr>
          <w:p w14:paraId="2A01605A"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Pasal 32</w:t>
            </w:r>
          </w:p>
        </w:tc>
        <w:tc>
          <w:tcPr>
            <w:tcW w:w="0" w:type="auto"/>
          </w:tcPr>
          <w:p w14:paraId="11DA303E"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 xml:space="preserve">Jika dianggap perlu, Menteri dapat pula meminta Bank </w:t>
            </w:r>
            <w:r w:rsidRPr="000D26C4">
              <w:rPr>
                <w:rFonts w:ascii="Times New Roman" w:hAnsi="Times New Roman" w:cs="Times New Roman"/>
                <w:sz w:val="24"/>
                <w:szCs w:val="24"/>
              </w:rPr>
              <w:lastRenderedPageBreak/>
              <w:t>Indonesia untuk menyampaikan laporan mengenai hasil pemeriksaan bank atau meminta Bank Indonesia untuk melakukan pemeriksaan khusus terhadap bank...</w:t>
            </w:r>
          </w:p>
        </w:tc>
        <w:tc>
          <w:tcPr>
            <w:tcW w:w="0" w:type="auto"/>
          </w:tcPr>
          <w:p w14:paraId="7A79824D"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DIHAPUS</w:t>
            </w:r>
          </w:p>
        </w:tc>
        <w:tc>
          <w:tcPr>
            <w:tcW w:w="0" w:type="auto"/>
          </w:tcPr>
          <w:p w14:paraId="2288C4A0"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 xml:space="preserve">Pemotongan Jalur Intervensi dan Rahasia Informasi: Penghapusan kewenangan </w:t>
            </w:r>
            <w:r w:rsidRPr="000D26C4">
              <w:rPr>
                <w:rFonts w:ascii="Times New Roman" w:hAnsi="Times New Roman" w:cs="Times New Roman"/>
                <w:sz w:val="24"/>
                <w:szCs w:val="24"/>
              </w:rPr>
              <w:lastRenderedPageBreak/>
              <w:t>Menteri untuk meminta laporan hasil pemeriksaan (yang merupakan dokumen sangat rahasia) merupakan pelindung terhadap penyalahgunaan informasi. Di masa lalu, informasi kesehatan bank bisa bocor ke pihak pemerintah yang mungkin memiliki afiliasi dengan pemilik bank, sehingga pemilik bank bisa melakukan penarikan dana sebelum bank tersebut dibekukan (praktik insider trading/asymmetric information). Menghapus pasal ini menjamin sterilisasi data pemeriksaan pengawas perbankan.</w:t>
            </w:r>
          </w:p>
        </w:tc>
      </w:tr>
      <w:tr w:rsidR="000D26C4" w:rsidRPr="000D26C4" w14:paraId="0F762C70" w14:textId="77777777" w:rsidTr="000D26C4">
        <w:tc>
          <w:tcPr>
            <w:tcW w:w="1129" w:type="dxa"/>
          </w:tcPr>
          <w:p w14:paraId="4048286C"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33</w:t>
            </w:r>
          </w:p>
        </w:tc>
        <w:tc>
          <w:tcPr>
            <w:tcW w:w="0" w:type="auto"/>
          </w:tcPr>
          <w:p w14:paraId="2B438397"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Laporan pemeriksaan bank sebagaimana dimaksud dalam Pasal 31 dan Pasal 32 bersifat rahasia.</w:t>
            </w:r>
          </w:p>
          <w:p w14:paraId="581BEEDA"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(2) Persyaratan dan tata cara pemeriksaan... ditetapkan oleh Bank Indonesia.</w:t>
            </w:r>
          </w:p>
        </w:tc>
        <w:tc>
          <w:tcPr>
            <w:tcW w:w="0" w:type="auto"/>
          </w:tcPr>
          <w:p w14:paraId="42A70779"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Laporan pemeriksaan bank sebagaimana dimaksud dalam Pasal 31 dan Pasal 31A bersifat rahasia.</w:t>
            </w:r>
          </w:p>
          <w:p w14:paraId="1CD6847A"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(2) Persyaratan dan tata cara pemeriksaan sebagaimana dimaksud dalam Pasal 31 dan Pasal 31A ditetapkan oleh Bank Indonesia.</w:t>
            </w:r>
          </w:p>
        </w:tc>
        <w:tc>
          <w:tcPr>
            <w:tcW w:w="0" w:type="auto"/>
          </w:tcPr>
          <w:p w14:paraId="6CA4F5CA"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 xml:space="preserve">Penyesuaian Asas Kerahasiaan Audit Independen: Pasal ini secara yuridis menyesuaikan nomenklatur pasal dengan menyertakan Pasal 31A. Implikasi dari perspektif tata kelolanya adalah bahwa laporan hasil audit investigatif yang dilakukan oleh Kantor Akuntan Publik (KAP) eksternal atas nama Bank Indonesia memiliki </w:t>
            </w:r>
            <w:r w:rsidRPr="000D26C4">
              <w:rPr>
                <w:rFonts w:ascii="Times New Roman" w:hAnsi="Times New Roman" w:cs="Times New Roman"/>
                <w:sz w:val="24"/>
                <w:szCs w:val="24"/>
              </w:rPr>
              <w:lastRenderedPageBreak/>
              <w:t>kedudukan hukum dan sifat kerahasiaan (confidentiality) yang setara dengan laporan yang dibuat oleh inspektur organik Bank Indonesia sendiri.</w:t>
            </w:r>
          </w:p>
        </w:tc>
      </w:tr>
      <w:tr w:rsidR="000D26C4" w:rsidRPr="000D26C4" w14:paraId="782998C1" w14:textId="77777777" w:rsidTr="000D26C4">
        <w:tc>
          <w:tcPr>
            <w:tcW w:w="1129" w:type="dxa"/>
          </w:tcPr>
          <w:p w14:paraId="43938773"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37</w:t>
            </w:r>
          </w:p>
        </w:tc>
        <w:tc>
          <w:tcPr>
            <w:tcW w:w="0" w:type="auto"/>
          </w:tcPr>
          <w:p w14:paraId="0DC01A8D"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Apabila... bank diperkirakan mengalami kesulitan... Bank Indonesia memberitahukan hal tersebut kepada Menteri.</w:t>
            </w:r>
          </w:p>
          <w:p w14:paraId="1DC7498C"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(2) Bank Indonesia dapat: a. melakukan tindakan agar: 1. pemegang saham menambah modal... 3. bank menghapus-bukukan kredit yang macet...</w:t>
            </w:r>
          </w:p>
          <w:p w14:paraId="015D4DCA"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(3) ...Bank Indonesia mengusulkan kepada Menteri untuk mencabut izin...</w:t>
            </w:r>
          </w:p>
          <w:p w14:paraId="737DEE42"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(4) Menteri mencabut izin usaha...</w:t>
            </w:r>
          </w:p>
        </w:tc>
        <w:tc>
          <w:tcPr>
            <w:tcW w:w="0" w:type="auto"/>
          </w:tcPr>
          <w:p w14:paraId="412A5CCE"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Dalam hal suatu bank mengalami kesulitan... Bank Indonesia dapat melakukan tindakan agar: a. pemegang saham menambah modal... c. bank menghapusbukukan kredit...</w:t>
            </w:r>
          </w:p>
          <w:p w14:paraId="11370F66"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(2) Apabila... menurut penilaian Bank Indonesia keadaan suatu bank dapat membahayakan sistem Perbankan, Pimpinan Bank Indonesia dapat mencabut izin usaha bank dan memerintahkan Direksi bank untuk segera menyelenggarakan Rapat Umum Pemegang Saham guna membubarkan badan hukum bank dan membentuk tim likuidasi.</w:t>
            </w:r>
          </w:p>
        </w:tc>
        <w:tc>
          <w:tcPr>
            <w:tcW w:w="0" w:type="auto"/>
          </w:tcPr>
          <w:p w14:paraId="08567740"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Desain Tanggap Darurat dan Eksekusi Bail-in/Liquidation: Prosedur pada UU 1992 ibarat "menunggu rumah terbakar habis" karena BI hanya bisa lapor dan mengusulkan ke Menteri. Dalam krisis, setiap jam sangat berharga karena terjadi Rush (penarikan dana massal). UU 1998 memberikan Bank Indonesia fungsi "Jagal" (Executioner) sekaligus "Dokter" bagi bank bermasalah. BI dapat secara sepihak dan seketika mencabut lisensi, memaksa direksi menggelar RUPS pembubaran (likuidasi), memblokir modal, tanpa campur tangan birokrasi politik. Ini merupakan desain mitigasi penyebaran "wabah" kebangkrutan (Systemic Contagion Risk) dalam industri keuangan.</w:t>
            </w:r>
          </w:p>
        </w:tc>
      </w:tr>
      <w:tr w:rsidR="000D26C4" w:rsidRPr="000D26C4" w14:paraId="2CCAF581" w14:textId="77777777" w:rsidTr="000D26C4">
        <w:tc>
          <w:tcPr>
            <w:tcW w:w="1129" w:type="dxa"/>
          </w:tcPr>
          <w:p w14:paraId="6ED62164"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40</w:t>
            </w:r>
          </w:p>
        </w:tc>
        <w:tc>
          <w:tcPr>
            <w:tcW w:w="0" w:type="auto"/>
          </w:tcPr>
          <w:p w14:paraId="27CBEE25"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Bank dilarang memberikan keterangan yang tercatat pada bank tentang keadaan keuangan dan hal-hal lain dari nasabahnya, yang wajib dirahasiakan oleh bank menurut kelaziman dalam dunia perbankan, kecuali...</w:t>
            </w:r>
          </w:p>
          <w:p w14:paraId="557BBBCF"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(2) Ketentuan sebagaimana dimaksud dalam ayat (1) berlaku pula bagi pihak terafiliasi.</w:t>
            </w:r>
          </w:p>
        </w:tc>
        <w:tc>
          <w:tcPr>
            <w:tcW w:w="0" w:type="auto"/>
          </w:tcPr>
          <w:p w14:paraId="06E0E126"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Bank Wajib merahasiakan keterangan mengenai Nasabah Penyimpan dan simpanannya, kecuali dalam hal sebagaimana dimaksud dalam Pasal 41, Pasal 41A, Pasal 42, Pasal 44, dan Pasal 44A.</w:t>
            </w:r>
          </w:p>
          <w:p w14:paraId="7C2A2653"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(2) Ketentuan... berlaku pula bagi Pihak Terafiliasi.</w:t>
            </w:r>
          </w:p>
        </w:tc>
        <w:tc>
          <w:tcPr>
            <w:tcW w:w="0" w:type="auto"/>
          </w:tcPr>
          <w:p w14:paraId="780D2ED7"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Restrukturisasi Dogma "Rahasia Bank" (Bank Secrecy): UU 1992 menerapkan kerahasiaan bank yang nyaris tak bisa ditembus (Absolute Secrecy), yang pada akhirnya justru menjadi tempat berlindung para penghindar pajak dan pencuci uang hasil korupsi/kejahatan (money laundering). Perubahan pada UU 1998 memperjelas bahwa perlindungan kerahasiaan difokuskan hanya pada "Nasabah Penyimpan dan simpanannya". Status Nasabah Debitur (peminjam) menjadi jauh lebih transparan agar masyarakat dan otoritas bisa melacak aliran dana macet yang dilarikan oleh obligor nakal ke luar negeri.</w:t>
            </w:r>
          </w:p>
        </w:tc>
      </w:tr>
      <w:tr w:rsidR="000D26C4" w:rsidRPr="000D26C4" w14:paraId="38D2154E" w14:textId="77777777" w:rsidTr="000D26C4">
        <w:tc>
          <w:tcPr>
            <w:tcW w:w="1129" w:type="dxa"/>
          </w:tcPr>
          <w:p w14:paraId="01391209"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Pasal 41 &amp; 41A</w:t>
            </w:r>
          </w:p>
        </w:tc>
        <w:tc>
          <w:tcPr>
            <w:tcW w:w="0" w:type="auto"/>
          </w:tcPr>
          <w:p w14:paraId="05759148"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 xml:space="preserve">(1) Untuk kepentingan perpajakan Menteri berwenang mengeluarkan perintah tertulis kepada Bank agar memberikan keterangan dan </w:t>
            </w:r>
            <w:r w:rsidRPr="000D26C4">
              <w:rPr>
                <w:rFonts w:ascii="Times New Roman" w:hAnsi="Times New Roman" w:cs="Times New Roman"/>
                <w:sz w:val="24"/>
                <w:szCs w:val="24"/>
              </w:rPr>
              <w:lastRenderedPageBreak/>
              <w:t>memperlihatkan bukti-bukti tertulis...</w:t>
            </w:r>
          </w:p>
        </w:tc>
        <w:tc>
          <w:tcPr>
            <w:tcW w:w="0" w:type="auto"/>
          </w:tcPr>
          <w:p w14:paraId="0A531881"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(1) Untuk kepentingan perpajakan, Pimpinan Bank Indonesia atas permintaan Menteri Keuangan berwenang mengeluarkan perintah tertulis kepada bank...</w:t>
            </w:r>
          </w:p>
          <w:p w14:paraId="30DFC551"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41A - Ditambah) (1) Untuk penyelesaian piutang bank yang sudah diserahkan kepada Badan Urusan Piutang dan Lelang Negara... Pimpinan Bank Indonesia memberikan izin... untuk memperoleh keterangan dari bank mengenai simpanan Nasabah Debitur.</w:t>
            </w:r>
          </w:p>
        </w:tc>
        <w:tc>
          <w:tcPr>
            <w:tcW w:w="0" w:type="auto"/>
          </w:tcPr>
          <w:p w14:paraId="13A194B1"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 xml:space="preserve">Optimalisasi Pajak dan Eksekusi Aset Negara (PUPN): Di sini terlihat kompromi tata kelola antar lembaga. Meski independen, BI wajib bersinergi dengan Menteri Keuangan dalam hal Tax Evasion (penghindaran pajak). Penambahan luar </w:t>
            </w:r>
            <w:r w:rsidRPr="000D26C4">
              <w:rPr>
                <w:rFonts w:ascii="Times New Roman" w:hAnsi="Times New Roman" w:cs="Times New Roman"/>
                <w:sz w:val="24"/>
                <w:szCs w:val="24"/>
              </w:rPr>
              <w:lastRenderedPageBreak/>
              <w:t>biasa ada di Pasal 41A terkait Badan Urusan Piutang dan Lelang Negara (BUPLN/PUPN). Negara membutuhkan instrumen pemaksa (coercive tools) untuk menembus rekening para taipan/debitur macet yang utangnya disita negara. Melalui kewenangan ini, negara dapat melacak saldo tersembunyi para obligor Bantuan Likuiditas Bank Indonesia (BLBI) yang mengemplang uang rakyat.</w:t>
            </w:r>
          </w:p>
        </w:tc>
      </w:tr>
      <w:tr w:rsidR="000D26C4" w:rsidRPr="000D26C4" w14:paraId="2BEFEB46" w14:textId="77777777" w:rsidTr="000D26C4">
        <w:tc>
          <w:tcPr>
            <w:tcW w:w="1129" w:type="dxa"/>
          </w:tcPr>
          <w:p w14:paraId="6E88245B"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42 &amp; 42A</w:t>
            </w:r>
          </w:p>
        </w:tc>
        <w:tc>
          <w:tcPr>
            <w:tcW w:w="0" w:type="auto"/>
          </w:tcPr>
          <w:p w14:paraId="77E79AC9"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Untuk kepentingan peradilan dalam perkara pidana, Menteri dapat memberi izin kepada polisi, jaksa atau hakim untuk memperoleh keterangan dari bank...</w:t>
            </w:r>
          </w:p>
        </w:tc>
        <w:tc>
          <w:tcPr>
            <w:tcW w:w="0" w:type="auto"/>
          </w:tcPr>
          <w:p w14:paraId="0B2A083C"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Untuk kepentingan peradilan dalam perkara pidana, Pimpinan Bank Indonesia dapat memberikan izin kepada polisi, jaksa, atau hakim untuk memperoleh keterangan... mengenai simpanan tersangka atau terdakwa...</w:t>
            </w:r>
          </w:p>
          <w:p w14:paraId="668A98F9"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(Pasal 42A - Ditambah) Bank wajib memberikan keterangan sebagaimana dimaksud dalam Pasal 41, Pasal 41A, dan Pasal 42.</w:t>
            </w:r>
          </w:p>
        </w:tc>
        <w:tc>
          <w:tcPr>
            <w:tcW w:w="0" w:type="auto"/>
          </w:tcPr>
          <w:p w14:paraId="6E1B649E"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 xml:space="preserve">Sinkronisasi Sistem Peradilan Pidana (Criminal Justice System): Pengalihan wewenang izin buka rahasia dari Menteri ke Gubernur BI mempercepat penegakan hukum pidana. Penambahan kewajiban mutlak pada Pasal 42A ("Bank wajib memberikan...") adalah bentuk penghancuran sifat resistensi perbankan. Sebelumnya, eksekutif bank sering menghalangi penyidikan jaksa dan polisi dengan alasan menunggu persetujuan berbelit-belit. Aturan ini memastikan </w:t>
            </w:r>
            <w:r w:rsidRPr="000D26C4">
              <w:rPr>
                <w:rFonts w:ascii="Times New Roman" w:hAnsi="Times New Roman" w:cs="Times New Roman"/>
                <w:sz w:val="24"/>
                <w:szCs w:val="24"/>
              </w:rPr>
              <w:lastRenderedPageBreak/>
              <w:t>proses pembekuan rekening koruptor dan penyitaan dana illicit finance berjalan cepat (swift action) sebelum uang tersebut ditransfer ke rekening bank offshore.</w:t>
            </w:r>
          </w:p>
        </w:tc>
      </w:tr>
      <w:tr w:rsidR="000D26C4" w:rsidRPr="000D26C4" w14:paraId="06D0E52B" w14:textId="77777777" w:rsidTr="000D26C4">
        <w:tc>
          <w:tcPr>
            <w:tcW w:w="1129" w:type="dxa"/>
          </w:tcPr>
          <w:p w14:paraId="2E21A93C"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44A</w:t>
            </w:r>
          </w:p>
        </w:tc>
        <w:tc>
          <w:tcPr>
            <w:tcW w:w="0" w:type="auto"/>
          </w:tcPr>
          <w:p w14:paraId="5C661D3D"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(Belum ada aturan spesifik kemudahan ahli waris/kuasa nasabah)</w:t>
            </w:r>
          </w:p>
        </w:tc>
        <w:tc>
          <w:tcPr>
            <w:tcW w:w="0" w:type="auto"/>
          </w:tcPr>
          <w:p w14:paraId="547CA113"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Atas permintaan, persetujuan atau kuasa dari Nasabah Penyimpan... bank wajib memberikan keterangan... kepada pihak yang ditunjuk...</w:t>
            </w:r>
          </w:p>
          <w:p w14:paraId="4C3C2FAB"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(2) Dalam hal Nasabah Penyimpan telah meninggal dunia, ahli waris yang sah... berhak memperoleh keterangan mengenai simpanan...</w:t>
            </w:r>
          </w:p>
        </w:tc>
        <w:tc>
          <w:tcPr>
            <w:tcW w:w="0" w:type="auto"/>
          </w:tcPr>
          <w:p w14:paraId="3BFD7DD3"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Perlindungan Hak Keperdataan dan Ahli Waris: Tambahan pasal ini didedikasikan untuk memperbaiki keluhan publik di bidang Consumer Protection. Dalam rezim lama, bank kerap mempersulit ahli waris yang ingin mengakses data atau mencairkan deposito nasabah yang telah meninggal dengan berlindung di balik "Pasal Rahasia Bank". Ketentuan baru memberikan jaminan kepastian hukum yang sangat kuat bagi ahli waris dan pemegang surat kuasa yang sah, sehingga bank tidak dapat lagi menahan/mengendapkan dana nasabah secara sepihak tanpa dasar hukum yang jelas.</w:t>
            </w:r>
          </w:p>
        </w:tc>
      </w:tr>
      <w:tr w:rsidR="000D26C4" w:rsidRPr="000D26C4" w14:paraId="2F8C0D12" w14:textId="77777777" w:rsidTr="000D26C4">
        <w:tc>
          <w:tcPr>
            <w:tcW w:w="1129" w:type="dxa"/>
          </w:tcPr>
          <w:p w14:paraId="16F44A1C"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Pasal 46 ayat 1</w:t>
            </w:r>
          </w:p>
        </w:tc>
        <w:tc>
          <w:tcPr>
            <w:tcW w:w="0" w:type="auto"/>
          </w:tcPr>
          <w:p w14:paraId="34CBE372"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 xml:space="preserve">(1) Barang siapa menghimpun dana dari </w:t>
            </w:r>
            <w:r w:rsidRPr="000D26C4">
              <w:rPr>
                <w:rFonts w:ascii="Times New Roman" w:hAnsi="Times New Roman" w:cs="Times New Roman"/>
                <w:sz w:val="24"/>
                <w:szCs w:val="24"/>
              </w:rPr>
              <w:lastRenderedPageBreak/>
              <w:t xml:space="preserve">masyarakat... tanpa izin usaha dari Menteri... diancam dengan pidana penjara paling lama 15 (lima belas) tahun dan denda paling banyak Rp. </w:t>
            </w:r>
            <w:proofErr w:type="gramStart"/>
            <w:r w:rsidRPr="000D26C4">
              <w:rPr>
                <w:rFonts w:ascii="Times New Roman" w:hAnsi="Times New Roman" w:cs="Times New Roman"/>
                <w:sz w:val="24"/>
                <w:szCs w:val="24"/>
              </w:rPr>
              <w:t>10.000.000.000,-</w:t>
            </w:r>
            <w:proofErr w:type="gramEnd"/>
            <w:r w:rsidRPr="000D26C4">
              <w:rPr>
                <w:rFonts w:ascii="Times New Roman" w:hAnsi="Times New Roman" w:cs="Times New Roman"/>
                <w:sz w:val="24"/>
                <w:szCs w:val="24"/>
              </w:rPr>
              <w:t xml:space="preserve"> (sepuluh milyar rupiah).</w:t>
            </w:r>
          </w:p>
        </w:tc>
        <w:tc>
          <w:tcPr>
            <w:tcW w:w="0" w:type="auto"/>
          </w:tcPr>
          <w:p w14:paraId="0CE16D00"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 xml:space="preserve">(1) Barang siapa menghimpun dana dari </w:t>
            </w:r>
            <w:r w:rsidRPr="000D26C4">
              <w:rPr>
                <w:rFonts w:ascii="Times New Roman" w:hAnsi="Times New Roman" w:cs="Times New Roman"/>
                <w:sz w:val="24"/>
                <w:szCs w:val="24"/>
              </w:rPr>
              <w:lastRenderedPageBreak/>
              <w:t>masyarakat dalam bentuk simpanan tanpa izin usaha dari Pimpinan Bank Indonesia... diancam dengan pidana penjara sekurang-kurangnya 5 (lima) tahun dan paling lama 15 (lima belas) tahun serta denda sekurang-kurangnya Rp 10.000.000.000,00... dan paling banyak Rp 20.000.000.000,00 (dua puluh miliar rupiah).</w:t>
            </w:r>
          </w:p>
        </w:tc>
        <w:tc>
          <w:tcPr>
            <w:tcW w:w="0" w:type="auto"/>
          </w:tcPr>
          <w:p w14:paraId="3F1F51A5"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 xml:space="preserve">Pemberantasan Bank Gelap (Shadow Banking) &amp; </w:t>
            </w:r>
            <w:r w:rsidRPr="000D26C4">
              <w:rPr>
                <w:rFonts w:ascii="Times New Roman" w:hAnsi="Times New Roman" w:cs="Times New Roman"/>
                <w:sz w:val="24"/>
                <w:szCs w:val="24"/>
              </w:rPr>
              <w:lastRenderedPageBreak/>
              <w:t>Standardisasi Hukuman: UU 1992 hanya mengatur batas sanksi maksimum (tidak ada batas minimum pidana penjara dan denda). Hal ini membuka celah bagi hakim untuk menjatuhkan vonis sangat ringan (misalnya hanya denda 1 juta atau penjara 3 bulan) bagi pelaku pengumpul dana ilegal. UU 1998 menutup celah tawar-menawar mafia peradilan ini dengan menetapkan "Pidana Minimum" (minimal 5 tahun dan minimal 10 Miliar). Ini langkah radikal untuk memberantas skema Ponzi dan lembaga keuangan gelap yang sering merugikan dana masyarakat kelas bawah.</w:t>
            </w:r>
          </w:p>
        </w:tc>
      </w:tr>
      <w:tr w:rsidR="000D26C4" w:rsidRPr="000D26C4" w14:paraId="0ECB390E" w14:textId="77777777" w:rsidTr="000D26C4">
        <w:tc>
          <w:tcPr>
            <w:tcW w:w="1129" w:type="dxa"/>
          </w:tcPr>
          <w:p w14:paraId="2ADE351F"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47 &amp; 47A</w:t>
            </w:r>
          </w:p>
        </w:tc>
        <w:tc>
          <w:tcPr>
            <w:tcW w:w="0" w:type="auto"/>
          </w:tcPr>
          <w:p w14:paraId="29A8A7FA"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Barang siapa tanpa membawa perintah tertulis dari Menteri... dengan sengaja memaksa bank... diancam dengan pidana penjara paling lama 3 tahun dan denda paling banyak Rp. 3 Milyar.</w:t>
            </w:r>
          </w:p>
          <w:p w14:paraId="4640E0C3"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 xml:space="preserve">(2) Anggota dewan komisaris... yang </w:t>
            </w:r>
            <w:r w:rsidRPr="000D26C4">
              <w:rPr>
                <w:rFonts w:ascii="Times New Roman" w:hAnsi="Times New Roman" w:cs="Times New Roman"/>
                <w:sz w:val="24"/>
                <w:szCs w:val="24"/>
              </w:rPr>
              <w:lastRenderedPageBreak/>
              <w:t>dengan sengaja memberikan keterangan... dipidana 2 tahun dan denda Rp 2 Miliar.</w:t>
            </w:r>
          </w:p>
        </w:tc>
        <w:tc>
          <w:tcPr>
            <w:tcW w:w="0" w:type="auto"/>
          </w:tcPr>
          <w:p w14:paraId="41FB627F"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(1) Barang siapa tanpa membawa perintah tertulis... dengan sengaja memaksa bank... diancam pidana penjara minimal 2 tahun dan maksimal 4 tahun serta denda minimal Rp 10 Miliar dan maksimal Rp 200 Miliar.</w:t>
            </w:r>
          </w:p>
          <w:p w14:paraId="63FE6AD1"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(2) Anggota Dewan Komisaris... pegawai bank... denda maksimal Rp 8 Miliar.</w:t>
            </w:r>
          </w:p>
          <w:p w14:paraId="3254B51C"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(Pasal 47A - Ditambah) Anggota dewan komisaris... yang sengaja tidak memberikan keterangan yang wajib dipenuhi... denda hingga Rp 15 Miliar.</w:t>
            </w:r>
          </w:p>
        </w:tc>
        <w:tc>
          <w:tcPr>
            <w:tcW w:w="0" w:type="auto"/>
          </w:tcPr>
          <w:p w14:paraId="76B4BD33"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 xml:space="preserve">Efek Jera (Deterrent Effect) atas Pelanggaran Kerahasiaan: Nilai denda melonjak gila-gilaan pada UU 1998, dari maksimum Rp 3 Miliar menjadi angka fantastis hingga Rp 200 Miliar (hampir 70 kali lipat). Hal ini tidak sekadar penyesuaian laju inflasi, melainkan cerminan dari kemarahan struktural negara </w:t>
            </w:r>
            <w:r w:rsidRPr="000D26C4">
              <w:rPr>
                <w:rFonts w:ascii="Times New Roman" w:hAnsi="Times New Roman" w:cs="Times New Roman"/>
                <w:sz w:val="24"/>
                <w:szCs w:val="24"/>
              </w:rPr>
              <w:lastRenderedPageBreak/>
              <w:t>atas penyalahgunaan kekuasaan di sektor finansial. Pelanggaran sistemik (baik memaksa buka rahasia, membocorkan, atau menyembunyikan data dari penyidik) disetarakan hukumannya dengan kejahatan ekonomi tingkat tinggi (Extraordinary Crime) karena taruhannya adalah hancurnya integritas dan kepercayaan masyarakat pada sistem perbankan.</w:t>
            </w:r>
          </w:p>
        </w:tc>
      </w:tr>
      <w:tr w:rsidR="000D26C4" w:rsidRPr="000D26C4" w14:paraId="2C4B73FF" w14:textId="77777777" w:rsidTr="000D26C4">
        <w:tc>
          <w:tcPr>
            <w:tcW w:w="1129" w:type="dxa"/>
          </w:tcPr>
          <w:p w14:paraId="25587460"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48</w:t>
            </w:r>
          </w:p>
        </w:tc>
        <w:tc>
          <w:tcPr>
            <w:tcW w:w="0" w:type="auto"/>
          </w:tcPr>
          <w:p w14:paraId="4D7559BF"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Anggota dewan komisaris... yang dengan sengaja tidak memberikan keterangan yang wajib dipenuhi... diancam dengan pidana penjara paling lama 2 tahun dan denda paling banyak Rp. 2 Miliar.</w:t>
            </w:r>
          </w:p>
          <w:p w14:paraId="2A00CA2E"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(2) Anggota dewan komisaris... yang lalai... kurungan 1 tahun dan denda Rp 1 Miliar.</w:t>
            </w:r>
          </w:p>
        </w:tc>
        <w:tc>
          <w:tcPr>
            <w:tcW w:w="0" w:type="auto"/>
          </w:tcPr>
          <w:p w14:paraId="7B591FB9"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Anggota Dewan Komisaris... yang dengan sengaja tidak memberikan keterangan... diancam dengan pidana penjara sekurang-kurangnya 2 tahun dan paling lama 10 tahun serta denda sekurang-kurangnya Rp 5 Miliar dan paling banyak Rp 100 Miliar.</w:t>
            </w:r>
          </w:p>
          <w:p w14:paraId="2522F452"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(2) Anggota Dewan Komisaris... yang dengan lalai... denda paling banyak Rp 2 Miliar.</w:t>
            </w:r>
          </w:p>
        </w:tc>
        <w:tc>
          <w:tcPr>
            <w:tcW w:w="0" w:type="auto"/>
          </w:tcPr>
          <w:p w14:paraId="4903A7DC"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Penghancuran Tembok Hambatan Investigasi (Obstruction of Justice): Pada era sebelum reformasi, bankir nakal lebih memilih dipenjara 1-2 tahun dengan denda murah daripada harus membongkar dokumen yang merekam pencurian uang triliunan rupiah. Hukuman yang sangat ringan menciptakan situasi di mana ketidakpatuhan lebih menguntungkan (low cost of non-compliance). Peningkatan denda hingga Rp 100 Miliar dan bui minimal 2 tahun memastikan bahwa tindakan menghalang-</w:t>
            </w:r>
            <w:r w:rsidRPr="000D26C4">
              <w:rPr>
                <w:rFonts w:ascii="Times New Roman" w:hAnsi="Times New Roman" w:cs="Times New Roman"/>
                <w:sz w:val="24"/>
                <w:szCs w:val="24"/>
              </w:rPr>
              <w:lastRenderedPageBreak/>
              <w:t>halangi pemeriksaan (Audit BI) adalah sebuah bunuh diri finansial bagi komisaris dan direktur perbankan.</w:t>
            </w:r>
          </w:p>
        </w:tc>
      </w:tr>
      <w:tr w:rsidR="000D26C4" w:rsidRPr="000D26C4" w14:paraId="15F78E67" w14:textId="77777777" w:rsidTr="000D26C4">
        <w:tc>
          <w:tcPr>
            <w:tcW w:w="1129" w:type="dxa"/>
          </w:tcPr>
          <w:p w14:paraId="65ADC5A4"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49</w:t>
            </w:r>
          </w:p>
        </w:tc>
        <w:tc>
          <w:tcPr>
            <w:tcW w:w="0" w:type="auto"/>
          </w:tcPr>
          <w:p w14:paraId="568413C5"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Anggota dewan komisaris, direksi atau pegawai bank yang dengan sengaja: a. membuat atau menyebabkan adanya pencatatan palsu... b. menghilangkan... c. mengubah, mengaburkan, menyembunyikan... diancam pidana penjara 15 tahun dan denda paling banyak Rp 10 Miliar.</w:t>
            </w:r>
          </w:p>
          <w:p w14:paraId="23F75BB0"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(2) ...yang dengan sengaja: a. meminta atau menerima... imbalan, komisi... dalam memperoleh uang muka... b. tidak melaksanakan langkah-langkah... memastikan ketaatan bank... pidana 6 tahun dan denda Rp 6 Miliar.</w:t>
            </w:r>
          </w:p>
        </w:tc>
        <w:tc>
          <w:tcPr>
            <w:tcW w:w="0" w:type="auto"/>
          </w:tcPr>
          <w:p w14:paraId="638530B9"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Anggota Dewan Komisaris, Direksi, atau pegawai bank yang dengan sengaja: a. membuat atau menyebabkan adanya pencatatan palsu... b. menghilangkan... c. mengubah... menyembunyikan atau merusak catatan pembukuan tersebut, diancam pidana penjara minimal 5 tahun dan maksimal 15 tahun serta denda minimal Rp 10 Miliar dan maksimal Rp 200 Miliar.</w:t>
            </w:r>
          </w:p>
          <w:p w14:paraId="07AB157B"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(2) ...menerima imbalan, komisi... denda hingga Rp 100 Miliar.</w:t>
            </w:r>
          </w:p>
        </w:tc>
        <w:tc>
          <w:tcPr>
            <w:tcW w:w="0" w:type="auto"/>
          </w:tcPr>
          <w:p w14:paraId="4963D538"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Pemberangusan Manipulasi Akuntansi (Window Dressing / Suap): Inilah jantung dari pasal kejahatan "Kerah Putih" industri perbankan. Skandal kebangkrutan bank massal tahun 1998 (yang memicu suntikan BLBI ratusan triliun) mayoritas disebabkan oleh bankir yang memanipulasi buku besar (pembukuan ganda), menyembunyikan kerugian (off-balance sheet hides), dan direksi yang menerima suap (kickback) dari nasabah korporat tak layak (fraud). Menaikkan denda hingga Rp 200 Miliar merupakan langkah represif pamungkas untuk memastikan rekayasa akuntansi perbankan tidak lagi dipandang sebagai "pelanggaran teknis" melainkan tindak pidana korporasi yang paling berat.</w:t>
            </w:r>
          </w:p>
        </w:tc>
      </w:tr>
      <w:tr w:rsidR="000D26C4" w:rsidRPr="000D26C4" w14:paraId="779AA13C" w14:textId="77777777" w:rsidTr="000D26C4">
        <w:tc>
          <w:tcPr>
            <w:tcW w:w="1129" w:type="dxa"/>
          </w:tcPr>
          <w:p w14:paraId="551EBCB7"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50 &amp; 50A</w:t>
            </w:r>
          </w:p>
        </w:tc>
        <w:tc>
          <w:tcPr>
            <w:tcW w:w="0" w:type="auto"/>
          </w:tcPr>
          <w:p w14:paraId="173A9445"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Pihak terafiliasi yang dengan sengaja tidak melaksanakan langkah-langkah yang diperlukan untuk memastikan ketaatan bank... diancam dengan pidana penjara paling lama 6 tahun dan denda paling banyak Rp. 6 Miliar.</w:t>
            </w:r>
          </w:p>
        </w:tc>
        <w:tc>
          <w:tcPr>
            <w:tcW w:w="0" w:type="auto"/>
          </w:tcPr>
          <w:p w14:paraId="3D56E219"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Pihak Terafiliasi yang dengan sengaja... diancam pidana penjara minimal 3 tahun dan maksimal 8 tahun serta denda maksimal Rp 100 Miliar.</w:t>
            </w:r>
          </w:p>
          <w:p w14:paraId="492CBA6A"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(Pasal 50A - Ditambah) Pemegang saham yang dengan sengaja menyuruh Dewan Komisaris, Direksi... untuk melakukan atau tidak melakukan tindakan yang mengakibatkan bank tidak melaksanakan langkah-langkah... ketaatan bank... diancam pidana penjara 7 sampai 15 tahun dan denda maksimal Rp 200 Miliar.</w:t>
            </w:r>
          </w:p>
        </w:tc>
        <w:tc>
          <w:tcPr>
            <w:tcW w:w="0" w:type="auto"/>
          </w:tcPr>
          <w:p w14:paraId="53F84C79"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Menjerat "Aktor Intelektual" (Beneficial Owner / Pemegang Saham Pengendali): Pasal 50A adalah salah satu inovasi hukum paling bersejarah dalam UU 1998. Pada sistem lama, jika sebuah bank curang, yang dikorbankan ke penjara hanyalah kelas pekerja (board of directors / direksi boneka), sementara Taipan/Pemilik Bank (Pemegang Saham Pengendali) lolos dari hukum tanpa tersentuh karena mereka tidak tercatat menandatangani persetujuan operasional. Pasal 50A menembus Corporate Veil (tirai perlindungan hukum perseroan) secara brutal, menyatakan bahwa jika pemegang saham mendikte atau "menyuruh" pengurus bank berbuat curang demi kepentingannya, sang taipan akan dipidana sangat berat (bui hingga 15 tahun dan denda Rp 200 Miliar). Ini adalah akhir dari impunitas pemilik bank.</w:t>
            </w:r>
          </w:p>
        </w:tc>
      </w:tr>
      <w:tr w:rsidR="000D26C4" w:rsidRPr="000D26C4" w14:paraId="3D63B35F" w14:textId="77777777" w:rsidTr="000D26C4">
        <w:tc>
          <w:tcPr>
            <w:tcW w:w="1129" w:type="dxa"/>
          </w:tcPr>
          <w:p w14:paraId="02286E7E"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51 ayat 1</w:t>
            </w:r>
          </w:p>
        </w:tc>
        <w:tc>
          <w:tcPr>
            <w:tcW w:w="0" w:type="auto"/>
          </w:tcPr>
          <w:p w14:paraId="64237644"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Tindak pidana sebagaimana dimaksud dalam Pasal 46, Pasal 47, Pasal 48 ayat (1), Pasal 49, dan Pasal 50 adalah kejahatan.</w:t>
            </w:r>
          </w:p>
        </w:tc>
        <w:tc>
          <w:tcPr>
            <w:tcW w:w="0" w:type="auto"/>
          </w:tcPr>
          <w:p w14:paraId="3F7D0C23"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Tindak pidana sebagaimana dimaksud dalam Pasal 46, Pasal 47, Pasal 47A, Pasal 48 ayat (1), Pasal 49, Pasal 50, dan Pasal 50A adalah kejahatan.</w:t>
            </w:r>
          </w:p>
        </w:tc>
        <w:tc>
          <w:tcPr>
            <w:tcW w:w="0" w:type="auto"/>
          </w:tcPr>
          <w:p w14:paraId="3B4767BE"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Konsolidasi Dogma "Kejahatan" vs "Pelanggaran": Pengintegrasian pasal-pasal baru (seperti 47A dan 50A) ke dalam rumusan ini mempertegas dogma hukum pidana. Dalam hukum Indonesia, membedakan suatu perbuatan sebagai "Kejahatan" (bukan sekadar "Pelanggaran" ringan) memiliki implikasi teknis pro-justitia yang besar: aparat dapat melakukan penahanan seketika (detention), penyitaan aset tanpa kompromi, dan pelaku akan terekam dalam Sistem Informasi Kriminal permanen.</w:t>
            </w:r>
          </w:p>
        </w:tc>
      </w:tr>
      <w:tr w:rsidR="000D26C4" w:rsidRPr="000D26C4" w14:paraId="254C18B5" w14:textId="77777777" w:rsidTr="000D26C4">
        <w:tc>
          <w:tcPr>
            <w:tcW w:w="1129" w:type="dxa"/>
          </w:tcPr>
          <w:p w14:paraId="34E52B10"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Pasal 52</w:t>
            </w:r>
          </w:p>
        </w:tc>
        <w:tc>
          <w:tcPr>
            <w:tcW w:w="0" w:type="auto"/>
          </w:tcPr>
          <w:p w14:paraId="56B1DFB3"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 xml:space="preserve">Dengan tidak mengurangi ketentuan pidana... Bank Indonesia dapat menetapkan sanksi administratif kepada bank yang tidak memenuhi kewajibannya... atau menyampaikan pertimbangan kepada Menteri untuk </w:t>
            </w:r>
            <w:r w:rsidRPr="000D26C4">
              <w:rPr>
                <w:rFonts w:ascii="Times New Roman" w:hAnsi="Times New Roman" w:cs="Times New Roman"/>
                <w:sz w:val="24"/>
                <w:szCs w:val="24"/>
              </w:rPr>
              <w:lastRenderedPageBreak/>
              <w:t>mencabut izin usaha bank...</w:t>
            </w:r>
          </w:p>
        </w:tc>
        <w:tc>
          <w:tcPr>
            <w:tcW w:w="0" w:type="auto"/>
          </w:tcPr>
          <w:p w14:paraId="00DFBC89"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(1) Dengan tidak mengurangi ketentuan pidana... Bank Indonesia dapat menetapkan sanksi administratif... atau Pimpinan Bank Indonesia dapat mencabut izin usaha bank yang bersangkutan.</w:t>
            </w:r>
          </w:p>
          <w:p w14:paraId="22507377"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 xml:space="preserve">(2) Sanksi administratif... antara lain adalah: a. </w:t>
            </w:r>
            <w:r w:rsidRPr="000D26C4">
              <w:rPr>
                <w:rFonts w:ascii="Times New Roman" w:hAnsi="Times New Roman" w:cs="Times New Roman"/>
                <w:sz w:val="24"/>
                <w:szCs w:val="24"/>
              </w:rPr>
              <w:lastRenderedPageBreak/>
              <w:t>denda uang; b. teguran tertulis; c. penurunan tingkat kesehatan bank; d. larangan untuk turut serta dalam kegiatan kliring; e. pembekuan kegiatan usaha; f. pemberhentian pengurus bank... g. pencantuman dalam daftar orang tercela di bidang Perbankan.</w:t>
            </w:r>
          </w:p>
        </w:tc>
        <w:tc>
          <w:tcPr>
            <w:tcW w:w="0" w:type="auto"/>
          </w:tcPr>
          <w:p w14:paraId="036A6FB5"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 xml:space="preserve">Institusionalisasi Sanksi Tegas dan "Blacklist" Perbankan: UU lama sangat normatif terkait sanksi administratif dan lagi-lagi sangat bergantung pada keputusan Menteri. UU 1998 secara gamblang merinci tingkatan penghukuman (escalation of sanctions) yang murni dikendalikan oleh Bank Indonesia. Yang </w:t>
            </w:r>
            <w:r w:rsidRPr="000D26C4">
              <w:rPr>
                <w:rFonts w:ascii="Times New Roman" w:hAnsi="Times New Roman" w:cs="Times New Roman"/>
                <w:sz w:val="24"/>
                <w:szCs w:val="24"/>
              </w:rPr>
              <w:lastRenderedPageBreak/>
              <w:t>paling menonjol dari rincian ayat (2) adalah pembentukan Daftar Orang Tercela (DOT). Ini adalah mekanisme blacklist seumur hidup bagi bankir atau pemilik bank yang merugikan masyarakat; mereka akan diharamkan dari menduduki jabatan struktural, menjadi pemegang saham pengendali, atau bahkan menjadi karyawan di institusi keuangan manapun seumur hidupnya. Ini pembersihan ekosistem keuangan radikal pasca '98.</w:t>
            </w:r>
          </w:p>
        </w:tc>
      </w:tr>
      <w:tr w:rsidR="000D26C4" w:rsidRPr="000D26C4" w14:paraId="56E23B8C" w14:textId="77777777" w:rsidTr="000D26C4">
        <w:tc>
          <w:tcPr>
            <w:tcW w:w="1129" w:type="dxa"/>
          </w:tcPr>
          <w:p w14:paraId="735C9E72"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55</w:t>
            </w:r>
          </w:p>
        </w:tc>
        <w:tc>
          <w:tcPr>
            <w:tcW w:w="0" w:type="auto"/>
          </w:tcPr>
          <w:p w14:paraId="433776EF"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(1) Bank yang telah memiliki izin usaha dari Menteri... dinyatakan telah memperoleh izin usaha berdasarkan Undang-undang ini.</w:t>
            </w:r>
          </w:p>
          <w:p w14:paraId="41DA8644"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(2) Bank... wajib menyesuaikan... selambat-lambatnya 1 tahun...</w:t>
            </w:r>
          </w:p>
          <w:p w14:paraId="775DB791"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 xml:space="preserve">(3) Bank Perkreditan Rakyat yang telah mempunyai izin... tetap </w:t>
            </w:r>
            <w:r w:rsidRPr="000D26C4">
              <w:rPr>
                <w:rFonts w:ascii="Times New Roman" w:hAnsi="Times New Roman" w:cs="Times New Roman"/>
                <w:sz w:val="24"/>
                <w:szCs w:val="24"/>
              </w:rPr>
              <w:lastRenderedPageBreak/>
              <w:t>dapat melanjutkan usahanya...</w:t>
            </w:r>
          </w:p>
        </w:tc>
        <w:tc>
          <w:tcPr>
            <w:tcW w:w="0" w:type="auto"/>
          </w:tcPr>
          <w:p w14:paraId="61581FD9"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Bank yang telah memiliki izin usaha pada saat Undang-undang ini mulai berlaku, dinyatakan telah memperoleh izin usaha berdasarkan Undang-undang ini.</w:t>
            </w:r>
          </w:p>
        </w:tc>
        <w:tc>
          <w:tcPr>
            <w:tcW w:w="0" w:type="auto"/>
          </w:tcPr>
          <w:p w14:paraId="0CCAB083"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 xml:space="preserve">Transisi Tanpa Shock Therapy (Prinsip Kepastian Hukum Kepemilikan): Krisis 1998 menghancurkan struktur fundamental perekonomian. Oleh sebab itu, klausul peralihan dirampingkan secara dramatis. Jika negara memaksakan batas waktu (deadline) ketat 1 tahun untuk merevisi perizinan seluruh industri seperti versi 1992, itu justru akan memicu kepanikan sistemik lanjutan. Perubahan menjadi satu </w:t>
            </w:r>
            <w:r w:rsidRPr="000D26C4">
              <w:rPr>
                <w:rFonts w:ascii="Times New Roman" w:hAnsi="Times New Roman" w:cs="Times New Roman"/>
                <w:sz w:val="24"/>
                <w:szCs w:val="24"/>
              </w:rPr>
              <w:lastRenderedPageBreak/>
              <w:t>kalimat menegaskan jaminan legal (grandfather clause) bahwa lisensi bank tetap berlanjut dan status quo dihargai demi menjaga sisa-sisa kepercayaan investor (trust) terhadap iklim berbisnis di masa transisi politik.</w:t>
            </w:r>
          </w:p>
        </w:tc>
      </w:tr>
      <w:tr w:rsidR="000D26C4" w:rsidRPr="000D26C4" w14:paraId="4F6130A0" w14:textId="77777777" w:rsidTr="000D26C4">
        <w:tc>
          <w:tcPr>
            <w:tcW w:w="1129" w:type="dxa"/>
          </w:tcPr>
          <w:p w14:paraId="40135F46"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lastRenderedPageBreak/>
              <w:t>Pasal 59A</w:t>
            </w:r>
          </w:p>
        </w:tc>
        <w:tc>
          <w:tcPr>
            <w:tcW w:w="0" w:type="auto"/>
          </w:tcPr>
          <w:p w14:paraId="423ACC1C"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(Belum Ada)</w:t>
            </w:r>
          </w:p>
        </w:tc>
        <w:tc>
          <w:tcPr>
            <w:tcW w:w="0" w:type="auto"/>
          </w:tcPr>
          <w:p w14:paraId="64B5132E"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Badan khusus yang melakukan tugas penyehatan Perbankan yang telah ada sebelum berlakunya Undang-Undang ini dinyatakan tetap berlaku.</w:t>
            </w:r>
          </w:p>
        </w:tc>
        <w:tc>
          <w:tcPr>
            <w:tcW w:w="0" w:type="auto"/>
          </w:tcPr>
          <w:p w14:paraId="11ADB0B8" w14:textId="77777777" w:rsidR="000D26C4" w:rsidRPr="000D26C4" w:rsidRDefault="000D26C4" w:rsidP="000D26C4">
            <w:pPr>
              <w:spacing w:after="160" w:line="360" w:lineRule="auto"/>
              <w:rPr>
                <w:rFonts w:ascii="Times New Roman" w:hAnsi="Times New Roman" w:cs="Times New Roman"/>
                <w:sz w:val="24"/>
                <w:szCs w:val="24"/>
              </w:rPr>
            </w:pPr>
            <w:r w:rsidRPr="000D26C4">
              <w:rPr>
                <w:rFonts w:ascii="Times New Roman" w:hAnsi="Times New Roman" w:cs="Times New Roman"/>
                <w:sz w:val="24"/>
                <w:szCs w:val="24"/>
              </w:rPr>
              <w:t xml:space="preserve">Legitimasi Superior BPPN (Badan Penyehatan Perbankan Nasional): Pasal 59A yang sepenuhnya baru ini lahir dari kondisi darurat "kiamat" finansial 1998. "Badan Khusus" yang dimaksud adalah BPPN (Indonesian Bank Restructuring Agency / IBRA). BPPN memiliki kekuatan ekstrajudisial (superbody) untuk menyita aset konglomerat tanpa lewat proses peradilan perdata yang panjang, demi menambal lubang fiskal negara akibat rekapitalisasi bank. Pasal ini menyuntikkan dasar legal dan kekuatan hukum tertinggi bagi institusi ad-hoc tersebut ke dalam tubuh Undang-Undang, menjamin kewenangan </w:t>
            </w:r>
            <w:r w:rsidRPr="000D26C4">
              <w:rPr>
                <w:rFonts w:ascii="Times New Roman" w:hAnsi="Times New Roman" w:cs="Times New Roman"/>
                <w:sz w:val="24"/>
                <w:szCs w:val="24"/>
              </w:rPr>
              <w:lastRenderedPageBreak/>
              <w:t>mereka setara payung hukum absolut untuk membereskan bangkai-bangkai bank di Indonesia.</w:t>
            </w:r>
          </w:p>
        </w:tc>
      </w:tr>
      <w:tr w:rsidR="000D26C4" w:rsidRPr="000D26C4" w14:paraId="059DC270" w14:textId="77777777" w:rsidTr="000D26C4">
        <w:tc>
          <w:tcPr>
            <w:tcW w:w="1129" w:type="dxa"/>
          </w:tcPr>
          <w:p w14:paraId="3F7563AB" w14:textId="2BABE57D"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157D71B6" w14:textId="22B8EEBF"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08801DC0" w14:textId="1B33866E"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3601FEEE" w14:textId="0D8AA6F4" w:rsidR="000D26C4" w:rsidRPr="000D26C4" w:rsidRDefault="000D26C4" w:rsidP="000D26C4">
            <w:pPr>
              <w:spacing w:after="160" w:line="360" w:lineRule="auto"/>
              <w:rPr>
                <w:rFonts w:ascii="Times New Roman" w:hAnsi="Times New Roman" w:cs="Times New Roman"/>
                <w:sz w:val="24"/>
                <w:szCs w:val="24"/>
              </w:rPr>
            </w:pPr>
          </w:p>
        </w:tc>
      </w:tr>
      <w:tr w:rsidR="000D26C4" w:rsidRPr="000D26C4" w14:paraId="36ADEC00" w14:textId="77777777" w:rsidTr="000D26C4">
        <w:tc>
          <w:tcPr>
            <w:tcW w:w="1129" w:type="dxa"/>
          </w:tcPr>
          <w:p w14:paraId="1038EB3A" w14:textId="0B8874F4"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377871D0" w14:textId="3B7B7D73"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4C6838FC" w14:textId="2DF56DA1"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555EF370" w14:textId="7C8FA68D" w:rsidR="000D26C4" w:rsidRPr="000D26C4" w:rsidRDefault="000D26C4" w:rsidP="000D26C4">
            <w:pPr>
              <w:spacing w:after="160" w:line="360" w:lineRule="auto"/>
              <w:rPr>
                <w:rFonts w:ascii="Times New Roman" w:hAnsi="Times New Roman" w:cs="Times New Roman"/>
                <w:sz w:val="24"/>
                <w:szCs w:val="24"/>
              </w:rPr>
            </w:pPr>
          </w:p>
        </w:tc>
      </w:tr>
      <w:tr w:rsidR="000D26C4" w:rsidRPr="000D26C4" w14:paraId="155C5708" w14:textId="77777777" w:rsidTr="000D26C4">
        <w:tc>
          <w:tcPr>
            <w:tcW w:w="1129" w:type="dxa"/>
          </w:tcPr>
          <w:p w14:paraId="49438D72" w14:textId="1168B918"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3F963943" w14:textId="4D88BA87"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34610A17" w14:textId="25E14109"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09CCEAE7" w14:textId="0CFB75C2" w:rsidR="000D26C4" w:rsidRPr="000D26C4" w:rsidRDefault="000D26C4" w:rsidP="000D26C4">
            <w:pPr>
              <w:spacing w:after="160" w:line="360" w:lineRule="auto"/>
              <w:rPr>
                <w:rFonts w:ascii="Times New Roman" w:hAnsi="Times New Roman" w:cs="Times New Roman"/>
                <w:sz w:val="24"/>
                <w:szCs w:val="24"/>
              </w:rPr>
            </w:pPr>
          </w:p>
        </w:tc>
      </w:tr>
      <w:tr w:rsidR="000D26C4" w:rsidRPr="000D26C4" w14:paraId="31DD9AB7" w14:textId="77777777" w:rsidTr="000D26C4">
        <w:tc>
          <w:tcPr>
            <w:tcW w:w="1129" w:type="dxa"/>
          </w:tcPr>
          <w:p w14:paraId="12838518" w14:textId="39D5E9DF"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3A55F668" w14:textId="354F2F4A"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7C1A7267" w14:textId="5DA8F1C0"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1DA3D98C" w14:textId="79917E58" w:rsidR="000D26C4" w:rsidRPr="000D26C4" w:rsidRDefault="000D26C4" w:rsidP="000D26C4">
            <w:pPr>
              <w:spacing w:after="160" w:line="360" w:lineRule="auto"/>
              <w:rPr>
                <w:rFonts w:ascii="Times New Roman" w:hAnsi="Times New Roman" w:cs="Times New Roman"/>
                <w:sz w:val="24"/>
                <w:szCs w:val="24"/>
              </w:rPr>
            </w:pPr>
          </w:p>
        </w:tc>
      </w:tr>
      <w:tr w:rsidR="000D26C4" w:rsidRPr="000D26C4" w14:paraId="4A22EBD6" w14:textId="77777777" w:rsidTr="000D26C4">
        <w:tc>
          <w:tcPr>
            <w:tcW w:w="1129" w:type="dxa"/>
          </w:tcPr>
          <w:p w14:paraId="1D852391" w14:textId="306A896E"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2AFFBB8B" w14:textId="75E6C042"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2FCA9D09" w14:textId="06BF59DA"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0AF73E6F" w14:textId="5E79EE7F" w:rsidR="000D26C4" w:rsidRPr="000D26C4" w:rsidRDefault="000D26C4" w:rsidP="000D26C4">
            <w:pPr>
              <w:spacing w:after="160" w:line="360" w:lineRule="auto"/>
              <w:rPr>
                <w:rFonts w:ascii="Times New Roman" w:hAnsi="Times New Roman" w:cs="Times New Roman"/>
                <w:sz w:val="24"/>
                <w:szCs w:val="24"/>
              </w:rPr>
            </w:pPr>
          </w:p>
        </w:tc>
      </w:tr>
      <w:tr w:rsidR="000D26C4" w:rsidRPr="000D26C4" w14:paraId="31D3A62C" w14:textId="77777777" w:rsidTr="000D26C4">
        <w:tc>
          <w:tcPr>
            <w:tcW w:w="1129" w:type="dxa"/>
          </w:tcPr>
          <w:p w14:paraId="38BE3D78" w14:textId="447F3AEE"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0C55BA00" w14:textId="55915BE5"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10E3AB83" w14:textId="30EB7FC4"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0937841B" w14:textId="022718B5" w:rsidR="000D26C4" w:rsidRPr="000D26C4" w:rsidRDefault="000D26C4" w:rsidP="000D26C4">
            <w:pPr>
              <w:spacing w:after="160" w:line="360" w:lineRule="auto"/>
              <w:rPr>
                <w:rFonts w:ascii="Times New Roman" w:hAnsi="Times New Roman" w:cs="Times New Roman"/>
                <w:sz w:val="24"/>
                <w:szCs w:val="24"/>
              </w:rPr>
            </w:pPr>
          </w:p>
        </w:tc>
      </w:tr>
      <w:tr w:rsidR="000D26C4" w:rsidRPr="000D26C4" w14:paraId="5CB8CEF5" w14:textId="77777777" w:rsidTr="000D26C4">
        <w:tc>
          <w:tcPr>
            <w:tcW w:w="1129" w:type="dxa"/>
          </w:tcPr>
          <w:p w14:paraId="1F9ABFD3" w14:textId="1115FFA9"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0EBDD354" w14:textId="6E2B6030"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2360F08B" w14:textId="2AD5FBD8"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58F8D2B8" w14:textId="60049506" w:rsidR="000D26C4" w:rsidRPr="000D26C4" w:rsidRDefault="000D26C4" w:rsidP="000D26C4">
            <w:pPr>
              <w:spacing w:after="160" w:line="360" w:lineRule="auto"/>
              <w:rPr>
                <w:rFonts w:ascii="Times New Roman" w:hAnsi="Times New Roman" w:cs="Times New Roman"/>
                <w:sz w:val="24"/>
                <w:szCs w:val="24"/>
              </w:rPr>
            </w:pPr>
          </w:p>
        </w:tc>
      </w:tr>
      <w:tr w:rsidR="000D26C4" w:rsidRPr="000D26C4" w14:paraId="53CE05D9" w14:textId="77777777" w:rsidTr="000D26C4">
        <w:tc>
          <w:tcPr>
            <w:tcW w:w="1129" w:type="dxa"/>
          </w:tcPr>
          <w:p w14:paraId="38E87F58" w14:textId="2774193C"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675406B6" w14:textId="7A4AED07"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15E446B5" w14:textId="068A14C1"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71794160" w14:textId="13FDB15E" w:rsidR="000D26C4" w:rsidRPr="000D26C4" w:rsidRDefault="000D26C4" w:rsidP="000D26C4">
            <w:pPr>
              <w:spacing w:after="160" w:line="360" w:lineRule="auto"/>
              <w:rPr>
                <w:rFonts w:ascii="Times New Roman" w:hAnsi="Times New Roman" w:cs="Times New Roman"/>
                <w:sz w:val="24"/>
                <w:szCs w:val="24"/>
              </w:rPr>
            </w:pPr>
          </w:p>
        </w:tc>
      </w:tr>
      <w:tr w:rsidR="000D26C4" w:rsidRPr="000D26C4" w14:paraId="237AD751" w14:textId="77777777" w:rsidTr="000D26C4">
        <w:tc>
          <w:tcPr>
            <w:tcW w:w="1129" w:type="dxa"/>
          </w:tcPr>
          <w:p w14:paraId="21C326FB" w14:textId="3DCA7A02"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56BB3A28" w14:textId="4293DE78"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67B2FB9A" w14:textId="04761F1A" w:rsidR="000D26C4" w:rsidRPr="000D26C4" w:rsidRDefault="000D26C4" w:rsidP="000D26C4">
            <w:pPr>
              <w:spacing w:after="160" w:line="360" w:lineRule="auto"/>
              <w:rPr>
                <w:rFonts w:ascii="Times New Roman" w:hAnsi="Times New Roman" w:cs="Times New Roman"/>
                <w:sz w:val="24"/>
                <w:szCs w:val="24"/>
              </w:rPr>
            </w:pPr>
          </w:p>
        </w:tc>
        <w:tc>
          <w:tcPr>
            <w:tcW w:w="0" w:type="auto"/>
          </w:tcPr>
          <w:p w14:paraId="586B3270" w14:textId="2BF8D7A8" w:rsidR="000D26C4" w:rsidRPr="000D26C4" w:rsidRDefault="000D26C4" w:rsidP="000D26C4">
            <w:pPr>
              <w:spacing w:after="160" w:line="360" w:lineRule="auto"/>
              <w:rPr>
                <w:rFonts w:ascii="Times New Roman" w:hAnsi="Times New Roman" w:cs="Times New Roman"/>
                <w:sz w:val="24"/>
                <w:szCs w:val="24"/>
              </w:rPr>
            </w:pPr>
          </w:p>
        </w:tc>
      </w:tr>
    </w:tbl>
    <w:p w14:paraId="713404E3" w14:textId="77777777" w:rsidR="00B64CF9" w:rsidRPr="000D26C4" w:rsidRDefault="00B64CF9">
      <w:pPr>
        <w:rPr>
          <w:rFonts w:ascii="Times New Roman" w:hAnsi="Times New Roman" w:cs="Times New Roman"/>
          <w:sz w:val="24"/>
          <w:szCs w:val="24"/>
        </w:rPr>
      </w:pPr>
    </w:p>
    <w:sectPr w:rsidR="00B64CF9" w:rsidRPr="000D26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6C4"/>
    <w:rsid w:val="000D26C4"/>
    <w:rsid w:val="006A2761"/>
    <w:rsid w:val="007E473C"/>
    <w:rsid w:val="008733ED"/>
    <w:rsid w:val="008C5908"/>
    <w:rsid w:val="00B12109"/>
    <w:rsid w:val="00B64CF9"/>
    <w:rsid w:val="00C04EBD"/>
    <w:rsid w:val="00CC07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59264"/>
  <w15:chartTrackingRefBased/>
  <w15:docId w15:val="{D07AD7BE-552C-4606-AF0E-132BA36C5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6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12109"/>
    <w:pPr>
      <w:keepNext/>
      <w:keepLines/>
      <w:spacing w:before="40" w:after="0"/>
      <w:ind w:left="72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semiHidden/>
    <w:unhideWhenUsed/>
    <w:qFormat/>
    <w:rsid w:val="000D26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26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26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2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2109"/>
    <w:rPr>
      <w:rFonts w:ascii="Times New Roman" w:eastAsiaTheme="majorEastAsia" w:hAnsi="Times New Roman" w:cstheme="majorBidi"/>
      <w:b/>
      <w:color w:val="000000" w:themeColor="text1"/>
      <w:sz w:val="24"/>
      <w:szCs w:val="26"/>
    </w:rPr>
  </w:style>
  <w:style w:type="character" w:customStyle="1" w:styleId="Heading1Char">
    <w:name w:val="Heading 1 Char"/>
    <w:basedOn w:val="DefaultParagraphFont"/>
    <w:link w:val="Heading1"/>
    <w:uiPriority w:val="9"/>
    <w:rsid w:val="000D26C4"/>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0D26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26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26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2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6C4"/>
    <w:rPr>
      <w:rFonts w:eastAsiaTheme="majorEastAsia" w:cstheme="majorBidi"/>
      <w:color w:val="272727" w:themeColor="text1" w:themeTint="D8"/>
    </w:rPr>
  </w:style>
  <w:style w:type="paragraph" w:styleId="Title">
    <w:name w:val="Title"/>
    <w:basedOn w:val="Normal"/>
    <w:next w:val="Normal"/>
    <w:link w:val="TitleChar"/>
    <w:uiPriority w:val="10"/>
    <w:qFormat/>
    <w:rsid w:val="000D2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6C4"/>
    <w:pPr>
      <w:spacing w:before="160"/>
      <w:jc w:val="center"/>
    </w:pPr>
    <w:rPr>
      <w:i/>
      <w:iCs/>
      <w:color w:val="404040" w:themeColor="text1" w:themeTint="BF"/>
    </w:rPr>
  </w:style>
  <w:style w:type="character" w:customStyle="1" w:styleId="QuoteChar">
    <w:name w:val="Quote Char"/>
    <w:basedOn w:val="DefaultParagraphFont"/>
    <w:link w:val="Quote"/>
    <w:uiPriority w:val="29"/>
    <w:rsid w:val="000D26C4"/>
    <w:rPr>
      <w:i/>
      <w:iCs/>
      <w:color w:val="404040" w:themeColor="text1" w:themeTint="BF"/>
    </w:rPr>
  </w:style>
  <w:style w:type="paragraph" w:styleId="ListParagraph">
    <w:name w:val="List Paragraph"/>
    <w:basedOn w:val="Normal"/>
    <w:uiPriority w:val="34"/>
    <w:qFormat/>
    <w:rsid w:val="000D26C4"/>
    <w:pPr>
      <w:ind w:left="720"/>
      <w:contextualSpacing/>
    </w:pPr>
  </w:style>
  <w:style w:type="character" w:styleId="IntenseEmphasis">
    <w:name w:val="Intense Emphasis"/>
    <w:basedOn w:val="DefaultParagraphFont"/>
    <w:uiPriority w:val="21"/>
    <w:qFormat/>
    <w:rsid w:val="000D26C4"/>
    <w:rPr>
      <w:i/>
      <w:iCs/>
      <w:color w:val="2F5496" w:themeColor="accent1" w:themeShade="BF"/>
    </w:rPr>
  </w:style>
  <w:style w:type="paragraph" w:styleId="IntenseQuote">
    <w:name w:val="Intense Quote"/>
    <w:basedOn w:val="Normal"/>
    <w:next w:val="Normal"/>
    <w:link w:val="IntenseQuoteChar"/>
    <w:uiPriority w:val="30"/>
    <w:qFormat/>
    <w:rsid w:val="000D26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26C4"/>
    <w:rPr>
      <w:i/>
      <w:iCs/>
      <w:color w:val="2F5496" w:themeColor="accent1" w:themeShade="BF"/>
    </w:rPr>
  </w:style>
  <w:style w:type="character" w:styleId="IntenseReference">
    <w:name w:val="Intense Reference"/>
    <w:basedOn w:val="DefaultParagraphFont"/>
    <w:uiPriority w:val="32"/>
    <w:qFormat/>
    <w:rsid w:val="000D26C4"/>
    <w:rPr>
      <w:b/>
      <w:bCs/>
      <w:smallCaps/>
      <w:color w:val="2F5496" w:themeColor="accent1" w:themeShade="BF"/>
      <w:spacing w:val="5"/>
    </w:rPr>
  </w:style>
  <w:style w:type="paragraph" w:styleId="NormalWeb">
    <w:name w:val="Normal (Web)"/>
    <w:basedOn w:val="Normal"/>
    <w:uiPriority w:val="99"/>
    <w:semiHidden/>
    <w:unhideWhenUsed/>
    <w:rsid w:val="000D26C4"/>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0D26C4"/>
    <w:rPr>
      <w:b/>
      <w:bCs/>
    </w:rPr>
  </w:style>
  <w:style w:type="character" w:styleId="Emphasis">
    <w:name w:val="Emphasis"/>
    <w:basedOn w:val="DefaultParagraphFont"/>
    <w:uiPriority w:val="20"/>
    <w:qFormat/>
    <w:rsid w:val="000D26C4"/>
    <w:rPr>
      <w:i/>
      <w:iCs/>
    </w:rPr>
  </w:style>
  <w:style w:type="table" w:styleId="TableGrid">
    <w:name w:val="Table Grid"/>
    <w:basedOn w:val="TableNormal"/>
    <w:uiPriority w:val="39"/>
    <w:rsid w:val="000D26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8A5AB571280647BAB278488C5224C5" ma:contentTypeVersion="5" ma:contentTypeDescription="Create a new document." ma:contentTypeScope="" ma:versionID="1c3543a193f1b1e48179e8c214c0d1ea">
  <xsd:schema xmlns:xsd="http://www.w3.org/2001/XMLSchema" xmlns:xs="http://www.w3.org/2001/XMLSchema" xmlns:p="http://schemas.microsoft.com/office/2006/metadata/properties" xmlns:ns3="95a2bbc2-51fc-4706-b139-19ab80f510cf" targetNamespace="http://schemas.microsoft.com/office/2006/metadata/properties" ma:root="true" ma:fieldsID="871b7715f90d3ae3c1097f76352a1654" ns3:_="">
    <xsd:import namespace="95a2bbc2-51fc-4706-b139-19ab80f510c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a2bbc2-51fc-4706-b139-19ab80f510c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6E4F8C-8040-4E82-8957-C5C02A7773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a2bbc2-51fc-4706-b139-19ab80f510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3F7043-58DA-43FE-BF2C-EC0E8F368A24}">
  <ds:schemaRefs>
    <ds:schemaRef ds:uri="http://schemas.microsoft.com/sharepoint/v3/contenttype/forms"/>
  </ds:schemaRefs>
</ds:datastoreItem>
</file>

<file path=customXml/itemProps3.xml><?xml version="1.0" encoding="utf-8"?>
<ds:datastoreItem xmlns:ds="http://schemas.openxmlformats.org/officeDocument/2006/customXml" ds:itemID="{E424692F-C2C4-446E-890A-E98E147CA49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6031</Words>
  <Characters>34377</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Aldi Hidayat</dc:creator>
  <cp:keywords/>
  <dc:description/>
  <cp:lastModifiedBy>Aldi Hidayat</cp:lastModifiedBy>
  <cp:revision>2</cp:revision>
  <dcterms:created xsi:type="dcterms:W3CDTF">2026-04-05T17:00:00Z</dcterms:created>
  <dcterms:modified xsi:type="dcterms:W3CDTF">2026-04-05T17:00:00Z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0x010100118A5AB571280647BAB278488C5224C5</vt:lpwstr>
  </property>
</Properties>
</file>