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8E1A" w14:textId="646FD947" w:rsidR="000D26C4" w:rsidRPr="00E51346" w:rsidRDefault="000D26C4" w:rsidP="00E51346">
      <w:pPr>
        <w:spacing w:line="360" w:lineRule="auto"/>
        <w:rPr>
          <w:rFonts w:ascii="Times New Roman" w:hAnsi="Times New Roman" w:cs="Times New Roman"/>
          <w:sz w:val="24"/>
          <w:szCs w:val="24"/>
        </w:rPr>
      </w:pPr>
      <w:r w:rsidRPr="000D26C4">
        <w:rPr>
          <w:rFonts w:ascii="Times New Roman" w:hAnsi="Times New Roman" w:cs="Times New Roman"/>
          <w:b/>
          <w:bCs/>
          <w:sz w:val="24"/>
          <w:szCs w:val="24"/>
        </w:rPr>
        <w:t>Nama:</w:t>
      </w:r>
      <w:r w:rsidRPr="000D26C4">
        <w:rPr>
          <w:rFonts w:ascii="Times New Roman" w:hAnsi="Times New Roman" w:cs="Times New Roman"/>
          <w:sz w:val="24"/>
          <w:szCs w:val="24"/>
        </w:rPr>
        <w:t xml:space="preserve"> </w:t>
      </w:r>
      <w:r w:rsidRPr="00E51346">
        <w:rPr>
          <w:rFonts w:ascii="Times New Roman" w:hAnsi="Times New Roman" w:cs="Times New Roman"/>
          <w:sz w:val="24"/>
          <w:szCs w:val="24"/>
        </w:rPr>
        <w:t>Amelia Reza Putri</w:t>
      </w:r>
    </w:p>
    <w:p w14:paraId="19BCC150" w14:textId="32223976" w:rsidR="000D26C4" w:rsidRPr="00E51346" w:rsidRDefault="000D26C4" w:rsidP="00E51346">
      <w:pPr>
        <w:spacing w:line="360" w:lineRule="auto"/>
        <w:rPr>
          <w:rFonts w:ascii="Times New Roman" w:hAnsi="Times New Roman" w:cs="Times New Roman"/>
          <w:sz w:val="24"/>
          <w:szCs w:val="24"/>
        </w:rPr>
      </w:pPr>
      <w:r w:rsidRPr="000D26C4">
        <w:rPr>
          <w:rFonts w:ascii="Times New Roman" w:hAnsi="Times New Roman" w:cs="Times New Roman"/>
          <w:b/>
          <w:bCs/>
          <w:sz w:val="24"/>
          <w:szCs w:val="24"/>
        </w:rPr>
        <w:t>NIM:</w:t>
      </w:r>
      <w:r w:rsidRPr="000D26C4">
        <w:rPr>
          <w:rFonts w:ascii="Times New Roman" w:hAnsi="Times New Roman" w:cs="Times New Roman"/>
          <w:sz w:val="24"/>
          <w:szCs w:val="24"/>
        </w:rPr>
        <w:t xml:space="preserve"> </w:t>
      </w:r>
      <w:r w:rsidRPr="00E51346">
        <w:rPr>
          <w:rFonts w:ascii="Times New Roman" w:hAnsi="Times New Roman" w:cs="Times New Roman"/>
          <w:sz w:val="24"/>
          <w:szCs w:val="24"/>
        </w:rPr>
        <w:t>(2474207004)</w:t>
      </w:r>
      <w:r w:rsidRPr="000D26C4">
        <w:rPr>
          <w:rFonts w:ascii="Times New Roman" w:hAnsi="Times New Roman" w:cs="Times New Roman"/>
          <w:sz w:val="24"/>
          <w:szCs w:val="24"/>
        </w:rPr>
        <w:t xml:space="preserve"> </w:t>
      </w:r>
    </w:p>
    <w:p w14:paraId="3F8AFB8A" w14:textId="365F2E8B" w:rsidR="00E51346" w:rsidRPr="00E51346" w:rsidRDefault="000D26C4" w:rsidP="00E51346">
      <w:pPr>
        <w:spacing w:line="360" w:lineRule="auto"/>
        <w:rPr>
          <w:rFonts w:cs="Times New Roman"/>
          <w:szCs w:val="24"/>
        </w:rPr>
      </w:pPr>
      <w:r w:rsidRPr="000D26C4">
        <w:rPr>
          <w:rFonts w:ascii="Times New Roman" w:hAnsi="Times New Roman" w:cs="Times New Roman"/>
          <w:b/>
          <w:bCs/>
          <w:sz w:val="24"/>
          <w:szCs w:val="24"/>
        </w:rPr>
        <w:t>Mata Kuliah:</w:t>
      </w:r>
      <w:r w:rsidRPr="000D26C4">
        <w:rPr>
          <w:rFonts w:ascii="Times New Roman" w:hAnsi="Times New Roman" w:cs="Times New Roman"/>
          <w:sz w:val="24"/>
          <w:szCs w:val="24"/>
        </w:rPr>
        <w:t xml:space="preserve">  </w:t>
      </w:r>
      <w:r w:rsidR="008C5908" w:rsidRPr="00E51346">
        <w:rPr>
          <w:rFonts w:ascii="Times New Roman" w:hAnsi="Times New Roman" w:cs="Times New Roman"/>
          <w:sz w:val="24"/>
          <w:szCs w:val="24"/>
        </w:rPr>
        <w:t>Hukum</w:t>
      </w:r>
      <w:r w:rsidR="00E51346" w:rsidRPr="00E51346">
        <w:rPr>
          <w:rFonts w:ascii="Arial" w:eastAsia="Times New Roman" w:hAnsi="Arial" w:cs="Arial"/>
          <w:b/>
          <w:color w:val="1F1F1F"/>
          <w:kern w:val="0"/>
          <w:sz w:val="21"/>
          <w:szCs w:val="21"/>
          <w:lang w:eastAsia="en-ID"/>
          <w14:ligatures w14:val="none"/>
        </w:rPr>
        <w:t xml:space="preserve"> </w:t>
      </w:r>
      <w:r w:rsidR="00E51346" w:rsidRPr="00E51346">
        <w:rPr>
          <w:rFonts w:cs="Times New Roman"/>
          <w:szCs w:val="24"/>
        </w:rPr>
        <w:t>Lingkungan</w:t>
      </w:r>
    </w:p>
    <w:p w14:paraId="2608FBE1" w14:textId="77777777" w:rsidR="000D26C4" w:rsidRPr="00E51346" w:rsidRDefault="000D26C4" w:rsidP="00E51346">
      <w:pPr>
        <w:spacing w:line="360" w:lineRule="auto"/>
        <w:rPr>
          <w:rFonts w:ascii="Times New Roman" w:hAnsi="Times New Roman" w:cs="Times New Roman"/>
          <w:sz w:val="24"/>
          <w:szCs w:val="24"/>
        </w:rPr>
      </w:pPr>
    </w:p>
    <w:tbl>
      <w:tblPr>
        <w:tblStyle w:val="TableGrid"/>
        <w:tblW w:w="9166" w:type="dxa"/>
        <w:tblLayout w:type="fixed"/>
        <w:tblLook w:val="04A0" w:firstRow="1" w:lastRow="0" w:firstColumn="1" w:lastColumn="0" w:noHBand="0" w:noVBand="1"/>
      </w:tblPr>
      <w:tblGrid>
        <w:gridCol w:w="1696"/>
        <w:gridCol w:w="2134"/>
        <w:gridCol w:w="2969"/>
        <w:gridCol w:w="2367"/>
      </w:tblGrid>
      <w:tr w:rsidR="00E51346" w:rsidRPr="00E51346" w14:paraId="4B4F2E3D" w14:textId="77777777" w:rsidTr="00E51346">
        <w:tc>
          <w:tcPr>
            <w:tcW w:w="1696" w:type="dxa"/>
            <w:hideMark/>
          </w:tcPr>
          <w:p w14:paraId="72D79BDB" w14:textId="77777777" w:rsidR="00E51346" w:rsidRPr="00E51346" w:rsidRDefault="00E51346" w:rsidP="00E51346">
            <w:pPr>
              <w:spacing w:after="160" w:line="360" w:lineRule="auto"/>
              <w:rPr>
                <w:rFonts w:ascii="Times New Roman" w:hAnsi="Times New Roman" w:cs="Times New Roman"/>
                <w:b/>
                <w:bCs/>
                <w:sz w:val="24"/>
                <w:szCs w:val="24"/>
              </w:rPr>
            </w:pPr>
            <w:r w:rsidRPr="00E51346">
              <w:rPr>
                <w:rFonts w:ascii="Times New Roman" w:hAnsi="Times New Roman" w:cs="Times New Roman"/>
                <w:b/>
                <w:bCs/>
                <w:sz w:val="24"/>
                <w:szCs w:val="24"/>
              </w:rPr>
              <w:t>Pasal yang Dianalisis</w:t>
            </w:r>
          </w:p>
        </w:tc>
        <w:tc>
          <w:tcPr>
            <w:tcW w:w="2134" w:type="dxa"/>
            <w:hideMark/>
          </w:tcPr>
          <w:p w14:paraId="548319B7" w14:textId="77777777" w:rsidR="00E51346" w:rsidRPr="00E51346" w:rsidRDefault="00E51346" w:rsidP="00E51346">
            <w:pPr>
              <w:spacing w:after="160" w:line="360" w:lineRule="auto"/>
              <w:rPr>
                <w:rFonts w:ascii="Times New Roman" w:hAnsi="Times New Roman" w:cs="Times New Roman"/>
                <w:b/>
                <w:bCs/>
                <w:sz w:val="24"/>
                <w:szCs w:val="24"/>
              </w:rPr>
            </w:pPr>
            <w:r w:rsidRPr="00E51346">
              <w:rPr>
                <w:rFonts w:ascii="Times New Roman" w:hAnsi="Times New Roman" w:cs="Times New Roman"/>
                <w:b/>
                <w:bCs/>
                <w:sz w:val="24"/>
                <w:szCs w:val="24"/>
              </w:rPr>
              <w:t>Ketentuan pada UU No. 32 Tahun 2009 (Rezim PPLH Klasik)</w:t>
            </w:r>
          </w:p>
        </w:tc>
        <w:tc>
          <w:tcPr>
            <w:tcW w:w="2969" w:type="dxa"/>
            <w:hideMark/>
          </w:tcPr>
          <w:p w14:paraId="447E76BE" w14:textId="77777777" w:rsidR="00E51346" w:rsidRPr="00E51346" w:rsidRDefault="00E51346" w:rsidP="00E51346">
            <w:pPr>
              <w:spacing w:after="160" w:line="360" w:lineRule="auto"/>
              <w:rPr>
                <w:rFonts w:ascii="Times New Roman" w:hAnsi="Times New Roman" w:cs="Times New Roman"/>
                <w:b/>
                <w:bCs/>
                <w:sz w:val="24"/>
                <w:szCs w:val="24"/>
              </w:rPr>
            </w:pPr>
            <w:r w:rsidRPr="00E51346">
              <w:rPr>
                <w:rFonts w:ascii="Times New Roman" w:hAnsi="Times New Roman" w:cs="Times New Roman"/>
                <w:b/>
                <w:bCs/>
                <w:sz w:val="24"/>
                <w:szCs w:val="24"/>
              </w:rPr>
              <w:t>Ketentuan pada UU No. 6 Tahun 2023 (Rezim Omnibus Law Cipta Kerja)</w:t>
            </w:r>
          </w:p>
        </w:tc>
        <w:tc>
          <w:tcPr>
            <w:tcW w:w="2367" w:type="dxa"/>
            <w:hideMark/>
          </w:tcPr>
          <w:p w14:paraId="429E3B21" w14:textId="77777777" w:rsidR="00E51346" w:rsidRPr="00E51346" w:rsidRDefault="00E51346" w:rsidP="00E51346">
            <w:pPr>
              <w:spacing w:after="160" w:line="360" w:lineRule="auto"/>
              <w:rPr>
                <w:rFonts w:ascii="Times New Roman" w:hAnsi="Times New Roman" w:cs="Times New Roman"/>
                <w:b/>
                <w:bCs/>
                <w:sz w:val="24"/>
                <w:szCs w:val="24"/>
              </w:rPr>
            </w:pPr>
            <w:r w:rsidRPr="00E51346">
              <w:rPr>
                <w:rFonts w:ascii="Times New Roman" w:hAnsi="Times New Roman" w:cs="Times New Roman"/>
                <w:b/>
                <w:bCs/>
                <w:sz w:val="24"/>
                <w:szCs w:val="24"/>
              </w:rPr>
              <w:t>Analisis Kritis (Ekonomi Politik, Tata Kelola, &amp; Manajemen Risiko Ekologis)</w:t>
            </w:r>
          </w:p>
        </w:tc>
      </w:tr>
      <w:tr w:rsidR="00E51346" w:rsidRPr="00E51346" w14:paraId="11E53311" w14:textId="77777777" w:rsidTr="00E51346">
        <w:tc>
          <w:tcPr>
            <w:tcW w:w="1696" w:type="dxa"/>
            <w:hideMark/>
          </w:tcPr>
          <w:p w14:paraId="37ADBE6A"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t>Pasal 1 Angka 35 (Definisi Rezim Perizinan)</w:t>
            </w:r>
          </w:p>
        </w:tc>
        <w:tc>
          <w:tcPr>
            <w:tcW w:w="2134" w:type="dxa"/>
            <w:hideMark/>
          </w:tcPr>
          <w:p w14:paraId="1F6EC3B3"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t>Izin Lingkungan</w:t>
            </w:r>
            <w:r w:rsidRPr="00E51346">
              <w:rPr>
                <w:rFonts w:ascii="Times New Roman" w:hAnsi="Times New Roman" w:cs="Times New Roman"/>
                <w:sz w:val="24"/>
                <w:szCs w:val="24"/>
              </w:rPr>
              <w:t xml:space="preserve"> adalah izin yang diberikan kepada setiap orang yang melakukan usaha dan/atau kegiatan yang wajib amdal atau UKL-UPL dalam rangka perlindungan dan pengelolaan lingkungan hidup sebagai prasyarat memperoleh izin usaha dan/atau kegiatan.</w:t>
            </w:r>
          </w:p>
        </w:tc>
        <w:tc>
          <w:tcPr>
            <w:tcW w:w="2969" w:type="dxa"/>
            <w:hideMark/>
          </w:tcPr>
          <w:p w14:paraId="77565FAC"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t>Persetujuan Lingkungan</w:t>
            </w:r>
            <w:r w:rsidRPr="00E51346">
              <w:rPr>
                <w:rFonts w:ascii="Times New Roman" w:hAnsi="Times New Roman" w:cs="Times New Roman"/>
                <w:sz w:val="24"/>
                <w:szCs w:val="24"/>
              </w:rPr>
              <w:t xml:space="preserve"> adalah Keputusan Kelayakan Lingkungan Hidup atau pernyataan Kesanggupan Pengelolaan Lingkungan Hidup yang telah mendapatkan persetujuan dari Pemerintah Pusat atau Pemerintah Daerah.</w:t>
            </w:r>
          </w:p>
        </w:tc>
        <w:tc>
          <w:tcPr>
            <w:tcW w:w="2367" w:type="dxa"/>
            <w:hideMark/>
          </w:tcPr>
          <w:p w14:paraId="47A14BC9"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t xml:space="preserve">Dekonstruksi </w:t>
            </w:r>
            <w:r w:rsidRPr="00E51346">
              <w:rPr>
                <w:rFonts w:ascii="Times New Roman" w:hAnsi="Times New Roman" w:cs="Times New Roman"/>
                <w:b/>
                <w:bCs/>
                <w:i/>
                <w:iCs/>
                <w:sz w:val="24"/>
                <w:szCs w:val="24"/>
              </w:rPr>
              <w:t>Command and Control</w:t>
            </w:r>
            <w:r w:rsidRPr="00E51346">
              <w:rPr>
                <w:rFonts w:ascii="Times New Roman" w:hAnsi="Times New Roman" w:cs="Times New Roman"/>
                <w:b/>
                <w:bCs/>
                <w:sz w:val="24"/>
                <w:szCs w:val="24"/>
              </w:rPr>
              <w:t xml:space="preserve"> Menjadi Integrasi Administratif:</w:t>
            </w:r>
            <w:r w:rsidRPr="00E51346">
              <w:rPr>
                <w:rFonts w:ascii="Times New Roman" w:hAnsi="Times New Roman" w:cs="Times New Roman"/>
                <w:sz w:val="24"/>
                <w:szCs w:val="24"/>
              </w:rPr>
              <w:t xml:space="preserve"> Perubahan terminologi dari "Izin Lingkungan" menjadi "Persetujuan Lingkungan" bukanlah sekadar permutasi semantik atau kebetulan linguistik belaka, melainkan sebuah rekayasa hukum yang mengubah paradigma fundamental tata kelola lingkungan di Indonesia. Dalam arsitektur UU 32/2009, Izin </w:t>
            </w:r>
            <w:r w:rsidRPr="00E51346">
              <w:rPr>
                <w:rFonts w:ascii="Times New Roman" w:hAnsi="Times New Roman" w:cs="Times New Roman"/>
                <w:sz w:val="24"/>
                <w:szCs w:val="24"/>
              </w:rPr>
              <w:lastRenderedPageBreak/>
              <w:t xml:space="preserve">Lingkungan memiliki kedudukan hukum yang mandiri dan bertindak sebagai instrumen </w:t>
            </w:r>
            <w:r w:rsidRPr="00E51346">
              <w:rPr>
                <w:rFonts w:ascii="Times New Roman" w:hAnsi="Times New Roman" w:cs="Times New Roman"/>
                <w:i/>
                <w:iCs/>
                <w:sz w:val="24"/>
                <w:szCs w:val="24"/>
              </w:rPr>
              <w:t>command and control</w:t>
            </w:r>
            <w:r w:rsidRPr="00E51346">
              <w:rPr>
                <w:rFonts w:ascii="Times New Roman" w:hAnsi="Times New Roman" w:cs="Times New Roman"/>
                <w:sz w:val="24"/>
                <w:szCs w:val="24"/>
              </w:rPr>
              <w:t xml:space="preserve"> (komando dan pengendalian) negara yang sangat absolut. Jika Izin Lingkungannya cacat atau dicabut oleh pengadilan, maka Izin Usaha secara otomatis akan gugur. Namun, rezim UU Cipta Kerja mengeliminasi "senjata pemungkas" ini. "Persetujuan Lingkungan" secara yuridis didowngrade posisinya menjadi sekadar dokumen teknis atau salah satu "persyaratan dasar" yang dilebur (diintegrasikan) ke dalam entitas yang lebih besar bernama "Perizinan Berusaha". Tujuan utama dari peleburan ini murni didorong oleh motif </w:t>
            </w:r>
            <w:r w:rsidRPr="00E51346">
              <w:rPr>
                <w:rFonts w:ascii="Times New Roman" w:hAnsi="Times New Roman" w:cs="Times New Roman"/>
                <w:i/>
                <w:iCs/>
                <w:sz w:val="24"/>
                <w:szCs w:val="24"/>
              </w:rPr>
              <w:t>Investment Security</w:t>
            </w:r>
            <w:r w:rsidRPr="00E51346">
              <w:rPr>
                <w:rFonts w:ascii="Times New Roman" w:hAnsi="Times New Roman" w:cs="Times New Roman"/>
                <w:sz w:val="24"/>
                <w:szCs w:val="24"/>
              </w:rPr>
              <w:t xml:space="preserve"> </w:t>
            </w:r>
            <w:r w:rsidRPr="00E51346">
              <w:rPr>
                <w:rFonts w:ascii="Times New Roman" w:hAnsi="Times New Roman" w:cs="Times New Roman"/>
                <w:sz w:val="24"/>
                <w:szCs w:val="24"/>
              </w:rPr>
              <w:lastRenderedPageBreak/>
              <w:t>(keamanan berinvestasi). Pemerintah ingin memastikan bahwa proyek-proyek raksasa bernilai triliunan rupiah (seperti kawasan industri, smelter, atau infrastruktur) tidak dapat dihentikan atau dibatalkan secara sporadis hanya karena adanya sengketa administratif pada aspek teknis lingkungannya.</w:t>
            </w:r>
          </w:p>
        </w:tc>
      </w:tr>
      <w:tr w:rsidR="00E51346" w:rsidRPr="00E51346" w14:paraId="0E99F299" w14:textId="77777777" w:rsidTr="00E51346">
        <w:tc>
          <w:tcPr>
            <w:tcW w:w="1696" w:type="dxa"/>
            <w:hideMark/>
          </w:tcPr>
          <w:p w14:paraId="20E4CCDF"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Pasal 22 (Kriteria Wajib Amdal)</w:t>
            </w:r>
          </w:p>
        </w:tc>
        <w:tc>
          <w:tcPr>
            <w:tcW w:w="2134" w:type="dxa"/>
            <w:hideMark/>
          </w:tcPr>
          <w:p w14:paraId="04945B9C"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(1) Setiap usaha dan/atau kegiatan yang berdampak penting terhadap lingkungan hidup wajib memiliki amdal.</w:t>
            </w:r>
          </w:p>
          <w:p w14:paraId="4A8B25EB"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(2) Dampak penting ditentukan berdasarkan kriteria: a. besarnya jumlah penduduk yang akan terkena dampak; b. luas wilayah </w:t>
            </w:r>
            <w:r w:rsidRPr="00E51346">
              <w:rPr>
                <w:rFonts w:ascii="Times New Roman" w:hAnsi="Times New Roman" w:cs="Times New Roman"/>
                <w:sz w:val="24"/>
                <w:szCs w:val="24"/>
              </w:rPr>
              <w:lastRenderedPageBreak/>
              <w:t>penyebaran dampak; c. intensitas dan lamanya dampak berlangsung; d. banyaknya komponen lingkungan hidup lain yang akan terkena dampak; e. sifat kumulatif dampak; f. berbalik atau tidak berbaliknya dampak; dan/atau g. kriteria lain sesuai dengan perkembangan ilmu pengetahuan dan teknologi.</w:t>
            </w:r>
          </w:p>
        </w:tc>
        <w:tc>
          <w:tcPr>
            <w:tcW w:w="2969" w:type="dxa"/>
            <w:hideMark/>
          </w:tcPr>
          <w:p w14:paraId="573A95B1"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lastRenderedPageBreak/>
              <w:t>(1) Setiap usaha dan/atau kegiatan yang berdampak penting terhadap lingkungan hidup wajib memiliki Amdal.</w:t>
            </w:r>
          </w:p>
          <w:p w14:paraId="7D8D81A9"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(2) Dampak penting ditentukan berdasarkan kriteria: a. besarnya jumlah penduduk yang akan terkena dampak... (poin a s.d. g dipertahankan).</w:t>
            </w:r>
          </w:p>
          <w:p w14:paraId="38B432D8"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(3) Ketentuan lebih lanjut mengenai usaha dan/atau kegiatan yang wajib memiliki Amdal </w:t>
            </w:r>
            <w:r w:rsidRPr="00E51346">
              <w:rPr>
                <w:rFonts w:ascii="Times New Roman" w:hAnsi="Times New Roman" w:cs="Times New Roman"/>
                <w:sz w:val="24"/>
                <w:szCs w:val="24"/>
              </w:rPr>
              <w:lastRenderedPageBreak/>
              <w:t>sebagaimana dimaksud pada ayat (1) diatur dalam Peraturan Pemerintah.</w:t>
            </w:r>
          </w:p>
        </w:tc>
        <w:tc>
          <w:tcPr>
            <w:tcW w:w="2367" w:type="dxa"/>
            <w:hideMark/>
          </w:tcPr>
          <w:p w14:paraId="740F6B72"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 xml:space="preserve">Transisi Menuju Sistem </w:t>
            </w:r>
            <w:r w:rsidRPr="00E51346">
              <w:rPr>
                <w:rFonts w:ascii="Times New Roman" w:hAnsi="Times New Roman" w:cs="Times New Roman"/>
                <w:b/>
                <w:bCs/>
                <w:i/>
                <w:iCs/>
                <w:sz w:val="24"/>
                <w:szCs w:val="24"/>
              </w:rPr>
              <w:t>Risk-Based Approach</w:t>
            </w:r>
            <w:r w:rsidRPr="00E51346">
              <w:rPr>
                <w:rFonts w:ascii="Times New Roman" w:hAnsi="Times New Roman" w:cs="Times New Roman"/>
                <w:b/>
                <w:bCs/>
                <w:sz w:val="24"/>
                <w:szCs w:val="24"/>
              </w:rPr>
              <w:t xml:space="preserve"> (Pendekatan Berbasis Risiko):</w:t>
            </w:r>
            <w:r w:rsidRPr="00E51346">
              <w:rPr>
                <w:rFonts w:ascii="Times New Roman" w:hAnsi="Times New Roman" w:cs="Times New Roman"/>
                <w:sz w:val="24"/>
                <w:szCs w:val="24"/>
              </w:rPr>
              <w:t xml:space="preserve"> Secara tekstual pada tingkat undang-undang, kriteria dampak penting tampaknya tidak banyak diubah. Namun, delegasi wewenang ke Peraturan Pemerintah (PP No. 22 Tahun 2021) membawa </w:t>
            </w:r>
            <w:r w:rsidRPr="00E51346">
              <w:rPr>
                <w:rFonts w:ascii="Times New Roman" w:hAnsi="Times New Roman" w:cs="Times New Roman"/>
                <w:sz w:val="24"/>
                <w:szCs w:val="24"/>
              </w:rPr>
              <w:lastRenderedPageBreak/>
              <w:t xml:space="preserve">perubahan radikal melalui pengenalan </w:t>
            </w:r>
            <w:r w:rsidRPr="00E51346">
              <w:rPr>
                <w:rFonts w:ascii="Times New Roman" w:hAnsi="Times New Roman" w:cs="Times New Roman"/>
                <w:i/>
                <w:iCs/>
                <w:sz w:val="24"/>
                <w:szCs w:val="24"/>
              </w:rPr>
              <w:t>Risk-Based Approach</w:t>
            </w:r>
            <w:r w:rsidRPr="00E51346">
              <w:rPr>
                <w:rFonts w:ascii="Times New Roman" w:hAnsi="Times New Roman" w:cs="Times New Roman"/>
                <w:sz w:val="24"/>
                <w:szCs w:val="24"/>
              </w:rPr>
              <w:t xml:space="preserve"> (Pendekatan Berbasis Risiko) yang diadopsi dari model perizinan di negara-negara </w:t>
            </w:r>
            <w:r w:rsidRPr="00E51346">
              <w:rPr>
                <w:rFonts w:ascii="Times New Roman" w:hAnsi="Times New Roman" w:cs="Times New Roman"/>
                <w:i/>
                <w:iCs/>
                <w:sz w:val="24"/>
                <w:szCs w:val="24"/>
              </w:rPr>
              <w:t>Anglo-Saxon</w:t>
            </w:r>
            <w:r w:rsidRPr="00E51346">
              <w:rPr>
                <w:rFonts w:ascii="Times New Roman" w:hAnsi="Times New Roman" w:cs="Times New Roman"/>
                <w:sz w:val="24"/>
                <w:szCs w:val="24"/>
              </w:rPr>
              <w:t xml:space="preserve">. UU 2009 cenderung memukul rata kewajiban pengawasan lingkungan untuk spektrum usaha yang sangat luas, yang membebani pelaku Usaha Mikro, Kecil, dan Menengah (UMKM). Dalam rezim Cipta Kerja, hanya entitas bisnis yang masuk dalam kategori "Risiko Tinggi" (seperti pertambangan masif, industri kimia dasar, atau pembabatan hutan skala besar) yang diwajibkan menyusun Amdal. Sementara itu, untuk usaha dengan klasifikasi Risiko </w:t>
            </w:r>
            <w:r w:rsidRPr="00E51346">
              <w:rPr>
                <w:rFonts w:ascii="Times New Roman" w:hAnsi="Times New Roman" w:cs="Times New Roman"/>
                <w:sz w:val="24"/>
                <w:szCs w:val="24"/>
              </w:rPr>
              <w:lastRenderedPageBreak/>
              <w:t xml:space="preserve">Menengah Tinggi, Menengah Rendah, hingga Rendah, rezim ini menderegulasi kewajiban tersebut menjadi cukup UKL-UPL reguler atau bahkan sekadar Nomor Induk Berusaha (NIB) ditambah SPPL. Restrukturisasi stratifikasi risiko ini bertujuan memangkas rantai birokrasi, menurunkan </w:t>
            </w:r>
            <w:r w:rsidRPr="00E51346">
              <w:rPr>
                <w:rFonts w:ascii="Times New Roman" w:hAnsi="Times New Roman" w:cs="Times New Roman"/>
                <w:i/>
                <w:iCs/>
                <w:sz w:val="24"/>
                <w:szCs w:val="24"/>
              </w:rPr>
              <w:t>cost of compliance</w:t>
            </w:r>
            <w:r w:rsidRPr="00E51346">
              <w:rPr>
                <w:rFonts w:ascii="Times New Roman" w:hAnsi="Times New Roman" w:cs="Times New Roman"/>
                <w:sz w:val="24"/>
                <w:szCs w:val="24"/>
              </w:rPr>
              <w:t xml:space="preserve"> (biaya kepatuhan hukum) bagi pengusaha, sekaligus mengakselerasi pembukaan lapangan kerja baru tanpa dihambat oleh proses penyusunan dokumen ekologis yang memakan waktu berbulan-bulan dan biaya miliaran rupiah.</w:t>
            </w:r>
          </w:p>
        </w:tc>
      </w:tr>
      <w:tr w:rsidR="00E51346" w:rsidRPr="00E51346" w14:paraId="44B313A5" w14:textId="77777777" w:rsidTr="00E51346">
        <w:tc>
          <w:tcPr>
            <w:tcW w:w="1696" w:type="dxa"/>
            <w:hideMark/>
          </w:tcPr>
          <w:p w14:paraId="42FC8690"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 xml:space="preserve">Pasal 24 (Otoritas </w:t>
            </w:r>
            <w:r w:rsidRPr="00E51346">
              <w:rPr>
                <w:rFonts w:ascii="Times New Roman" w:hAnsi="Times New Roman" w:cs="Times New Roman"/>
                <w:b/>
                <w:bCs/>
                <w:sz w:val="24"/>
                <w:szCs w:val="24"/>
              </w:rPr>
              <w:lastRenderedPageBreak/>
              <w:t>Penilai Amdal)</w:t>
            </w:r>
          </w:p>
        </w:tc>
        <w:tc>
          <w:tcPr>
            <w:tcW w:w="2134" w:type="dxa"/>
            <w:hideMark/>
          </w:tcPr>
          <w:p w14:paraId="6CC317E1"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lastRenderedPageBreak/>
              <w:t xml:space="preserve">(1) Dokumen amdal sebagaimana dimaksud dalam Pasal 22 dinilai </w:t>
            </w:r>
            <w:r w:rsidRPr="00E51346">
              <w:rPr>
                <w:rFonts w:ascii="Times New Roman" w:hAnsi="Times New Roman" w:cs="Times New Roman"/>
                <w:sz w:val="24"/>
                <w:szCs w:val="24"/>
              </w:rPr>
              <w:lastRenderedPageBreak/>
              <w:t xml:space="preserve">oleh </w:t>
            </w:r>
            <w:r w:rsidRPr="00E51346">
              <w:rPr>
                <w:rFonts w:ascii="Times New Roman" w:hAnsi="Times New Roman" w:cs="Times New Roman"/>
                <w:b/>
                <w:bCs/>
                <w:sz w:val="24"/>
                <w:szCs w:val="24"/>
              </w:rPr>
              <w:t>Komisi Penilai Amdal</w:t>
            </w:r>
            <w:r w:rsidRPr="00E51346">
              <w:rPr>
                <w:rFonts w:ascii="Times New Roman" w:hAnsi="Times New Roman" w:cs="Times New Roman"/>
                <w:sz w:val="24"/>
                <w:szCs w:val="24"/>
              </w:rPr>
              <w:t xml:space="preserve"> yang dibentuk oleh Menteri, gubernur, atau bupati/walikota sesuai dengan kewenangannya.</w:t>
            </w:r>
          </w:p>
          <w:p w14:paraId="1377FD37"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(2) Komisi Penilai Amdal wajib memiliki lisensi dari Menteri, gubernur, atau bupati/walikota...</w:t>
            </w:r>
          </w:p>
        </w:tc>
        <w:tc>
          <w:tcPr>
            <w:tcW w:w="2969" w:type="dxa"/>
            <w:hideMark/>
          </w:tcPr>
          <w:p w14:paraId="7D39DECC"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lastRenderedPageBreak/>
              <w:t xml:space="preserve">(1) Dokumen Amdal... dinilai oleh </w:t>
            </w:r>
            <w:r w:rsidRPr="00E51346">
              <w:rPr>
                <w:rFonts w:ascii="Times New Roman" w:hAnsi="Times New Roman" w:cs="Times New Roman"/>
                <w:b/>
                <w:bCs/>
                <w:sz w:val="24"/>
                <w:szCs w:val="24"/>
              </w:rPr>
              <w:t>Tim Uji Kelayakan Lingkungan Hidup</w:t>
            </w:r>
            <w:r w:rsidRPr="00E51346">
              <w:rPr>
                <w:rFonts w:ascii="Times New Roman" w:hAnsi="Times New Roman" w:cs="Times New Roman"/>
                <w:sz w:val="24"/>
                <w:szCs w:val="24"/>
              </w:rPr>
              <w:t xml:space="preserve"> yang dibentuk oleh </w:t>
            </w:r>
            <w:r w:rsidRPr="00E51346">
              <w:rPr>
                <w:rFonts w:ascii="Times New Roman" w:hAnsi="Times New Roman" w:cs="Times New Roman"/>
                <w:sz w:val="24"/>
                <w:szCs w:val="24"/>
              </w:rPr>
              <w:lastRenderedPageBreak/>
              <w:t>lembaga uji kelayakan lingkungan hidup Pemerintah Pusat.</w:t>
            </w:r>
          </w:p>
          <w:p w14:paraId="302544AD"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(2) Tim uji kelayakan lingkungan hidup sebagaimana dimaksud pada ayat (1) terdiri atas unsur Pemerintah Pusat, Pemerintah Daerah, dan ahli bersertifikat.</w:t>
            </w:r>
          </w:p>
        </w:tc>
        <w:tc>
          <w:tcPr>
            <w:tcW w:w="2367" w:type="dxa"/>
            <w:hideMark/>
          </w:tcPr>
          <w:p w14:paraId="20C87166"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 xml:space="preserve">Resentralisasi Kewenangan Administratif dan Pemangkasan </w:t>
            </w:r>
            <w:r w:rsidRPr="00E51346">
              <w:rPr>
                <w:rFonts w:ascii="Times New Roman" w:hAnsi="Times New Roman" w:cs="Times New Roman"/>
                <w:b/>
                <w:bCs/>
                <w:sz w:val="24"/>
                <w:szCs w:val="24"/>
              </w:rPr>
              <w:lastRenderedPageBreak/>
              <w:t>Birokrasi Otonomi Daerah:</w:t>
            </w:r>
            <w:r w:rsidRPr="00E51346">
              <w:rPr>
                <w:rFonts w:ascii="Times New Roman" w:hAnsi="Times New Roman" w:cs="Times New Roman"/>
                <w:sz w:val="24"/>
                <w:szCs w:val="24"/>
              </w:rPr>
              <w:t xml:space="preserve"> Ketentuan dalam UU 32/2009 merepresentasikan puncak semangat Otonomi Daerah, di mana kekuasaan yang sangat besar diberikan kepada level Gubernur dan Bupati/Walikota untuk membentuk Komisi Penilai Amdal (KPA) di wilayah administrasinya masing-masing. Namun, dalam kacamata makroekonomi dan persepsi pemerintah pusat, institusi KPA Daerah seringkali berubah wujud menjadi sumber inefisiensi, praktik rente (pungutan liar), hambatan birokrasi, dan </w:t>
            </w:r>
            <w:r w:rsidRPr="00E51346">
              <w:rPr>
                <w:rFonts w:ascii="Times New Roman" w:hAnsi="Times New Roman" w:cs="Times New Roman"/>
                <w:i/>
                <w:iCs/>
                <w:sz w:val="24"/>
                <w:szCs w:val="24"/>
              </w:rPr>
              <w:t>bottleneck</w:t>
            </w:r>
            <w:r w:rsidRPr="00E51346">
              <w:rPr>
                <w:rFonts w:ascii="Times New Roman" w:hAnsi="Times New Roman" w:cs="Times New Roman"/>
                <w:sz w:val="24"/>
                <w:szCs w:val="24"/>
              </w:rPr>
              <w:t xml:space="preserve"> investasi akibat fenomena "raja-raja kecil" di daerah. Melalui UU Cipta Kerja, terjadi re-</w:t>
            </w:r>
            <w:r w:rsidRPr="00E51346">
              <w:rPr>
                <w:rFonts w:ascii="Times New Roman" w:hAnsi="Times New Roman" w:cs="Times New Roman"/>
                <w:sz w:val="24"/>
                <w:szCs w:val="24"/>
              </w:rPr>
              <w:lastRenderedPageBreak/>
              <w:t>sentralisasi (penarikan kembali wewenang ke ibu kota). Entitas KPA dihapus secara permanen dan digantikan oleh "Tim Uji Kelayakan" yang dikendalikan penuh oleh Pemerintah Pusat. Konsekuensi logis dari kebijakan ini adalah tereduksinya wewenang Pemerintah Daerah dalam mengatur tata ruang ekologisnya sendiri. Pemerintah membenarkan langkah ini demi standarisasi nasional, percepatan perizinan bagi Proyek Strategis Nasional (PSN), dan mencegah perbedaan standar kelayakan lingkungan yang selama ini tumpang tindih antara satu kabupaten dengan kabupaten lainnya.</w:t>
            </w:r>
          </w:p>
        </w:tc>
      </w:tr>
      <w:tr w:rsidR="00E51346" w:rsidRPr="00E51346" w14:paraId="4A3FE077" w14:textId="77777777" w:rsidTr="00E51346">
        <w:tc>
          <w:tcPr>
            <w:tcW w:w="1696" w:type="dxa"/>
            <w:hideMark/>
          </w:tcPr>
          <w:p w14:paraId="2505869F"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Pasal 26 (Partisipasi dan Pelibatan Masyarakat)</w:t>
            </w:r>
          </w:p>
        </w:tc>
        <w:tc>
          <w:tcPr>
            <w:tcW w:w="2134" w:type="dxa"/>
            <w:hideMark/>
          </w:tcPr>
          <w:p w14:paraId="600A47E5"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(1) Dokumen amdal disusun oleh pemrakarsa dengan melibatkan masyarakat.</w:t>
            </w:r>
          </w:p>
          <w:p w14:paraId="0574F6A2"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(2) Pelibatan masyarakat harus dilakukan berdasarkan prinsip pemberian informasi yang transparan dan lengkap serta diberitahukan sebelum kegiatan dilaksanakan.</w:t>
            </w:r>
          </w:p>
          <w:p w14:paraId="7326618A"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(3) Masyarakat sebagaimana dimaksud meliputi: a. </w:t>
            </w:r>
            <w:r w:rsidRPr="00E51346">
              <w:rPr>
                <w:rFonts w:ascii="Times New Roman" w:hAnsi="Times New Roman" w:cs="Times New Roman"/>
                <w:b/>
                <w:bCs/>
                <w:sz w:val="24"/>
                <w:szCs w:val="24"/>
              </w:rPr>
              <w:t>yang terkena dampak</w:t>
            </w:r>
            <w:r w:rsidRPr="00E51346">
              <w:rPr>
                <w:rFonts w:ascii="Times New Roman" w:hAnsi="Times New Roman" w:cs="Times New Roman"/>
                <w:sz w:val="24"/>
                <w:szCs w:val="24"/>
              </w:rPr>
              <w:t xml:space="preserve">; b. </w:t>
            </w:r>
            <w:r w:rsidRPr="00E51346">
              <w:rPr>
                <w:rFonts w:ascii="Times New Roman" w:hAnsi="Times New Roman" w:cs="Times New Roman"/>
                <w:b/>
                <w:bCs/>
                <w:sz w:val="24"/>
                <w:szCs w:val="24"/>
              </w:rPr>
              <w:t>pemerhati lingkungan hidup</w:t>
            </w:r>
            <w:r w:rsidRPr="00E51346">
              <w:rPr>
                <w:rFonts w:ascii="Times New Roman" w:hAnsi="Times New Roman" w:cs="Times New Roman"/>
                <w:sz w:val="24"/>
                <w:szCs w:val="24"/>
              </w:rPr>
              <w:t xml:space="preserve">; dan/atau c. </w:t>
            </w:r>
            <w:r w:rsidRPr="00E51346">
              <w:rPr>
                <w:rFonts w:ascii="Times New Roman" w:hAnsi="Times New Roman" w:cs="Times New Roman"/>
                <w:b/>
                <w:bCs/>
                <w:sz w:val="24"/>
                <w:szCs w:val="24"/>
              </w:rPr>
              <w:t>yang terpengaruh atas segala bentuk keputusan</w:t>
            </w:r>
            <w:r w:rsidRPr="00E51346">
              <w:rPr>
                <w:rFonts w:ascii="Times New Roman" w:hAnsi="Times New Roman" w:cs="Times New Roman"/>
                <w:sz w:val="24"/>
                <w:szCs w:val="24"/>
              </w:rPr>
              <w:t xml:space="preserve"> dalam proses amdal.</w:t>
            </w:r>
          </w:p>
        </w:tc>
        <w:tc>
          <w:tcPr>
            <w:tcW w:w="2969" w:type="dxa"/>
            <w:hideMark/>
          </w:tcPr>
          <w:p w14:paraId="2278F048"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(1) Dokumen amdal disusun oleh pemrakarsa dengan melibatkan masyarakat.</w:t>
            </w:r>
          </w:p>
          <w:p w14:paraId="14A6CB75"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(2) Pelibatan masyarakat harus dilakukan berdasarkan prinsip pemberian informasi yang transparan dan lengkap serta diberitahukan sebelum kegiatan dilaksanakan.</w:t>
            </w:r>
          </w:p>
          <w:p w14:paraId="5DD7FE0D"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(3) Pelibatan masyarakat sebagaimana dimaksud pada ayat (1) dan ayat (2) dibatasi </w:t>
            </w:r>
            <w:r w:rsidRPr="00E51346">
              <w:rPr>
                <w:rFonts w:ascii="Times New Roman" w:hAnsi="Times New Roman" w:cs="Times New Roman"/>
                <w:b/>
                <w:bCs/>
                <w:sz w:val="24"/>
                <w:szCs w:val="24"/>
              </w:rPr>
              <w:t>hanya pada masyarakat yang terkena dampak langsung</w:t>
            </w:r>
            <w:r w:rsidRPr="00E51346">
              <w:rPr>
                <w:rFonts w:ascii="Times New Roman" w:hAnsi="Times New Roman" w:cs="Times New Roman"/>
                <w:sz w:val="24"/>
                <w:szCs w:val="24"/>
              </w:rPr>
              <w:t>.</w:t>
            </w:r>
          </w:p>
        </w:tc>
        <w:tc>
          <w:tcPr>
            <w:tcW w:w="2367" w:type="dxa"/>
            <w:hideMark/>
          </w:tcPr>
          <w:p w14:paraId="423A1B8E"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t>Amputasi Hak Veto Ekologis dan Restriksi Akses Publik (</w:t>
            </w:r>
            <w:r w:rsidRPr="00E51346">
              <w:rPr>
                <w:rFonts w:ascii="Times New Roman" w:hAnsi="Times New Roman" w:cs="Times New Roman"/>
                <w:b/>
                <w:bCs/>
                <w:i/>
                <w:iCs/>
                <w:sz w:val="24"/>
                <w:szCs w:val="24"/>
              </w:rPr>
              <w:t>Shrinking Civic Space</w:t>
            </w:r>
            <w:r w:rsidRPr="00E51346">
              <w:rPr>
                <w:rFonts w:ascii="Times New Roman" w:hAnsi="Times New Roman" w:cs="Times New Roman"/>
                <w:b/>
                <w:bCs/>
                <w:sz w:val="24"/>
                <w:szCs w:val="24"/>
              </w:rPr>
              <w:t>):</w:t>
            </w:r>
            <w:r w:rsidRPr="00E51346">
              <w:rPr>
                <w:rFonts w:ascii="Times New Roman" w:hAnsi="Times New Roman" w:cs="Times New Roman"/>
                <w:sz w:val="24"/>
                <w:szCs w:val="24"/>
              </w:rPr>
              <w:t xml:space="preserve"> Ini adalah salah satu modifikasi pasal yang memicu gelombang protes terbesar di Indonesia. UU 2009 dirancang dengan filosofi demokrasi deliberatif, memberikan ruang partisipasi yang sangat luas dan inklusif. Frasa "pemerhati lingkungan hidup" dan "masyarakat terpengaruh" memberikan </w:t>
            </w:r>
            <w:r w:rsidRPr="00E51346">
              <w:rPr>
                <w:rFonts w:ascii="Times New Roman" w:hAnsi="Times New Roman" w:cs="Times New Roman"/>
                <w:i/>
                <w:iCs/>
                <w:sz w:val="24"/>
                <w:szCs w:val="24"/>
              </w:rPr>
              <w:t>legal standing</w:t>
            </w:r>
            <w:r w:rsidRPr="00E51346">
              <w:rPr>
                <w:rFonts w:ascii="Times New Roman" w:hAnsi="Times New Roman" w:cs="Times New Roman"/>
                <w:sz w:val="24"/>
                <w:szCs w:val="24"/>
              </w:rPr>
              <w:t xml:space="preserve"> (kedudukan hukum) yang tak terbantahkan bagi entitas seperti Lembaga Swadaya Masyarakat (LSM), organisasi sipil (seperti WALHI, AMAN, atau Greenpeace), pakar independen, maupun </w:t>
            </w:r>
            <w:r w:rsidRPr="00E51346">
              <w:rPr>
                <w:rFonts w:ascii="Times New Roman" w:hAnsi="Times New Roman" w:cs="Times New Roman"/>
                <w:sz w:val="24"/>
                <w:szCs w:val="24"/>
              </w:rPr>
              <w:lastRenderedPageBreak/>
              <w:t xml:space="preserve">masyarakat adat lintas provinsi untuk turut serta menolak atau mengkritisi proyek ekstraktif sejak fase awal penyusunan Amdal. Dengan berlakunya UU Cipta Kerja, terjadi penutupan ruang sipil secara dramatis. Ruang dengar pendapat dibatasi secara restriktif dan rigid </w:t>
            </w:r>
            <w:r w:rsidRPr="00E51346">
              <w:rPr>
                <w:rFonts w:ascii="Times New Roman" w:hAnsi="Times New Roman" w:cs="Times New Roman"/>
                <w:i/>
                <w:iCs/>
                <w:sz w:val="24"/>
                <w:szCs w:val="24"/>
              </w:rPr>
              <w:t>hanya</w:t>
            </w:r>
            <w:r w:rsidRPr="00E51346">
              <w:rPr>
                <w:rFonts w:ascii="Times New Roman" w:hAnsi="Times New Roman" w:cs="Times New Roman"/>
                <w:sz w:val="24"/>
                <w:szCs w:val="24"/>
              </w:rPr>
              <w:t xml:space="preserve"> untuk warga lokal yang berbatasan langsung dengan pabrik atau area konsesi (masyarakat terdampak langsung). Secara ideologis, ini merupakan strategi pemerintah dan korporasi untuk membungkam potensi penolakan sistematis, unjuk rasa skala besar, dan litigasi publik dari kelompok aktivis terorganisir yang kerap dianggap pemerintah </w:t>
            </w:r>
            <w:r w:rsidRPr="00E51346">
              <w:rPr>
                <w:rFonts w:ascii="Times New Roman" w:hAnsi="Times New Roman" w:cs="Times New Roman"/>
                <w:sz w:val="24"/>
                <w:szCs w:val="24"/>
              </w:rPr>
              <w:lastRenderedPageBreak/>
              <w:t>memperlambat masuknya Penanaman Modal Asing (FDI).</w:t>
            </w:r>
          </w:p>
        </w:tc>
      </w:tr>
      <w:tr w:rsidR="00E51346" w:rsidRPr="00E51346" w14:paraId="63D88898" w14:textId="77777777" w:rsidTr="00E51346">
        <w:tc>
          <w:tcPr>
            <w:tcW w:w="1696" w:type="dxa"/>
            <w:hideMark/>
          </w:tcPr>
          <w:p w14:paraId="0F9312D2"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Pasal 36 (Eksistensi Mandiri Izin Lingkungan)</w:t>
            </w:r>
          </w:p>
        </w:tc>
        <w:tc>
          <w:tcPr>
            <w:tcW w:w="2134" w:type="dxa"/>
            <w:hideMark/>
          </w:tcPr>
          <w:p w14:paraId="1845B0BF"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(1) Setiap usaha dan/atau kegiatan yang wajib memiliki amdal atau UKL-UPL </w:t>
            </w:r>
            <w:r w:rsidRPr="00E51346">
              <w:rPr>
                <w:rFonts w:ascii="Times New Roman" w:hAnsi="Times New Roman" w:cs="Times New Roman"/>
                <w:b/>
                <w:bCs/>
                <w:sz w:val="24"/>
                <w:szCs w:val="24"/>
              </w:rPr>
              <w:t>wajib memiliki izin lingkungan</w:t>
            </w:r>
            <w:r w:rsidRPr="00E51346">
              <w:rPr>
                <w:rFonts w:ascii="Times New Roman" w:hAnsi="Times New Roman" w:cs="Times New Roman"/>
                <w:sz w:val="24"/>
                <w:szCs w:val="24"/>
              </w:rPr>
              <w:t>.</w:t>
            </w:r>
          </w:p>
          <w:p w14:paraId="449A5A8A"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(2) Izin lingkungan sebagaimana dimaksud pada ayat (1) diterbitkan berdasarkan keputusan kelayakan lingkungan hidup.</w:t>
            </w:r>
          </w:p>
          <w:p w14:paraId="70904116"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(3) Izin lingkungan sebagaimana dimaksud pada ayat (1) wajib mencantumkan persyaratan yang dimuat dalam keputusan kelayakan lingkungan hidup...</w:t>
            </w:r>
          </w:p>
        </w:tc>
        <w:tc>
          <w:tcPr>
            <w:tcW w:w="2969" w:type="dxa"/>
            <w:hideMark/>
          </w:tcPr>
          <w:p w14:paraId="691DEAD7"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DIHAPUS (Substansinya dilebur dan diubah konsepnya menjadi bagian internal dari Perizinan Berusaha Terintegrasi).</w:t>
            </w:r>
          </w:p>
        </w:tc>
        <w:tc>
          <w:tcPr>
            <w:tcW w:w="2367" w:type="dxa"/>
            <w:hideMark/>
          </w:tcPr>
          <w:p w14:paraId="3BC73211"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t>Subordinasi Hukum Lingkungan di Bawah Hukum Investasi:</w:t>
            </w:r>
            <w:r w:rsidRPr="00E51346">
              <w:rPr>
                <w:rFonts w:ascii="Times New Roman" w:hAnsi="Times New Roman" w:cs="Times New Roman"/>
                <w:sz w:val="24"/>
                <w:szCs w:val="24"/>
              </w:rPr>
              <w:t xml:space="preserve"> Penghapusan eksistensi Pasal 36 merupakan konsekuensi yuridis dari perubahan paradigma di Pasal 1. Dihapusnya pasal ini menandai berakhirnya era di mana dokumen lingkungan hidup diposisikan sebagai "panglima" atau syarat absolut yang berdiri secara independen. Dalam skema </w:t>
            </w:r>
            <w:r w:rsidRPr="00E51346">
              <w:rPr>
                <w:rFonts w:ascii="Times New Roman" w:hAnsi="Times New Roman" w:cs="Times New Roman"/>
                <w:i/>
                <w:iCs/>
                <w:sz w:val="24"/>
                <w:szCs w:val="24"/>
              </w:rPr>
              <w:t>Online Single Submission</w:t>
            </w:r>
            <w:r w:rsidRPr="00E51346">
              <w:rPr>
                <w:rFonts w:ascii="Times New Roman" w:hAnsi="Times New Roman" w:cs="Times New Roman"/>
                <w:sz w:val="24"/>
                <w:szCs w:val="24"/>
              </w:rPr>
              <w:t xml:space="preserve"> (OSS) pasca Cipta Kerja, pemisahan antara perizinan ekonomi dan perizinan ekologi dihilangkan. Persyaratan perlindungan lingkungan diturunkan derajatnya </w:t>
            </w:r>
            <w:r w:rsidRPr="00E51346">
              <w:rPr>
                <w:rFonts w:ascii="Times New Roman" w:hAnsi="Times New Roman" w:cs="Times New Roman"/>
                <w:sz w:val="24"/>
                <w:szCs w:val="24"/>
              </w:rPr>
              <w:lastRenderedPageBreak/>
              <w:t xml:space="preserve">menjadi </w:t>
            </w:r>
            <w:r w:rsidRPr="00E51346">
              <w:rPr>
                <w:rFonts w:ascii="Times New Roman" w:hAnsi="Times New Roman" w:cs="Times New Roman"/>
                <w:i/>
                <w:iCs/>
                <w:sz w:val="24"/>
                <w:szCs w:val="24"/>
              </w:rPr>
              <w:t>sub-koordinat</w:t>
            </w:r>
            <w:r w:rsidRPr="00E51346">
              <w:rPr>
                <w:rFonts w:ascii="Times New Roman" w:hAnsi="Times New Roman" w:cs="Times New Roman"/>
                <w:sz w:val="24"/>
                <w:szCs w:val="24"/>
              </w:rPr>
              <w:t xml:space="preserve"> atau sekadar </w:t>
            </w:r>
            <w:r w:rsidRPr="00E51346">
              <w:rPr>
                <w:rFonts w:ascii="Times New Roman" w:hAnsi="Times New Roman" w:cs="Times New Roman"/>
                <w:i/>
                <w:iCs/>
                <w:sz w:val="24"/>
                <w:szCs w:val="24"/>
              </w:rPr>
              <w:t>checklist</w:t>
            </w:r>
            <w:r w:rsidRPr="00E51346">
              <w:rPr>
                <w:rFonts w:ascii="Times New Roman" w:hAnsi="Times New Roman" w:cs="Times New Roman"/>
                <w:sz w:val="24"/>
                <w:szCs w:val="24"/>
              </w:rPr>
              <w:t xml:space="preserve"> administratif yang menyatu di dalam nomor perizinan berusaha. Secara konseptual, perubahan ini memfasilitasi kecepatan arus modal masuk, namun di sisi lain menimbulkan kerentanan baru di mana kualitas perlindungan lingkungan bisa terabaikan demi mengejar efisiensi waktu peluncuran sebuah bisnis ke pasar modal.</w:t>
            </w:r>
          </w:p>
        </w:tc>
      </w:tr>
      <w:tr w:rsidR="00E51346" w:rsidRPr="00E51346" w14:paraId="0161AA8E" w14:textId="77777777" w:rsidTr="00E51346">
        <w:tc>
          <w:tcPr>
            <w:tcW w:w="1696" w:type="dxa"/>
            <w:hideMark/>
          </w:tcPr>
          <w:p w14:paraId="04FD27EF"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Pasal 40 (Efek Domino Pembatalan Izin)</w:t>
            </w:r>
          </w:p>
        </w:tc>
        <w:tc>
          <w:tcPr>
            <w:tcW w:w="2134" w:type="dxa"/>
            <w:hideMark/>
          </w:tcPr>
          <w:p w14:paraId="7EF1A0D6"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(1) Izin lingkungan merupakan persyaratan untuk memperoleh izin usaha dan/atau kegiatan.</w:t>
            </w:r>
          </w:p>
          <w:p w14:paraId="16B4279B"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(2) Dalam hal izin lingkungan </w:t>
            </w:r>
            <w:r w:rsidRPr="00E51346">
              <w:rPr>
                <w:rFonts w:ascii="Times New Roman" w:hAnsi="Times New Roman" w:cs="Times New Roman"/>
                <w:b/>
                <w:bCs/>
                <w:sz w:val="24"/>
                <w:szCs w:val="24"/>
              </w:rPr>
              <w:t>dicabut</w:t>
            </w:r>
            <w:r w:rsidRPr="00E51346">
              <w:rPr>
                <w:rFonts w:ascii="Times New Roman" w:hAnsi="Times New Roman" w:cs="Times New Roman"/>
                <w:sz w:val="24"/>
                <w:szCs w:val="24"/>
              </w:rPr>
              <w:t xml:space="preserve">, izin usaha </w:t>
            </w:r>
            <w:r w:rsidRPr="00E51346">
              <w:rPr>
                <w:rFonts w:ascii="Times New Roman" w:hAnsi="Times New Roman" w:cs="Times New Roman"/>
                <w:sz w:val="24"/>
                <w:szCs w:val="24"/>
              </w:rPr>
              <w:lastRenderedPageBreak/>
              <w:t xml:space="preserve">dan/atau kegiatan </w:t>
            </w:r>
            <w:r w:rsidRPr="00E51346">
              <w:rPr>
                <w:rFonts w:ascii="Times New Roman" w:hAnsi="Times New Roman" w:cs="Times New Roman"/>
                <w:b/>
                <w:bCs/>
                <w:sz w:val="24"/>
                <w:szCs w:val="24"/>
              </w:rPr>
              <w:t>dibatalkan</w:t>
            </w:r>
            <w:r w:rsidRPr="00E51346">
              <w:rPr>
                <w:rFonts w:ascii="Times New Roman" w:hAnsi="Times New Roman" w:cs="Times New Roman"/>
                <w:sz w:val="24"/>
                <w:szCs w:val="24"/>
              </w:rPr>
              <w:t>.</w:t>
            </w:r>
          </w:p>
          <w:p w14:paraId="18603483"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(3) Dalam hal usaha dan/atau kegiatan mengalami perubahan, penanggung jawab usaha dan/atau kegiatan wajib memperbarui izin lingkungan.</w:t>
            </w:r>
          </w:p>
        </w:tc>
        <w:tc>
          <w:tcPr>
            <w:tcW w:w="2969" w:type="dxa"/>
            <w:hideMark/>
          </w:tcPr>
          <w:p w14:paraId="3DCB38D7"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lastRenderedPageBreak/>
              <w:t>DIHAPUS</w:t>
            </w:r>
          </w:p>
        </w:tc>
        <w:tc>
          <w:tcPr>
            <w:tcW w:w="2367" w:type="dxa"/>
            <w:hideMark/>
          </w:tcPr>
          <w:p w14:paraId="3850733D"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t xml:space="preserve">Proteksionisme Keberlanjutan Investasi dan Pemberangusan </w:t>
            </w:r>
            <w:r w:rsidRPr="00E51346">
              <w:rPr>
                <w:rFonts w:ascii="Times New Roman" w:hAnsi="Times New Roman" w:cs="Times New Roman"/>
                <w:b/>
                <w:bCs/>
                <w:i/>
                <w:iCs/>
                <w:sz w:val="24"/>
                <w:szCs w:val="24"/>
              </w:rPr>
              <w:t>Kill Switch</w:t>
            </w:r>
            <w:r w:rsidRPr="00E51346">
              <w:rPr>
                <w:rFonts w:ascii="Times New Roman" w:hAnsi="Times New Roman" w:cs="Times New Roman"/>
                <w:b/>
                <w:bCs/>
                <w:sz w:val="24"/>
                <w:szCs w:val="24"/>
              </w:rPr>
              <w:t>:</w:t>
            </w:r>
            <w:r w:rsidRPr="00E51346">
              <w:rPr>
                <w:rFonts w:ascii="Times New Roman" w:hAnsi="Times New Roman" w:cs="Times New Roman"/>
                <w:sz w:val="24"/>
                <w:szCs w:val="24"/>
              </w:rPr>
              <w:t xml:space="preserve"> Jika kita menganalisis dari sudut pandang </w:t>
            </w:r>
            <w:r w:rsidRPr="00E51346">
              <w:rPr>
                <w:rFonts w:ascii="Times New Roman" w:hAnsi="Times New Roman" w:cs="Times New Roman"/>
                <w:i/>
                <w:iCs/>
                <w:sz w:val="24"/>
                <w:szCs w:val="24"/>
              </w:rPr>
              <w:t>Corporate Defense Mechanism</w:t>
            </w:r>
            <w:r w:rsidRPr="00E51346">
              <w:rPr>
                <w:rFonts w:ascii="Times New Roman" w:hAnsi="Times New Roman" w:cs="Times New Roman"/>
                <w:sz w:val="24"/>
                <w:szCs w:val="24"/>
              </w:rPr>
              <w:t xml:space="preserve">, Pasal 40 UU PPLH 2009 adalah pasal yang </w:t>
            </w:r>
            <w:r w:rsidRPr="00E51346">
              <w:rPr>
                <w:rFonts w:ascii="Times New Roman" w:hAnsi="Times New Roman" w:cs="Times New Roman"/>
                <w:sz w:val="24"/>
                <w:szCs w:val="24"/>
              </w:rPr>
              <w:lastRenderedPageBreak/>
              <w:t>paling ditakuti dan diincar oleh korporasi industri ekstraktif (pertambangan, perkebunan kelapa sawit, HTI) untuk dihancurkan. Ayat (2) pada masa lalu berfungsi sebagai "tombol kiamat" (</w:t>
            </w:r>
            <w:r w:rsidRPr="00E51346">
              <w:rPr>
                <w:rFonts w:ascii="Times New Roman" w:hAnsi="Times New Roman" w:cs="Times New Roman"/>
                <w:i/>
                <w:iCs/>
                <w:sz w:val="24"/>
                <w:szCs w:val="24"/>
              </w:rPr>
              <w:t>kill switch</w:t>
            </w:r>
            <w:r w:rsidRPr="00E51346">
              <w:rPr>
                <w:rFonts w:ascii="Times New Roman" w:hAnsi="Times New Roman" w:cs="Times New Roman"/>
                <w:sz w:val="24"/>
                <w:szCs w:val="24"/>
              </w:rPr>
              <w:t xml:space="preserve">). Jika ada elemen administratif sekecil apapun dari sebuah Izin Lingkungan yang digugat oleh LSM dan dinyatakan cacat hukum atau batal oleh Pengadilan Tata Usaha Negara (PTUN), maka seluruh Izin Usaha perusahaan tersebut (yang mungkin bernilai ratusan triliun) akan otomatis gugur secara hukum dan operasi harus dihentikan total seketika. Penghapusan pasal ini merupakan perwujudan tameng </w:t>
            </w:r>
            <w:r w:rsidRPr="00E51346">
              <w:rPr>
                <w:rFonts w:ascii="Times New Roman" w:hAnsi="Times New Roman" w:cs="Times New Roman"/>
                <w:sz w:val="24"/>
                <w:szCs w:val="24"/>
              </w:rPr>
              <w:lastRenderedPageBreak/>
              <w:t>yudisial (</w:t>
            </w:r>
            <w:r w:rsidRPr="00E51346">
              <w:rPr>
                <w:rFonts w:ascii="Times New Roman" w:hAnsi="Times New Roman" w:cs="Times New Roman"/>
                <w:i/>
                <w:iCs/>
                <w:sz w:val="24"/>
                <w:szCs w:val="24"/>
              </w:rPr>
              <w:t>judicial shield</w:t>
            </w:r>
            <w:r w:rsidRPr="00E51346">
              <w:rPr>
                <w:rFonts w:ascii="Times New Roman" w:hAnsi="Times New Roman" w:cs="Times New Roman"/>
                <w:sz w:val="24"/>
                <w:szCs w:val="24"/>
              </w:rPr>
              <w:t>) bagi para oligarki dan konglomerasi bisnis. Di era Cipta Kerja, jika terjadi pelanggaran atau sengketa dokumen lingkungan, sanksinya tidak lagi berimbas pada penghentian total operasi usaha. Roda pabrik tetap berputar, mesin tetap menyala, dan ekonomi tetap berjalan, sementara perbaikan dokumen atau pembayaran denda dilakukan secara paralel.</w:t>
            </w:r>
          </w:p>
        </w:tc>
      </w:tr>
      <w:tr w:rsidR="00E51346" w:rsidRPr="00E51346" w14:paraId="67D48C5D" w14:textId="77777777" w:rsidTr="00E51346">
        <w:tc>
          <w:tcPr>
            <w:tcW w:w="1696" w:type="dxa"/>
            <w:hideMark/>
          </w:tcPr>
          <w:p w14:paraId="1AD8B054"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Pasal 59 (Pengelolaan Limbah Bahan Berbahaya dan Beracun / B3)</w:t>
            </w:r>
          </w:p>
        </w:tc>
        <w:tc>
          <w:tcPr>
            <w:tcW w:w="2134" w:type="dxa"/>
            <w:hideMark/>
          </w:tcPr>
          <w:p w14:paraId="05F1367A"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(1) Setiap orang yang menghasilkan limbah B3 wajib melakukan pengelolaan limbah B3 yang dihasilkannya.</w:t>
            </w:r>
          </w:p>
          <w:p w14:paraId="11C38887"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(2) Dalam hal B3 telah kedaluwarsa, pengelolaannya mengikuti </w:t>
            </w:r>
            <w:r w:rsidRPr="00E51346">
              <w:rPr>
                <w:rFonts w:ascii="Times New Roman" w:hAnsi="Times New Roman" w:cs="Times New Roman"/>
                <w:sz w:val="24"/>
                <w:szCs w:val="24"/>
              </w:rPr>
              <w:lastRenderedPageBreak/>
              <w:t>ketentuan limbah B3.</w:t>
            </w:r>
          </w:p>
          <w:p w14:paraId="15596698"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(3) ...</w:t>
            </w:r>
          </w:p>
          <w:p w14:paraId="21C19240"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(4) Pengelolaan limbah B3 </w:t>
            </w:r>
            <w:r w:rsidRPr="00E51346">
              <w:rPr>
                <w:rFonts w:ascii="Times New Roman" w:hAnsi="Times New Roman" w:cs="Times New Roman"/>
                <w:b/>
                <w:bCs/>
                <w:sz w:val="24"/>
                <w:szCs w:val="24"/>
              </w:rPr>
              <w:t>wajib mendapat izin</w:t>
            </w:r>
            <w:r w:rsidRPr="00E51346">
              <w:rPr>
                <w:rFonts w:ascii="Times New Roman" w:hAnsi="Times New Roman" w:cs="Times New Roman"/>
                <w:sz w:val="24"/>
                <w:szCs w:val="24"/>
              </w:rPr>
              <w:t xml:space="preserve"> dari Menteri, gubernur, atau bupati/walikota sesuai dengan kewenangannya.</w:t>
            </w:r>
          </w:p>
        </w:tc>
        <w:tc>
          <w:tcPr>
            <w:tcW w:w="2969" w:type="dxa"/>
            <w:hideMark/>
          </w:tcPr>
          <w:p w14:paraId="1A1465D9"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lastRenderedPageBreak/>
              <w:t>(1) Setiap orang yang menghasilkan limbah B3 wajib melakukan pengelolaan limbah B3 yang dihasilkannya.</w:t>
            </w:r>
          </w:p>
          <w:p w14:paraId="1B9407B2"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(3) Setiap orang yang memproduksi limbah B3 dan tidak mampu mengelola sendiri dapat menyerahkannya kepada pihak lain.</w:t>
            </w:r>
          </w:p>
          <w:p w14:paraId="18F7E8EF"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lastRenderedPageBreak/>
              <w:t xml:space="preserve">(4) Pengelolaan limbah B3 </w:t>
            </w:r>
            <w:r w:rsidRPr="00E51346">
              <w:rPr>
                <w:rFonts w:ascii="Times New Roman" w:hAnsi="Times New Roman" w:cs="Times New Roman"/>
                <w:b/>
                <w:bCs/>
                <w:sz w:val="24"/>
                <w:szCs w:val="24"/>
              </w:rPr>
              <w:t>terintegrasi dalam Perizinan Berusaha</w:t>
            </w:r>
            <w:r w:rsidRPr="00E51346">
              <w:rPr>
                <w:rFonts w:ascii="Times New Roman" w:hAnsi="Times New Roman" w:cs="Times New Roman"/>
                <w:sz w:val="24"/>
                <w:szCs w:val="24"/>
              </w:rPr>
              <w:t xml:space="preserve"> dan/atau persetujuan Pemerintah Pusat atau Pemerintah Daerah.</w:t>
            </w:r>
          </w:p>
        </w:tc>
        <w:tc>
          <w:tcPr>
            <w:tcW w:w="2367" w:type="dxa"/>
            <w:hideMark/>
          </w:tcPr>
          <w:p w14:paraId="79AFC990"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 xml:space="preserve">Komersialisasi Relaksasi Limbah dan Implementasi Semu </w:t>
            </w:r>
            <w:r w:rsidRPr="00E51346">
              <w:rPr>
                <w:rFonts w:ascii="Times New Roman" w:hAnsi="Times New Roman" w:cs="Times New Roman"/>
                <w:b/>
                <w:bCs/>
                <w:i/>
                <w:iCs/>
                <w:sz w:val="24"/>
                <w:szCs w:val="24"/>
              </w:rPr>
              <w:t>Circular Economy</w:t>
            </w:r>
            <w:r w:rsidRPr="00E51346">
              <w:rPr>
                <w:rFonts w:ascii="Times New Roman" w:hAnsi="Times New Roman" w:cs="Times New Roman"/>
                <w:b/>
                <w:bCs/>
                <w:sz w:val="24"/>
                <w:szCs w:val="24"/>
              </w:rPr>
              <w:t>:</w:t>
            </w:r>
            <w:r w:rsidRPr="00E51346">
              <w:rPr>
                <w:rFonts w:ascii="Times New Roman" w:hAnsi="Times New Roman" w:cs="Times New Roman"/>
                <w:sz w:val="24"/>
                <w:szCs w:val="24"/>
              </w:rPr>
              <w:t xml:space="preserve"> Perubahan fundamental di sini adalah dihilangkannya keharusan memiliki Izin Pengelolaan Limbah B3 yang terpisah. Kewajiban </w:t>
            </w:r>
            <w:r w:rsidRPr="00E51346">
              <w:rPr>
                <w:rFonts w:ascii="Times New Roman" w:hAnsi="Times New Roman" w:cs="Times New Roman"/>
                <w:sz w:val="24"/>
                <w:szCs w:val="24"/>
              </w:rPr>
              <w:lastRenderedPageBreak/>
              <w:t xml:space="preserve">tersebut kini dikompresi menjadi satu kesatuan dalam "Perizinan Berusaha Induk". Implikasi terbesarnya baru terlihat pada aturan turunan Omnibus Law (seperti PP No. 22 Tahun 2021), di mana pemerintah mengeluarkan beberapa jenis limbah masif nan berbahaya—seperti </w:t>
            </w:r>
            <w:r w:rsidRPr="00E51346">
              <w:rPr>
                <w:rFonts w:ascii="Times New Roman" w:hAnsi="Times New Roman" w:cs="Times New Roman"/>
                <w:i/>
                <w:iCs/>
                <w:sz w:val="24"/>
                <w:szCs w:val="24"/>
              </w:rPr>
              <w:t>Fly Ash</w:t>
            </w:r>
            <w:r w:rsidRPr="00E51346">
              <w:rPr>
                <w:rFonts w:ascii="Times New Roman" w:hAnsi="Times New Roman" w:cs="Times New Roman"/>
                <w:sz w:val="24"/>
                <w:szCs w:val="24"/>
              </w:rPr>
              <w:t xml:space="preserve"> dan </w:t>
            </w:r>
            <w:r w:rsidRPr="00E51346">
              <w:rPr>
                <w:rFonts w:ascii="Times New Roman" w:hAnsi="Times New Roman" w:cs="Times New Roman"/>
                <w:i/>
                <w:iCs/>
                <w:sz w:val="24"/>
                <w:szCs w:val="24"/>
              </w:rPr>
              <w:t>Bottom Ash</w:t>
            </w:r>
            <w:r w:rsidRPr="00E51346">
              <w:rPr>
                <w:rFonts w:ascii="Times New Roman" w:hAnsi="Times New Roman" w:cs="Times New Roman"/>
                <w:sz w:val="24"/>
                <w:szCs w:val="24"/>
              </w:rPr>
              <w:t xml:space="preserve"> (FABA) yang merupakan sisa pembakaran Pembangkit Listrik Tenaga Uap (PLTU) batubara, serta </w:t>
            </w:r>
            <w:r w:rsidRPr="00E51346">
              <w:rPr>
                <w:rFonts w:ascii="Times New Roman" w:hAnsi="Times New Roman" w:cs="Times New Roman"/>
                <w:i/>
                <w:iCs/>
                <w:sz w:val="24"/>
                <w:szCs w:val="24"/>
              </w:rPr>
              <w:t>Spent Bleaching Earth</w:t>
            </w:r>
            <w:r w:rsidRPr="00E51346">
              <w:rPr>
                <w:rFonts w:ascii="Times New Roman" w:hAnsi="Times New Roman" w:cs="Times New Roman"/>
                <w:sz w:val="24"/>
                <w:szCs w:val="24"/>
              </w:rPr>
              <w:t xml:space="preserve"> (SBE) dari pabrik sawit—dari daftar kategori limbah B3 menjadi limbah </w:t>
            </w:r>
            <w:proofErr w:type="gramStart"/>
            <w:r w:rsidRPr="00E51346">
              <w:rPr>
                <w:rFonts w:ascii="Times New Roman" w:hAnsi="Times New Roman" w:cs="Times New Roman"/>
                <w:sz w:val="24"/>
                <w:szCs w:val="24"/>
              </w:rPr>
              <w:t>Non-B3</w:t>
            </w:r>
            <w:proofErr w:type="gramEnd"/>
            <w:r w:rsidRPr="00E51346">
              <w:rPr>
                <w:rFonts w:ascii="Times New Roman" w:hAnsi="Times New Roman" w:cs="Times New Roman"/>
                <w:sz w:val="24"/>
                <w:szCs w:val="24"/>
              </w:rPr>
              <w:t xml:space="preserve"> terdaftar. Narasi yang dibangun negara adalah untuk mendorong konsep Ekonomi Sirkular (</w:t>
            </w:r>
            <w:r w:rsidRPr="00E51346">
              <w:rPr>
                <w:rFonts w:ascii="Times New Roman" w:hAnsi="Times New Roman" w:cs="Times New Roman"/>
                <w:i/>
                <w:iCs/>
                <w:sz w:val="24"/>
                <w:szCs w:val="24"/>
              </w:rPr>
              <w:t xml:space="preserve">Circular Economy </w:t>
            </w:r>
            <w:r w:rsidRPr="00E51346">
              <w:rPr>
                <w:rFonts w:ascii="Times New Roman" w:hAnsi="Times New Roman" w:cs="Times New Roman"/>
                <w:i/>
                <w:iCs/>
                <w:sz w:val="24"/>
                <w:szCs w:val="24"/>
              </w:rPr>
              <w:lastRenderedPageBreak/>
              <w:t>Policy</w:t>
            </w:r>
            <w:r w:rsidRPr="00E51346">
              <w:rPr>
                <w:rFonts w:ascii="Times New Roman" w:hAnsi="Times New Roman" w:cs="Times New Roman"/>
                <w:sz w:val="24"/>
                <w:szCs w:val="24"/>
              </w:rPr>
              <w:t xml:space="preserve">), dengan alasan FABA dapat dimanfaatkan murah sebagai bahan baku industri semen atau </w:t>
            </w:r>
            <w:r w:rsidRPr="00E51346">
              <w:rPr>
                <w:rFonts w:ascii="Times New Roman" w:hAnsi="Times New Roman" w:cs="Times New Roman"/>
                <w:i/>
                <w:iCs/>
                <w:sz w:val="24"/>
                <w:szCs w:val="24"/>
              </w:rPr>
              <w:t>paving block</w:t>
            </w:r>
            <w:r w:rsidRPr="00E51346">
              <w:rPr>
                <w:rFonts w:ascii="Times New Roman" w:hAnsi="Times New Roman" w:cs="Times New Roman"/>
                <w:sz w:val="24"/>
                <w:szCs w:val="24"/>
              </w:rPr>
              <w:t xml:space="preserve">. Namun, dari kacamata ekologi politik, relaksasi tata kelola limbah padat karbon ini adalah pemberian diskon besar-besaran, subsidi tak langsung, dan hadiah bagi oligarki energi fosil serta pengusaha batubara, yang memungkinkan mereka menghemat triliunan rupiah dari ongkos penanganan </w:t>
            </w:r>
            <w:r w:rsidRPr="00E51346">
              <w:rPr>
                <w:rFonts w:ascii="Times New Roman" w:hAnsi="Times New Roman" w:cs="Times New Roman"/>
                <w:i/>
                <w:iCs/>
                <w:sz w:val="24"/>
                <w:szCs w:val="24"/>
              </w:rPr>
              <w:t>toxic waste</w:t>
            </w:r>
            <w:r w:rsidRPr="00E51346">
              <w:rPr>
                <w:rFonts w:ascii="Times New Roman" w:hAnsi="Times New Roman" w:cs="Times New Roman"/>
                <w:sz w:val="24"/>
                <w:szCs w:val="24"/>
              </w:rPr>
              <w:t xml:space="preserve"> yang sebelumnya sangat mahal dan terawasi sangat ketat.</w:t>
            </w:r>
          </w:p>
        </w:tc>
      </w:tr>
      <w:tr w:rsidR="00E51346" w:rsidRPr="00E51346" w14:paraId="680EB52D" w14:textId="77777777" w:rsidTr="00E51346">
        <w:tc>
          <w:tcPr>
            <w:tcW w:w="1696" w:type="dxa"/>
            <w:hideMark/>
          </w:tcPr>
          <w:p w14:paraId="6019B55C"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Pasal 76 (Konstruksi Sanksi Administratif)</w:t>
            </w:r>
          </w:p>
        </w:tc>
        <w:tc>
          <w:tcPr>
            <w:tcW w:w="2134" w:type="dxa"/>
            <w:hideMark/>
          </w:tcPr>
          <w:p w14:paraId="554F61A3"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(1) Menteri, gubernur, atau bupati/walikota menerapkan sanksi administratif kepada penanggung jawab usaha dan/atau kegiatan jika dalam </w:t>
            </w:r>
            <w:r w:rsidRPr="00E51346">
              <w:rPr>
                <w:rFonts w:ascii="Times New Roman" w:hAnsi="Times New Roman" w:cs="Times New Roman"/>
                <w:sz w:val="24"/>
                <w:szCs w:val="24"/>
              </w:rPr>
              <w:lastRenderedPageBreak/>
              <w:t>pengawasan ditemukan pelanggaran terhadap izin lingkungan.</w:t>
            </w:r>
          </w:p>
          <w:p w14:paraId="61619489"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(2) Sanksi administratif terdiri atas: a. teguran tertulis; b. </w:t>
            </w:r>
            <w:r w:rsidRPr="00E51346">
              <w:rPr>
                <w:rFonts w:ascii="Times New Roman" w:hAnsi="Times New Roman" w:cs="Times New Roman"/>
                <w:b/>
                <w:bCs/>
                <w:sz w:val="24"/>
                <w:szCs w:val="24"/>
              </w:rPr>
              <w:t>paksaan pemerintah</w:t>
            </w:r>
            <w:r w:rsidRPr="00E51346">
              <w:rPr>
                <w:rFonts w:ascii="Times New Roman" w:hAnsi="Times New Roman" w:cs="Times New Roman"/>
                <w:sz w:val="24"/>
                <w:szCs w:val="24"/>
              </w:rPr>
              <w:t xml:space="preserve">; c. </w:t>
            </w:r>
            <w:r w:rsidRPr="00E51346">
              <w:rPr>
                <w:rFonts w:ascii="Times New Roman" w:hAnsi="Times New Roman" w:cs="Times New Roman"/>
                <w:b/>
                <w:bCs/>
                <w:sz w:val="24"/>
                <w:szCs w:val="24"/>
              </w:rPr>
              <w:t>pembekuan izin lingkungan</w:t>
            </w:r>
            <w:r w:rsidRPr="00E51346">
              <w:rPr>
                <w:rFonts w:ascii="Times New Roman" w:hAnsi="Times New Roman" w:cs="Times New Roman"/>
                <w:sz w:val="24"/>
                <w:szCs w:val="24"/>
              </w:rPr>
              <w:t xml:space="preserve">; atau d. </w:t>
            </w:r>
            <w:r w:rsidRPr="00E51346">
              <w:rPr>
                <w:rFonts w:ascii="Times New Roman" w:hAnsi="Times New Roman" w:cs="Times New Roman"/>
                <w:b/>
                <w:bCs/>
                <w:sz w:val="24"/>
                <w:szCs w:val="24"/>
              </w:rPr>
              <w:t>pencabutan izin lingkungan</w:t>
            </w:r>
            <w:r w:rsidRPr="00E51346">
              <w:rPr>
                <w:rFonts w:ascii="Times New Roman" w:hAnsi="Times New Roman" w:cs="Times New Roman"/>
                <w:sz w:val="24"/>
                <w:szCs w:val="24"/>
              </w:rPr>
              <w:t>.</w:t>
            </w:r>
          </w:p>
        </w:tc>
        <w:tc>
          <w:tcPr>
            <w:tcW w:w="2969" w:type="dxa"/>
            <w:hideMark/>
          </w:tcPr>
          <w:p w14:paraId="778C424E"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lastRenderedPageBreak/>
              <w:t>(1) Menteri, Gubernur, atau Bupati/Walikota menetapkan sanksi administratif kepada penanggung jawab usaha...</w:t>
            </w:r>
          </w:p>
          <w:p w14:paraId="5AD891D0"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(2) Sanksi administratif terdiri atas: a. teguran tertulis; b. paksaan </w:t>
            </w:r>
            <w:r w:rsidRPr="00E51346">
              <w:rPr>
                <w:rFonts w:ascii="Times New Roman" w:hAnsi="Times New Roman" w:cs="Times New Roman"/>
                <w:sz w:val="24"/>
                <w:szCs w:val="24"/>
              </w:rPr>
              <w:lastRenderedPageBreak/>
              <w:t xml:space="preserve">pemerintah; c. </w:t>
            </w:r>
            <w:r w:rsidRPr="00E51346">
              <w:rPr>
                <w:rFonts w:ascii="Times New Roman" w:hAnsi="Times New Roman" w:cs="Times New Roman"/>
                <w:b/>
                <w:bCs/>
                <w:sz w:val="24"/>
                <w:szCs w:val="24"/>
              </w:rPr>
              <w:t>denda administratif</w:t>
            </w:r>
            <w:r w:rsidRPr="00E51346">
              <w:rPr>
                <w:rFonts w:ascii="Times New Roman" w:hAnsi="Times New Roman" w:cs="Times New Roman"/>
                <w:sz w:val="24"/>
                <w:szCs w:val="24"/>
              </w:rPr>
              <w:t>; d. pembekuan Perizinan Berusaha; dan/atau e. pencabutan Perizinan Berusaha.</w:t>
            </w:r>
          </w:p>
        </w:tc>
        <w:tc>
          <w:tcPr>
            <w:tcW w:w="2367" w:type="dxa"/>
            <w:hideMark/>
          </w:tcPr>
          <w:p w14:paraId="415EAC8F"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Kuantifikasi Kerusakan Alam Menjadi Komoditas Moneter (</w:t>
            </w:r>
            <w:r w:rsidRPr="00E51346">
              <w:rPr>
                <w:rFonts w:ascii="Times New Roman" w:hAnsi="Times New Roman" w:cs="Times New Roman"/>
                <w:b/>
                <w:bCs/>
                <w:i/>
                <w:iCs/>
                <w:sz w:val="24"/>
                <w:szCs w:val="24"/>
              </w:rPr>
              <w:t>Monetization of Ecological Sanctions</w:t>
            </w:r>
            <w:r w:rsidRPr="00E51346">
              <w:rPr>
                <w:rFonts w:ascii="Times New Roman" w:hAnsi="Times New Roman" w:cs="Times New Roman"/>
                <w:b/>
                <w:bCs/>
                <w:sz w:val="24"/>
                <w:szCs w:val="24"/>
              </w:rPr>
              <w:t>):</w:t>
            </w:r>
            <w:r w:rsidRPr="00E51346">
              <w:rPr>
                <w:rFonts w:ascii="Times New Roman" w:hAnsi="Times New Roman" w:cs="Times New Roman"/>
                <w:sz w:val="24"/>
                <w:szCs w:val="24"/>
              </w:rPr>
              <w:t xml:space="preserve"> Secara struktural, ada penambahan </w:t>
            </w:r>
            <w:r w:rsidRPr="00E51346">
              <w:rPr>
                <w:rFonts w:ascii="Times New Roman" w:hAnsi="Times New Roman" w:cs="Times New Roman"/>
                <w:sz w:val="24"/>
                <w:szCs w:val="24"/>
              </w:rPr>
              <w:lastRenderedPageBreak/>
              <w:t xml:space="preserve">instrumen baru pada UU 6/2023, yakni "denda administratif" yang posisinya disisipkan di atas sanksi pembekuan/pencabutan izin. Perubahan hirarki hukuman ini mencerminkan metamorfosis filosofi negara. Pada UU 2009, sanksi didesain untuk menciptakan efek jera spasial, yakni menghentikan segera aktivitas fisik yang merusak (pembekuan). UU Cipta Kerja mengubah cara pandang ini dengan mengkapitalisasi (menguangkan) kesalahan korporasi. Sebelum otoritas mencabut izin usaha yang bisa berdampak pada Pemutusan Hubungan Kerja (PHK) massal dan terhentinya kontribusi pada Produk </w:t>
            </w:r>
            <w:r w:rsidRPr="00E51346">
              <w:rPr>
                <w:rFonts w:ascii="Times New Roman" w:hAnsi="Times New Roman" w:cs="Times New Roman"/>
                <w:sz w:val="24"/>
                <w:szCs w:val="24"/>
              </w:rPr>
              <w:lastRenderedPageBreak/>
              <w:t>Domestik Bruto (PDB), negara lebih memprioritaskan penjatuhan sanksi finansial (denda miliaran hingga triliunan rupiah). Paradigma baru ini menggeser kejahatan lingkungan dari sebuah tragedi moral yang harus dihancurkan, menjadi semacam "utang operasional" yang dapat ditebus, dilunasi, dan berkontribusi secara pragmatis dalam mengisi pundi-pundi Penerimaan Negara Bukan Pajak (PNBP) di tengah defisit anggaran negara.</w:t>
            </w:r>
          </w:p>
        </w:tc>
      </w:tr>
      <w:tr w:rsidR="00E51346" w:rsidRPr="00E51346" w14:paraId="42397821" w14:textId="77777777" w:rsidTr="00E51346">
        <w:tc>
          <w:tcPr>
            <w:tcW w:w="1696" w:type="dxa"/>
            <w:hideMark/>
          </w:tcPr>
          <w:p w14:paraId="17496747"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 xml:space="preserve">Pasal 88 (Pertanggungjawaban Mutlak / </w:t>
            </w:r>
            <w:r w:rsidRPr="00E51346">
              <w:rPr>
                <w:rFonts w:ascii="Times New Roman" w:hAnsi="Times New Roman" w:cs="Times New Roman"/>
                <w:b/>
                <w:bCs/>
                <w:i/>
                <w:iCs/>
                <w:sz w:val="24"/>
                <w:szCs w:val="24"/>
              </w:rPr>
              <w:t>Strict Liability</w:t>
            </w:r>
            <w:r w:rsidRPr="00E51346">
              <w:rPr>
                <w:rFonts w:ascii="Times New Roman" w:hAnsi="Times New Roman" w:cs="Times New Roman"/>
                <w:b/>
                <w:bCs/>
                <w:sz w:val="24"/>
                <w:szCs w:val="24"/>
              </w:rPr>
              <w:t>)</w:t>
            </w:r>
          </w:p>
        </w:tc>
        <w:tc>
          <w:tcPr>
            <w:tcW w:w="2134" w:type="dxa"/>
            <w:hideMark/>
          </w:tcPr>
          <w:p w14:paraId="760BBFCB"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Setiap orang yang tindakannya, usahanya, dan/atau kegiatannya menggunakan B3, menghasilkan dan/atau mengelola limbah B3, dan/atau yang </w:t>
            </w:r>
            <w:r w:rsidRPr="00E51346">
              <w:rPr>
                <w:rFonts w:ascii="Times New Roman" w:hAnsi="Times New Roman" w:cs="Times New Roman"/>
                <w:sz w:val="24"/>
                <w:szCs w:val="24"/>
              </w:rPr>
              <w:lastRenderedPageBreak/>
              <w:t xml:space="preserve">menimbulkan ancaman serius terhadap lingkungan hidup bertanggung jawab mutlak atas kerugian yang terjadi </w:t>
            </w:r>
            <w:r w:rsidRPr="00E51346">
              <w:rPr>
                <w:rFonts w:ascii="Times New Roman" w:hAnsi="Times New Roman" w:cs="Times New Roman"/>
                <w:b/>
                <w:bCs/>
                <w:sz w:val="24"/>
                <w:szCs w:val="24"/>
              </w:rPr>
              <w:t>tanpa perlu pembuktian unsur kesalahan</w:t>
            </w:r>
            <w:r w:rsidRPr="00E51346">
              <w:rPr>
                <w:rFonts w:ascii="Times New Roman" w:hAnsi="Times New Roman" w:cs="Times New Roman"/>
                <w:sz w:val="24"/>
                <w:szCs w:val="24"/>
              </w:rPr>
              <w:t>.</w:t>
            </w:r>
          </w:p>
        </w:tc>
        <w:tc>
          <w:tcPr>
            <w:tcW w:w="2969" w:type="dxa"/>
            <w:hideMark/>
          </w:tcPr>
          <w:p w14:paraId="3BC9C702"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lastRenderedPageBreak/>
              <w:t xml:space="preserve">Setiap orang yang tindakannya, usahanya, dan/atau kegiatannya menggunakan B3, menghasilkan dan/atau mengelola limbah B3, dan/atau yang menimbulkan ancaman serius terhadap lingkungan hidup </w:t>
            </w:r>
            <w:r w:rsidRPr="00E51346">
              <w:rPr>
                <w:rFonts w:ascii="Times New Roman" w:hAnsi="Times New Roman" w:cs="Times New Roman"/>
                <w:sz w:val="24"/>
                <w:szCs w:val="24"/>
              </w:rPr>
              <w:lastRenderedPageBreak/>
              <w:t xml:space="preserve">bertanggung jawab mutlak atas kerugian yang terjadi </w:t>
            </w:r>
            <w:r w:rsidRPr="00E51346">
              <w:rPr>
                <w:rFonts w:ascii="Times New Roman" w:hAnsi="Times New Roman" w:cs="Times New Roman"/>
                <w:b/>
                <w:bCs/>
                <w:sz w:val="24"/>
                <w:szCs w:val="24"/>
              </w:rPr>
              <w:t>dari usaha dan/atau kegiatannya</w:t>
            </w:r>
            <w:r w:rsidRPr="00E51346">
              <w:rPr>
                <w:rFonts w:ascii="Times New Roman" w:hAnsi="Times New Roman" w:cs="Times New Roman"/>
                <w:sz w:val="24"/>
                <w:szCs w:val="24"/>
              </w:rPr>
              <w:t>.</w:t>
            </w:r>
          </w:p>
        </w:tc>
        <w:tc>
          <w:tcPr>
            <w:tcW w:w="2367" w:type="dxa"/>
            <w:hideMark/>
          </w:tcPr>
          <w:p w14:paraId="46E45FBC"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Dekonstruksi Doktrin Pertanggungjawaban dan Eskalasi Kompleksitas Pembuktian Ilmiah:</w:t>
            </w:r>
            <w:r w:rsidRPr="00E51346">
              <w:rPr>
                <w:rFonts w:ascii="Times New Roman" w:hAnsi="Times New Roman" w:cs="Times New Roman"/>
                <w:sz w:val="24"/>
                <w:szCs w:val="24"/>
              </w:rPr>
              <w:t xml:space="preserve"> Dihapusnya frasa yang sangat sakti, yakni "tanpa perlu </w:t>
            </w:r>
            <w:r w:rsidRPr="00E51346">
              <w:rPr>
                <w:rFonts w:ascii="Times New Roman" w:hAnsi="Times New Roman" w:cs="Times New Roman"/>
                <w:sz w:val="24"/>
                <w:szCs w:val="24"/>
              </w:rPr>
              <w:lastRenderedPageBreak/>
              <w:t>pembuktian unsur kesalahan", merupakan kemunduran paling masif dalam diskursus hukum litigasi lingkungan di Indonesia. Pada masa keemasan UU 2009, asas pertanggungjawaban mutlak (</w:t>
            </w:r>
            <w:r w:rsidRPr="00E51346">
              <w:rPr>
                <w:rFonts w:ascii="Times New Roman" w:hAnsi="Times New Roman" w:cs="Times New Roman"/>
                <w:i/>
                <w:iCs/>
                <w:sz w:val="24"/>
                <w:szCs w:val="24"/>
              </w:rPr>
              <w:t>strict liability</w:t>
            </w:r>
            <w:r w:rsidRPr="00E51346">
              <w:rPr>
                <w:rFonts w:ascii="Times New Roman" w:hAnsi="Times New Roman" w:cs="Times New Roman"/>
                <w:sz w:val="24"/>
                <w:szCs w:val="24"/>
              </w:rPr>
              <w:t xml:space="preserve">) beroperasi secara absolut. Jika satelit mendeteksi adanya titik api (kebakaran hutan) seluas puluhan ribu hektar tepat di dalam area koordinat Hak Guna Usaha (HGU) sebuah perusahaan perkebunan kelapa sawit, maka perusahaan tersebut secara otomatis wajib membayar ganti rugi ratusan miliar rupiah. Pengadilan tidak perlu repot mencari tahu apakah yang membakar hutan itu sambaran petir, </w:t>
            </w:r>
            <w:r w:rsidRPr="00E51346">
              <w:rPr>
                <w:rFonts w:ascii="Times New Roman" w:hAnsi="Times New Roman" w:cs="Times New Roman"/>
                <w:sz w:val="24"/>
                <w:szCs w:val="24"/>
              </w:rPr>
              <w:lastRenderedPageBreak/>
              <w:t>konflik lahan dengan masyarakat, pembalak liar, atau perintah dari direksi perusahaan itu sendiri. Fakta bahwa kebakaran terjadi di wilayah konsesi mereka sudah cukup untuk memvonis. Masuknya UU Cipta Kerja dengan frasa pengganti "dari usaha dan/atau kegiatannya" memaksa pergeseran beban pembuktian (</w:t>
            </w:r>
            <w:r w:rsidRPr="00E51346">
              <w:rPr>
                <w:rFonts w:ascii="Times New Roman" w:hAnsi="Times New Roman" w:cs="Times New Roman"/>
                <w:i/>
                <w:iCs/>
                <w:sz w:val="24"/>
                <w:szCs w:val="24"/>
              </w:rPr>
              <w:t>burden of proof</w:t>
            </w:r>
            <w:r w:rsidRPr="00E51346">
              <w:rPr>
                <w:rFonts w:ascii="Times New Roman" w:hAnsi="Times New Roman" w:cs="Times New Roman"/>
                <w:sz w:val="24"/>
                <w:szCs w:val="24"/>
              </w:rPr>
              <w:t>). Kementerian LHK atau pihak penggugat kini dipaksa bekerja ekstra keras untuk menyajikan pembuktian kausalitas materiil secara ilmiah (hubungan sebab-akibat langsung) bahwa kerugian tersebut benar-benar diakibatkan oleh serangkaian aktivitas korporasi terkait. Ini menciptakan labirin advokasi (</w:t>
            </w:r>
            <w:r w:rsidRPr="00E51346">
              <w:rPr>
                <w:rFonts w:ascii="Times New Roman" w:hAnsi="Times New Roman" w:cs="Times New Roman"/>
                <w:i/>
                <w:iCs/>
                <w:sz w:val="24"/>
                <w:szCs w:val="24"/>
              </w:rPr>
              <w:t>legal loophole</w:t>
            </w:r>
            <w:r w:rsidRPr="00E51346">
              <w:rPr>
                <w:rFonts w:ascii="Times New Roman" w:hAnsi="Times New Roman" w:cs="Times New Roman"/>
                <w:sz w:val="24"/>
                <w:szCs w:val="24"/>
              </w:rPr>
              <w:t xml:space="preserve">) yang </w:t>
            </w:r>
            <w:r w:rsidRPr="00E51346">
              <w:rPr>
                <w:rFonts w:ascii="Times New Roman" w:hAnsi="Times New Roman" w:cs="Times New Roman"/>
                <w:sz w:val="24"/>
                <w:szCs w:val="24"/>
              </w:rPr>
              <w:lastRenderedPageBreak/>
              <w:t xml:space="preserve">sempurna bagi firma hukum raksasa yang membela perusahaan untuk berdalih lepas tangan atas bencana ekologis di wilayah mereka dengan alasan </w:t>
            </w:r>
            <w:r w:rsidRPr="00E51346">
              <w:rPr>
                <w:rFonts w:ascii="Times New Roman" w:hAnsi="Times New Roman" w:cs="Times New Roman"/>
                <w:i/>
                <w:iCs/>
                <w:sz w:val="24"/>
                <w:szCs w:val="24"/>
              </w:rPr>
              <w:t>force majeure</w:t>
            </w:r>
            <w:r w:rsidRPr="00E51346">
              <w:rPr>
                <w:rFonts w:ascii="Times New Roman" w:hAnsi="Times New Roman" w:cs="Times New Roman"/>
                <w:sz w:val="24"/>
                <w:szCs w:val="24"/>
              </w:rPr>
              <w:t xml:space="preserve"> atau </w:t>
            </w:r>
            <w:r w:rsidRPr="00E51346">
              <w:rPr>
                <w:rFonts w:ascii="Times New Roman" w:hAnsi="Times New Roman" w:cs="Times New Roman"/>
                <w:i/>
                <w:iCs/>
                <w:sz w:val="24"/>
                <w:szCs w:val="24"/>
              </w:rPr>
              <w:t>third-party sabotage</w:t>
            </w:r>
            <w:r w:rsidRPr="00E51346">
              <w:rPr>
                <w:rFonts w:ascii="Times New Roman" w:hAnsi="Times New Roman" w:cs="Times New Roman"/>
                <w:sz w:val="24"/>
                <w:szCs w:val="24"/>
              </w:rPr>
              <w:t>.</w:t>
            </w:r>
          </w:p>
        </w:tc>
      </w:tr>
      <w:tr w:rsidR="00E51346" w:rsidRPr="00E51346" w14:paraId="2796C49B" w14:textId="77777777" w:rsidTr="00E51346">
        <w:tc>
          <w:tcPr>
            <w:tcW w:w="1696" w:type="dxa"/>
            <w:hideMark/>
          </w:tcPr>
          <w:p w14:paraId="31C252BF"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Pasal 93 (Pembatasan Hak Gugat Masyarakat di PTUN)</w:t>
            </w:r>
          </w:p>
        </w:tc>
        <w:tc>
          <w:tcPr>
            <w:tcW w:w="2134" w:type="dxa"/>
            <w:hideMark/>
          </w:tcPr>
          <w:p w14:paraId="06ED2B2D"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(1) Setiap orang dapat mengajukan gugatan terhadap </w:t>
            </w:r>
            <w:r w:rsidRPr="00E51346">
              <w:rPr>
                <w:rFonts w:ascii="Times New Roman" w:hAnsi="Times New Roman" w:cs="Times New Roman"/>
                <w:b/>
                <w:bCs/>
                <w:sz w:val="24"/>
                <w:szCs w:val="24"/>
              </w:rPr>
              <w:t>keputusan tata usaha negara</w:t>
            </w:r>
            <w:r w:rsidRPr="00E51346">
              <w:rPr>
                <w:rFonts w:ascii="Times New Roman" w:hAnsi="Times New Roman" w:cs="Times New Roman"/>
                <w:sz w:val="24"/>
                <w:szCs w:val="24"/>
              </w:rPr>
              <w:t xml:space="preserve"> berupa: a. </w:t>
            </w:r>
            <w:r w:rsidRPr="00E51346">
              <w:rPr>
                <w:rFonts w:ascii="Times New Roman" w:hAnsi="Times New Roman" w:cs="Times New Roman"/>
                <w:b/>
                <w:bCs/>
                <w:sz w:val="24"/>
                <w:szCs w:val="24"/>
              </w:rPr>
              <w:t>izin lingkungan</w:t>
            </w:r>
            <w:r w:rsidRPr="00E51346">
              <w:rPr>
                <w:rFonts w:ascii="Times New Roman" w:hAnsi="Times New Roman" w:cs="Times New Roman"/>
                <w:sz w:val="24"/>
                <w:szCs w:val="24"/>
              </w:rPr>
              <w:t>; atau b. izin usaha dan/atau kegiatan, jika tidak dilengkapi izin lingkungan.</w:t>
            </w:r>
          </w:p>
          <w:p w14:paraId="539E2341"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(2) Tata cara pengajuan gugatan terhadap keputusan tata usaha negara dimaksud mengikuti hukum acara peradilan tata usaha negara.</w:t>
            </w:r>
          </w:p>
        </w:tc>
        <w:tc>
          <w:tcPr>
            <w:tcW w:w="2969" w:type="dxa"/>
            <w:hideMark/>
          </w:tcPr>
          <w:p w14:paraId="74BB6082"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(1) Setiap orang dapat mengajukan gugatan terhadap </w:t>
            </w:r>
            <w:r w:rsidRPr="00E51346">
              <w:rPr>
                <w:rFonts w:ascii="Times New Roman" w:hAnsi="Times New Roman" w:cs="Times New Roman"/>
                <w:b/>
                <w:bCs/>
                <w:sz w:val="24"/>
                <w:szCs w:val="24"/>
              </w:rPr>
              <w:t>keputusan tata usaha negara</w:t>
            </w:r>
            <w:r w:rsidRPr="00E51346">
              <w:rPr>
                <w:rFonts w:ascii="Times New Roman" w:hAnsi="Times New Roman" w:cs="Times New Roman"/>
                <w:sz w:val="24"/>
                <w:szCs w:val="24"/>
              </w:rPr>
              <w:t xml:space="preserve"> berupa </w:t>
            </w:r>
            <w:r w:rsidRPr="00E51346">
              <w:rPr>
                <w:rFonts w:ascii="Times New Roman" w:hAnsi="Times New Roman" w:cs="Times New Roman"/>
                <w:b/>
                <w:bCs/>
                <w:sz w:val="24"/>
                <w:szCs w:val="24"/>
              </w:rPr>
              <w:t>Persetujuan Lingkungan</w:t>
            </w:r>
            <w:r w:rsidRPr="00E51346">
              <w:rPr>
                <w:rFonts w:ascii="Times New Roman" w:hAnsi="Times New Roman" w:cs="Times New Roman"/>
                <w:sz w:val="24"/>
                <w:szCs w:val="24"/>
              </w:rPr>
              <w:t>.</w:t>
            </w:r>
          </w:p>
          <w:p w14:paraId="53724AA5"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(2) Tata cara pengajuan gugatan... mengikuti hukum acara peradilan tata usaha negara.</w:t>
            </w:r>
          </w:p>
        </w:tc>
        <w:tc>
          <w:tcPr>
            <w:tcW w:w="2367" w:type="dxa"/>
            <w:hideMark/>
          </w:tcPr>
          <w:p w14:paraId="62A679AD"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t>Reduksi Obyek Sengketa Yudisial dan Pelemah Daya Gempur Hukum Publik:</w:t>
            </w:r>
            <w:r w:rsidRPr="00E51346">
              <w:rPr>
                <w:rFonts w:ascii="Times New Roman" w:hAnsi="Times New Roman" w:cs="Times New Roman"/>
                <w:sz w:val="24"/>
                <w:szCs w:val="24"/>
              </w:rPr>
              <w:t xml:space="preserve"> Mengikuti logika konstruktif dari perombakan di Pasal 1 dan penghapusan efek pembatalan di Pasal 40, rumusan Pasal 93 mengubah secara fundamental "apa" yang dapat digugat oleh masyarakat ke Pengadilan Tata Usaha Negara (PTUN). Karena kedudukan "Izin Lingkungan" yang mandiri dan mengikat sudah almarhum dan diturunkan derajatnya menjadi "Persetujuan </w:t>
            </w:r>
            <w:r w:rsidRPr="00E51346">
              <w:rPr>
                <w:rFonts w:ascii="Times New Roman" w:hAnsi="Times New Roman" w:cs="Times New Roman"/>
                <w:sz w:val="24"/>
                <w:szCs w:val="24"/>
              </w:rPr>
              <w:lastRenderedPageBreak/>
              <w:t>Lingkungan", maka masyarakat yang merasa dirugikan kesehatannya akibat pencemaran hanya bisa mengajukan pembatalan atas persetujuan teknisnya saja, bukan menargetkan pencabutan jantung operasinya (Izin Usaha/Perizinan Berusaha). Manuver legislasi ini secara efektif melucuti kemampuan manuver hukum publik (</w:t>
            </w:r>
            <w:r w:rsidRPr="00E51346">
              <w:rPr>
                <w:rFonts w:ascii="Times New Roman" w:hAnsi="Times New Roman" w:cs="Times New Roman"/>
                <w:i/>
                <w:iCs/>
                <w:sz w:val="24"/>
                <w:szCs w:val="24"/>
              </w:rPr>
              <w:t>public legal standing</w:t>
            </w:r>
            <w:r w:rsidRPr="00E51346">
              <w:rPr>
                <w:rFonts w:ascii="Times New Roman" w:hAnsi="Times New Roman" w:cs="Times New Roman"/>
                <w:sz w:val="24"/>
                <w:szCs w:val="24"/>
              </w:rPr>
              <w:t>). Membatalkan Persetujuan Lingkungan di ranah peradilan teknokratis jauh lebih kompleks, memakan waktu, dan kurang memberikan efek kejut atau tekanan pemaksaan (</w:t>
            </w:r>
            <w:r w:rsidRPr="00E51346">
              <w:rPr>
                <w:rFonts w:ascii="Times New Roman" w:hAnsi="Times New Roman" w:cs="Times New Roman"/>
                <w:i/>
                <w:iCs/>
                <w:sz w:val="24"/>
                <w:szCs w:val="24"/>
              </w:rPr>
              <w:t>lack of coercive teeth</w:t>
            </w:r>
            <w:r w:rsidRPr="00E51346">
              <w:rPr>
                <w:rFonts w:ascii="Times New Roman" w:hAnsi="Times New Roman" w:cs="Times New Roman"/>
                <w:sz w:val="24"/>
                <w:szCs w:val="24"/>
              </w:rPr>
              <w:t xml:space="preserve">) dibandingkan membatalkan lisensi usaha secara keseluruhan. Hal ini </w:t>
            </w:r>
            <w:r w:rsidRPr="00E51346">
              <w:rPr>
                <w:rFonts w:ascii="Times New Roman" w:hAnsi="Times New Roman" w:cs="Times New Roman"/>
                <w:sz w:val="24"/>
                <w:szCs w:val="24"/>
              </w:rPr>
              <w:lastRenderedPageBreak/>
              <w:t>menyempurnakan benteng perlindungan administratif guna memastikan iklim kemudahan berusaha (</w:t>
            </w:r>
            <w:r w:rsidRPr="00E51346">
              <w:rPr>
                <w:rFonts w:ascii="Times New Roman" w:hAnsi="Times New Roman" w:cs="Times New Roman"/>
                <w:i/>
                <w:iCs/>
                <w:sz w:val="24"/>
                <w:szCs w:val="24"/>
              </w:rPr>
              <w:t>ease of doing business</w:t>
            </w:r>
            <w:r w:rsidRPr="00E51346">
              <w:rPr>
                <w:rFonts w:ascii="Times New Roman" w:hAnsi="Times New Roman" w:cs="Times New Roman"/>
                <w:sz w:val="24"/>
                <w:szCs w:val="24"/>
              </w:rPr>
              <w:t>) tidak terganggu oleh gugatan-gugatan dari komunitas adat maupun masyarakat sipil.</w:t>
            </w:r>
          </w:p>
        </w:tc>
      </w:tr>
      <w:tr w:rsidR="00E51346" w:rsidRPr="00E51346" w14:paraId="1EE8F0AE" w14:textId="77777777" w:rsidTr="00E51346">
        <w:tc>
          <w:tcPr>
            <w:tcW w:w="1696" w:type="dxa"/>
            <w:hideMark/>
          </w:tcPr>
          <w:p w14:paraId="5E013138"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lastRenderedPageBreak/>
              <w:t>Pasal 109 (Transformasi Pemidanaan Administratif)</w:t>
            </w:r>
          </w:p>
        </w:tc>
        <w:tc>
          <w:tcPr>
            <w:tcW w:w="2134" w:type="dxa"/>
            <w:hideMark/>
          </w:tcPr>
          <w:p w14:paraId="6ECA130C"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Setiap orang yang melakukan usaha dan/atau kegiatan tanpa memiliki </w:t>
            </w:r>
            <w:r w:rsidRPr="00E51346">
              <w:rPr>
                <w:rFonts w:ascii="Times New Roman" w:hAnsi="Times New Roman" w:cs="Times New Roman"/>
                <w:b/>
                <w:bCs/>
                <w:sz w:val="24"/>
                <w:szCs w:val="24"/>
              </w:rPr>
              <w:t>izin lingkungan</w:t>
            </w:r>
            <w:r w:rsidRPr="00E51346">
              <w:rPr>
                <w:rFonts w:ascii="Times New Roman" w:hAnsi="Times New Roman" w:cs="Times New Roman"/>
                <w:sz w:val="24"/>
                <w:szCs w:val="24"/>
              </w:rPr>
              <w:t xml:space="preserve"> sebagaimana dimaksud dalam Pasal 36 ayat (1), dipidana dengan pidana penjara paling singkat 1 (satu) tahun dan paling lama 3 (tiga) tahun dan denda paling sedikit Rp1.000.000.000,00 dan paling banyak Rp3.000.000.000,00.</w:t>
            </w:r>
          </w:p>
        </w:tc>
        <w:tc>
          <w:tcPr>
            <w:tcW w:w="2969" w:type="dxa"/>
            <w:hideMark/>
          </w:tcPr>
          <w:p w14:paraId="5949AE2A"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sz w:val="24"/>
                <w:szCs w:val="24"/>
              </w:rPr>
              <w:t xml:space="preserve">Setiap orang yang melakukan usaha dan/atau kegiatan tanpa memiliki </w:t>
            </w:r>
            <w:r w:rsidRPr="00E51346">
              <w:rPr>
                <w:rFonts w:ascii="Times New Roman" w:hAnsi="Times New Roman" w:cs="Times New Roman"/>
                <w:b/>
                <w:bCs/>
                <w:sz w:val="24"/>
                <w:szCs w:val="24"/>
              </w:rPr>
              <w:t>Perizinan Berusaha</w:t>
            </w:r>
            <w:r w:rsidRPr="00E51346">
              <w:rPr>
                <w:rFonts w:ascii="Times New Roman" w:hAnsi="Times New Roman" w:cs="Times New Roman"/>
                <w:sz w:val="24"/>
                <w:szCs w:val="24"/>
              </w:rPr>
              <w:t xml:space="preserve"> atau persetujuan Pemerintah Pusat atau Pemerintah Daerah, dipidana dengan pidana penjara paling singkat 1 (satu) tahun dan paling lama 3 (tiga) tahun dan denda paling sedikit Rp1.000.000.000,00 dan paling banyak Rp3.000.000.000,00.</w:t>
            </w:r>
          </w:p>
        </w:tc>
        <w:tc>
          <w:tcPr>
            <w:tcW w:w="2367" w:type="dxa"/>
            <w:hideMark/>
          </w:tcPr>
          <w:p w14:paraId="7AAB765E" w14:textId="77777777" w:rsidR="00E51346" w:rsidRPr="00E51346" w:rsidRDefault="00E51346" w:rsidP="00E51346">
            <w:pPr>
              <w:spacing w:after="160" w:line="360" w:lineRule="auto"/>
              <w:rPr>
                <w:rFonts w:ascii="Times New Roman" w:hAnsi="Times New Roman" w:cs="Times New Roman"/>
                <w:sz w:val="24"/>
                <w:szCs w:val="24"/>
              </w:rPr>
            </w:pPr>
            <w:r w:rsidRPr="00E51346">
              <w:rPr>
                <w:rFonts w:ascii="Times New Roman" w:hAnsi="Times New Roman" w:cs="Times New Roman"/>
                <w:b/>
                <w:bCs/>
                <w:sz w:val="24"/>
                <w:szCs w:val="24"/>
              </w:rPr>
              <w:t xml:space="preserve">Manifestasi Doktrin </w:t>
            </w:r>
            <w:r w:rsidRPr="00E51346">
              <w:rPr>
                <w:rFonts w:ascii="Times New Roman" w:hAnsi="Times New Roman" w:cs="Times New Roman"/>
                <w:b/>
                <w:bCs/>
                <w:i/>
                <w:iCs/>
                <w:sz w:val="24"/>
                <w:szCs w:val="24"/>
              </w:rPr>
              <w:t>Ultimum Remedium</w:t>
            </w:r>
            <w:r w:rsidRPr="00E51346">
              <w:rPr>
                <w:rFonts w:ascii="Times New Roman" w:hAnsi="Times New Roman" w:cs="Times New Roman"/>
                <w:b/>
                <w:bCs/>
                <w:sz w:val="24"/>
                <w:szCs w:val="24"/>
              </w:rPr>
              <w:t xml:space="preserve"> dan Depenalisasi Tersembunyi:</w:t>
            </w:r>
            <w:r w:rsidRPr="00E51346">
              <w:rPr>
                <w:rFonts w:ascii="Times New Roman" w:hAnsi="Times New Roman" w:cs="Times New Roman"/>
                <w:sz w:val="24"/>
                <w:szCs w:val="24"/>
              </w:rPr>
              <w:t xml:space="preserve"> Jika kita hanya membaca sanksi kurungan (1-3 tahun) dan angka dendanya (Rp 1-3 Miliar), sekilas tampak tidak ada perubahan esensial selain sinkronisasi terminologi "Izin Lingkungan" menjadi "Perizinan Berusaha". Namun, ilusi legislatif ini baru terungkap ketika pasal pidana ini ditafsirkan bersamaan dengan norma-norma transisi </w:t>
            </w:r>
            <w:r w:rsidRPr="00E51346">
              <w:rPr>
                <w:rFonts w:ascii="Times New Roman" w:hAnsi="Times New Roman" w:cs="Times New Roman"/>
                <w:sz w:val="24"/>
                <w:szCs w:val="24"/>
              </w:rPr>
              <w:lastRenderedPageBreak/>
              <w:t xml:space="preserve">pada klaster Sanksi Administratif UU Cipta Kerja (Pasal 76 dan seterusnya, beserta ketentuan turunannya). Terdapat pergeseran rezim penegakan hukum dari mazhab </w:t>
            </w:r>
            <w:r w:rsidRPr="00E51346">
              <w:rPr>
                <w:rFonts w:ascii="Times New Roman" w:hAnsi="Times New Roman" w:cs="Times New Roman"/>
                <w:i/>
                <w:iCs/>
                <w:sz w:val="24"/>
                <w:szCs w:val="24"/>
              </w:rPr>
              <w:t>Primum Remedium</w:t>
            </w:r>
            <w:r w:rsidRPr="00E51346">
              <w:rPr>
                <w:rFonts w:ascii="Times New Roman" w:hAnsi="Times New Roman" w:cs="Times New Roman"/>
                <w:sz w:val="24"/>
                <w:szCs w:val="24"/>
              </w:rPr>
              <w:t xml:space="preserve"> (di mana instrumen pemenjaraan hukum pidana menjadi senjata pertama yang digunakan untuk menindak kejahatan lingkungan massal), menjadi sangat mutlak bersandar pada </w:t>
            </w:r>
            <w:r w:rsidRPr="00E51346">
              <w:rPr>
                <w:rFonts w:ascii="Times New Roman" w:hAnsi="Times New Roman" w:cs="Times New Roman"/>
                <w:i/>
                <w:iCs/>
                <w:sz w:val="24"/>
                <w:szCs w:val="24"/>
              </w:rPr>
              <w:t>Ultimum Remedium</w:t>
            </w:r>
            <w:r w:rsidRPr="00E51346">
              <w:rPr>
                <w:rFonts w:ascii="Times New Roman" w:hAnsi="Times New Roman" w:cs="Times New Roman"/>
                <w:sz w:val="24"/>
                <w:szCs w:val="24"/>
              </w:rPr>
              <w:t xml:space="preserve"> (hukum pidana dijadikan palu terakhir yang hanya diketuk jika semua opsi lain gagal). Berdasarkan prinsip keterlanjuran (</w:t>
            </w:r>
            <w:r w:rsidRPr="00E51346">
              <w:rPr>
                <w:rFonts w:ascii="Times New Roman" w:hAnsi="Times New Roman" w:cs="Times New Roman"/>
                <w:i/>
                <w:iCs/>
                <w:sz w:val="24"/>
                <w:szCs w:val="24"/>
              </w:rPr>
              <w:t>omnibus principle of compliance</w:t>
            </w:r>
            <w:r w:rsidRPr="00E51346">
              <w:rPr>
                <w:rFonts w:ascii="Times New Roman" w:hAnsi="Times New Roman" w:cs="Times New Roman"/>
                <w:sz w:val="24"/>
                <w:szCs w:val="24"/>
              </w:rPr>
              <w:t xml:space="preserve">), jika hari ini ditemukan sebuah tambang raksasa beroperasi di dalam kawasan hutan negara </w:t>
            </w:r>
            <w:r w:rsidRPr="00E51346">
              <w:rPr>
                <w:rFonts w:ascii="Times New Roman" w:hAnsi="Times New Roman" w:cs="Times New Roman"/>
                <w:sz w:val="24"/>
                <w:szCs w:val="24"/>
              </w:rPr>
              <w:lastRenderedPageBreak/>
              <w:t xml:space="preserve">tanpa izin selama bertahun-tahun, negara tidak akan seketika menangkap dan memenjarakan </w:t>
            </w:r>
            <w:r w:rsidRPr="00E51346">
              <w:rPr>
                <w:rFonts w:ascii="Times New Roman" w:hAnsi="Times New Roman" w:cs="Times New Roman"/>
                <w:i/>
                <w:iCs/>
                <w:sz w:val="24"/>
                <w:szCs w:val="24"/>
              </w:rPr>
              <w:t>Chief Executive Officer</w:t>
            </w:r>
            <w:r w:rsidRPr="00E51346">
              <w:rPr>
                <w:rFonts w:ascii="Times New Roman" w:hAnsi="Times New Roman" w:cs="Times New Roman"/>
                <w:sz w:val="24"/>
                <w:szCs w:val="24"/>
              </w:rPr>
              <w:t xml:space="preserve"> (CEO) atau dewan direksinya. Sebaliknya, korporasi pelanggar tersebut akan "diampuni" atau diberi waktu transisi untuk memperbaiki dokumen pelaporan kerjanya dan diwajibkan membayar denda administratif yang disesuaikan (</w:t>
            </w:r>
            <w:r w:rsidRPr="00E51346">
              <w:rPr>
                <w:rFonts w:ascii="Times New Roman" w:hAnsi="Times New Roman" w:cs="Times New Roman"/>
                <w:i/>
                <w:iCs/>
                <w:sz w:val="24"/>
                <w:szCs w:val="24"/>
              </w:rPr>
              <w:t>Administrative Settlement</w:t>
            </w:r>
            <w:r w:rsidRPr="00E51346">
              <w:rPr>
                <w:rFonts w:ascii="Times New Roman" w:hAnsi="Times New Roman" w:cs="Times New Roman"/>
                <w:sz w:val="24"/>
                <w:szCs w:val="24"/>
              </w:rPr>
              <w:t xml:space="preserve">). Negara berpandangan bahwa memenjarakan para pebisnis elite justru akan menciptakan sentimen negatif pada pasar modal, ketakutan investor asing, dan instabilitas makroekonomi, sehingga penyelesaian di luar jalur pro-justitia (melalui </w:t>
            </w:r>
            <w:r w:rsidRPr="00E51346">
              <w:rPr>
                <w:rFonts w:ascii="Times New Roman" w:hAnsi="Times New Roman" w:cs="Times New Roman"/>
                <w:i/>
                <w:iCs/>
                <w:sz w:val="24"/>
                <w:szCs w:val="24"/>
              </w:rPr>
              <w:t>denda</w:t>
            </w:r>
            <w:r w:rsidRPr="00E51346">
              <w:rPr>
                <w:rFonts w:ascii="Times New Roman" w:hAnsi="Times New Roman" w:cs="Times New Roman"/>
                <w:sz w:val="24"/>
                <w:szCs w:val="24"/>
              </w:rPr>
              <w:t xml:space="preserve"> dan </w:t>
            </w:r>
            <w:r w:rsidRPr="00E51346">
              <w:rPr>
                <w:rFonts w:ascii="Times New Roman" w:hAnsi="Times New Roman" w:cs="Times New Roman"/>
                <w:sz w:val="24"/>
                <w:szCs w:val="24"/>
              </w:rPr>
              <w:lastRenderedPageBreak/>
              <w:t>perbaikan izin) dikedepankan demi stabilitas rezim pertumbuhan ekonomi yang berkesinambungan.</w:t>
            </w:r>
          </w:p>
        </w:tc>
      </w:tr>
    </w:tbl>
    <w:p w14:paraId="713404E3" w14:textId="77777777" w:rsidR="00B64CF9" w:rsidRPr="00E51346" w:rsidRDefault="00B64CF9" w:rsidP="00E51346">
      <w:pPr>
        <w:spacing w:line="360" w:lineRule="auto"/>
        <w:rPr>
          <w:rFonts w:ascii="Times New Roman" w:hAnsi="Times New Roman" w:cs="Times New Roman"/>
          <w:sz w:val="24"/>
          <w:szCs w:val="24"/>
        </w:rPr>
      </w:pPr>
    </w:p>
    <w:sectPr w:rsidR="00B64CF9" w:rsidRPr="00E51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C4"/>
    <w:rsid w:val="000D26C4"/>
    <w:rsid w:val="006A2761"/>
    <w:rsid w:val="007E473C"/>
    <w:rsid w:val="008733ED"/>
    <w:rsid w:val="008C5908"/>
    <w:rsid w:val="00B12109"/>
    <w:rsid w:val="00B64CF9"/>
    <w:rsid w:val="00C04EBD"/>
    <w:rsid w:val="00CC073C"/>
    <w:rsid w:val="00E513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9264"/>
  <w15:chartTrackingRefBased/>
  <w15:docId w15:val="{D07AD7BE-552C-4606-AF0E-132BA36C5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2109"/>
    <w:pPr>
      <w:keepNext/>
      <w:keepLines/>
      <w:spacing w:before="40" w:after="0"/>
      <w:ind w:left="72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0D2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2109"/>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0D26C4"/>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0D2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6C4"/>
    <w:rPr>
      <w:rFonts w:eastAsiaTheme="majorEastAsia" w:cstheme="majorBidi"/>
      <w:color w:val="272727" w:themeColor="text1" w:themeTint="D8"/>
    </w:rPr>
  </w:style>
  <w:style w:type="paragraph" w:styleId="Title">
    <w:name w:val="Title"/>
    <w:basedOn w:val="Normal"/>
    <w:next w:val="Normal"/>
    <w:link w:val="TitleChar"/>
    <w:uiPriority w:val="10"/>
    <w:qFormat/>
    <w:rsid w:val="000D2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6C4"/>
    <w:pPr>
      <w:spacing w:before="160"/>
      <w:jc w:val="center"/>
    </w:pPr>
    <w:rPr>
      <w:i/>
      <w:iCs/>
      <w:color w:val="404040" w:themeColor="text1" w:themeTint="BF"/>
    </w:rPr>
  </w:style>
  <w:style w:type="character" w:customStyle="1" w:styleId="QuoteChar">
    <w:name w:val="Quote Char"/>
    <w:basedOn w:val="DefaultParagraphFont"/>
    <w:link w:val="Quote"/>
    <w:uiPriority w:val="29"/>
    <w:rsid w:val="000D26C4"/>
    <w:rPr>
      <w:i/>
      <w:iCs/>
      <w:color w:val="404040" w:themeColor="text1" w:themeTint="BF"/>
    </w:rPr>
  </w:style>
  <w:style w:type="paragraph" w:styleId="ListParagraph">
    <w:name w:val="List Paragraph"/>
    <w:basedOn w:val="Normal"/>
    <w:uiPriority w:val="34"/>
    <w:qFormat/>
    <w:rsid w:val="000D26C4"/>
    <w:pPr>
      <w:ind w:left="720"/>
      <w:contextualSpacing/>
    </w:pPr>
  </w:style>
  <w:style w:type="character" w:styleId="IntenseEmphasis">
    <w:name w:val="Intense Emphasis"/>
    <w:basedOn w:val="DefaultParagraphFont"/>
    <w:uiPriority w:val="21"/>
    <w:qFormat/>
    <w:rsid w:val="000D26C4"/>
    <w:rPr>
      <w:i/>
      <w:iCs/>
      <w:color w:val="2F5496" w:themeColor="accent1" w:themeShade="BF"/>
    </w:rPr>
  </w:style>
  <w:style w:type="paragraph" w:styleId="IntenseQuote">
    <w:name w:val="Intense Quote"/>
    <w:basedOn w:val="Normal"/>
    <w:next w:val="Normal"/>
    <w:link w:val="IntenseQuoteChar"/>
    <w:uiPriority w:val="30"/>
    <w:qFormat/>
    <w:rsid w:val="000D2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6C4"/>
    <w:rPr>
      <w:i/>
      <w:iCs/>
      <w:color w:val="2F5496" w:themeColor="accent1" w:themeShade="BF"/>
    </w:rPr>
  </w:style>
  <w:style w:type="character" w:styleId="IntenseReference">
    <w:name w:val="Intense Reference"/>
    <w:basedOn w:val="DefaultParagraphFont"/>
    <w:uiPriority w:val="32"/>
    <w:qFormat/>
    <w:rsid w:val="000D26C4"/>
    <w:rPr>
      <w:b/>
      <w:bCs/>
      <w:smallCaps/>
      <w:color w:val="2F5496" w:themeColor="accent1" w:themeShade="BF"/>
      <w:spacing w:val="5"/>
    </w:rPr>
  </w:style>
  <w:style w:type="paragraph" w:styleId="NormalWeb">
    <w:name w:val="Normal (Web)"/>
    <w:basedOn w:val="Normal"/>
    <w:uiPriority w:val="99"/>
    <w:semiHidden/>
    <w:unhideWhenUsed/>
    <w:rsid w:val="000D26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0D26C4"/>
    <w:rPr>
      <w:b/>
      <w:bCs/>
    </w:rPr>
  </w:style>
  <w:style w:type="character" w:styleId="Emphasis">
    <w:name w:val="Emphasis"/>
    <w:basedOn w:val="DefaultParagraphFont"/>
    <w:uiPriority w:val="20"/>
    <w:qFormat/>
    <w:rsid w:val="000D26C4"/>
    <w:rPr>
      <w:i/>
      <w:iCs/>
    </w:rPr>
  </w:style>
  <w:style w:type="table" w:styleId="TableGrid">
    <w:name w:val="Table Grid"/>
    <w:basedOn w:val="TableNormal"/>
    <w:uiPriority w:val="39"/>
    <w:rsid w:val="000D2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8A5AB571280647BAB278488C5224C5" ma:contentTypeVersion="5" ma:contentTypeDescription="Create a new document." ma:contentTypeScope="" ma:versionID="1c3543a193f1b1e48179e8c214c0d1ea">
  <xsd:schema xmlns:xsd="http://www.w3.org/2001/XMLSchema" xmlns:xs="http://www.w3.org/2001/XMLSchema" xmlns:p="http://schemas.microsoft.com/office/2006/metadata/properties" xmlns:ns3="95a2bbc2-51fc-4706-b139-19ab80f510cf" targetNamespace="http://schemas.microsoft.com/office/2006/metadata/properties" ma:root="true" ma:fieldsID="871b7715f90d3ae3c1097f76352a1654" ns3:_="">
    <xsd:import namespace="95a2bbc2-51fc-4706-b139-19ab80f510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2bbc2-51fc-4706-b139-19ab80f510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6E4F8C-8040-4E82-8957-C5C02A7773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2bbc2-51fc-4706-b139-19ab80f51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3F7043-58DA-43FE-BF2C-EC0E8F368A24}">
  <ds:schemaRefs>
    <ds:schemaRef ds:uri="http://schemas.microsoft.com/sharepoint/v3/contenttype/forms"/>
  </ds:schemaRefs>
</ds:datastoreItem>
</file>

<file path=customXml/itemProps3.xml><?xml version="1.0" encoding="utf-8"?>
<ds:datastoreItem xmlns:ds="http://schemas.openxmlformats.org/officeDocument/2006/customXml" ds:itemID="{E424692F-C2C4-446E-890A-E98E147CA4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3149</Words>
  <Characters>17951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 Hidayat</dc:creator>
  <cp:keywords/>
  <dc:description/>
  <cp:lastModifiedBy>Aldi Hidayat</cp:lastModifiedBy>
  <cp:revision>2</cp:revision>
  <cp:lastPrinted>2026-04-05T17:00:00Z</cp:lastPrinted>
  <dcterms:created xsi:type="dcterms:W3CDTF">2026-04-05T17:08:00Z</dcterms:created>
  <dcterms:modified xsi:type="dcterms:W3CDTF">2026-04-05T17:08:00Z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0x010100118A5AB571280647BAB278488C5224C5</vt:lpwstr>
  </property>
</Properties>
</file>