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70E7F" w14:textId="77777777" w:rsidR="003C4FD0" w:rsidRDefault="00EB35FC" w:rsidP="003C4FD0">
      <w:pPr>
        <w:pStyle w:val="Caption"/>
        <w:keepNext/>
        <w:rPr>
          <w:b/>
          <w:i w:val="0"/>
          <w:color w:val="auto"/>
          <w:sz w:val="24"/>
        </w:rPr>
      </w:pPr>
      <w:bookmarkStart w:id="1" w:name="_Toc490237257"/>
      <w:r>
        <w:rPr>
          <w:b/>
          <w:i w:val="0"/>
          <w:color w:val="auto"/>
          <w:sz w:val="24"/>
        </w:rPr>
        <w:t>Appendix 6</w:t>
      </w:r>
      <w:bookmarkStart w:id="2" w:name="_GoBack"/>
      <w:bookmarkEnd w:id="2"/>
      <w:r w:rsidR="003C4FD0" w:rsidRPr="003C4FD0">
        <w:rPr>
          <w:b/>
          <w:i w:val="0"/>
          <w:color w:val="auto"/>
          <w:sz w:val="24"/>
        </w:rPr>
        <w:t xml:space="preserve"> –</w:t>
      </w:r>
      <w:r w:rsidR="003C4FD0">
        <w:rPr>
          <w:b/>
          <w:i w:val="0"/>
          <w:sz w:val="24"/>
        </w:rPr>
        <w:t xml:space="preserve"> </w:t>
      </w:r>
      <w:r w:rsidR="003C4FD0" w:rsidRPr="00440800">
        <w:rPr>
          <w:b/>
          <w:i w:val="0"/>
          <w:color w:val="auto"/>
          <w:sz w:val="24"/>
        </w:rPr>
        <w:t>SCALANCE W700-Specific SNMPv1 Trap</w:t>
      </w:r>
      <w:bookmarkEnd w:id="1"/>
    </w:p>
    <w:p w14:paraId="31B3F042" w14:textId="77777777" w:rsidR="00FD006E" w:rsidRPr="00FD006E" w:rsidRDefault="00FD006E" w:rsidP="00FD006E">
      <w:r>
        <w:t xml:space="preserve">All of alarms listed on the table below are applied on both Wayside and Rolling Stock Access Point. 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1197"/>
        <w:gridCol w:w="4497"/>
        <w:gridCol w:w="8247"/>
      </w:tblGrid>
      <w:tr w:rsidR="002873F3" w:rsidRPr="000B0686" w14:paraId="5E90B0CB" w14:textId="77777777" w:rsidTr="00FD006E">
        <w:trPr>
          <w:trHeight w:val="502"/>
          <w:tblHeader/>
        </w:trPr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</w:tcPr>
          <w:p w14:paraId="5F14F0D0" w14:textId="77777777" w:rsidR="002873F3" w:rsidRPr="000B0686" w:rsidRDefault="00BC65FD" w:rsidP="007E702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Alarm </w:t>
            </w:r>
            <w:r w:rsidR="002873F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67376D" w14:textId="77777777" w:rsidR="002873F3" w:rsidRPr="00DF0B4C" w:rsidRDefault="002873F3" w:rsidP="007E702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B068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IOD Object</w:t>
            </w:r>
          </w:p>
        </w:tc>
        <w:tc>
          <w:tcPr>
            <w:tcW w:w="29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C61E99" w14:textId="77777777" w:rsidR="002873F3" w:rsidRPr="00DF0B4C" w:rsidRDefault="002873F3" w:rsidP="007E702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</w:tr>
      <w:tr w:rsidR="002873F3" w:rsidRPr="000B0686" w14:paraId="3803F337" w14:textId="77777777" w:rsidTr="002873F3">
        <w:trPr>
          <w:trHeight w:val="315"/>
        </w:trPr>
        <w:tc>
          <w:tcPr>
            <w:tcW w:w="42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B3415" w14:textId="77777777" w:rsidR="002873F3" w:rsidRPr="00DF0B4C" w:rsidRDefault="002873F3" w:rsidP="002873F3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Urgent</w:t>
            </w: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A0FC0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snScalanceWAuthFailure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17FC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Authentication failure in WEB, CLI or if the IP Address is not in the Access Filter</w:t>
            </w:r>
          </w:p>
        </w:tc>
      </w:tr>
      <w:tr w:rsidR="002873F3" w:rsidRPr="000B0686" w14:paraId="3107E010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966890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61F26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snScalanceWPowerLineDown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5CF8C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Power down on line &lt;L1-supply/PoE&gt;</w:t>
            </w:r>
          </w:p>
        </w:tc>
      </w:tr>
      <w:tr w:rsidR="002873F3" w:rsidRPr="000B0686" w14:paraId="06EF8F13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2B941E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0643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snScalanceWLinkCheckOff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2F722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Link Check for some MAC is down.</w:t>
            </w:r>
          </w:p>
        </w:tc>
      </w:tr>
      <w:tr w:rsidR="002873F3" w:rsidRPr="000B0686" w14:paraId="45F5B68B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507677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D78CD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snScalanceWiPCFPNIOmaxSTAs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03032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iPCF Mode: Max. PNIO Cycle Time exceeded.</w:t>
            </w:r>
          </w:p>
        </w:tc>
      </w:tr>
      <w:tr w:rsidR="002873F3" w:rsidRPr="000B0686" w14:paraId="31B0F98A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68DE2A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FF223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 xml:space="preserve">snScalanceWiPCFPNIOCycleTime 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EC61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iPCF Mode: Number of Wireless Clients too big for the Cycle time.</w:t>
            </w:r>
          </w:p>
        </w:tc>
      </w:tr>
      <w:tr w:rsidR="002873F3" w:rsidRPr="000B0686" w14:paraId="492A3E29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61F4BA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67C5A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snScalanceWiPCFPNIOCPollSize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8168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iPCF Mode: Maximum size of PNIO cyclic poll frame exceeded.</w:t>
            </w:r>
          </w:p>
        </w:tc>
      </w:tr>
      <w:tr w:rsidR="002873F3" w:rsidRPr="000B0686" w14:paraId="2CCE774B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9F7A64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743D1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</w:t>
            </w:r>
            <w:r w:rsidRPr="000B0686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anceWForcedRoamingVapStateChange</w:t>
            </w: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17B92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Forced Roaming on IP down: State of Virtual AP changed</w:t>
            </w:r>
          </w:p>
        </w:tc>
      </w:tr>
      <w:tr w:rsidR="002873F3" w:rsidRPr="000B0686" w14:paraId="2F217DD9" w14:textId="77777777" w:rsidTr="002873F3">
        <w:trPr>
          <w:trHeight w:val="315"/>
        </w:trPr>
        <w:tc>
          <w:tcPr>
            <w:tcW w:w="42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3376A" w14:textId="77777777" w:rsidR="002873F3" w:rsidRPr="00DF0B4C" w:rsidRDefault="002873F3" w:rsidP="002873F3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195B4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snScalanceWRedundancy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8FD11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If some redundancy event occurs, this event will be sent.</w:t>
            </w:r>
          </w:p>
        </w:tc>
      </w:tr>
      <w:tr w:rsidR="002873F3" w:rsidRPr="000B0686" w14:paraId="727E3A95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E5AD4C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10AE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snScalanceWIpAliveOff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569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Timeout or some error on the IP-Alive observed connection.</w:t>
            </w:r>
          </w:p>
        </w:tc>
      </w:tr>
      <w:tr w:rsidR="002873F3" w:rsidRPr="000B0686" w14:paraId="0A232759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A643B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42040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snScalanceWRadarDetect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5F19E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Radar interference detected on current channel.</w:t>
            </w:r>
          </w:p>
        </w:tc>
      </w:tr>
      <w:tr w:rsidR="002873F3" w:rsidRPr="000B0686" w14:paraId="7C72F20E" w14:textId="77777777" w:rsidTr="002873F3">
        <w:trPr>
          <w:trHeight w:val="315"/>
        </w:trPr>
        <w:tc>
          <w:tcPr>
            <w:tcW w:w="42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938DC" w14:textId="77777777" w:rsidR="002873F3" w:rsidRPr="00DF0B4C" w:rsidRDefault="002873F3" w:rsidP="002873F3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F3E3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snScalanceWPowerLineUp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2C80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Power up on line &lt;L1-supply/PoE&gt;</w:t>
            </w:r>
          </w:p>
        </w:tc>
      </w:tr>
      <w:tr w:rsidR="002873F3" w:rsidRPr="000B0686" w14:paraId="6A996878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0BCEED5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34303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snScalanceWFault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9791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Device changed fault state.</w:t>
            </w:r>
          </w:p>
        </w:tc>
      </w:tr>
      <w:tr w:rsidR="002873F3" w:rsidRPr="000B0686" w14:paraId="06E760C8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49B8C9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ADCB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snScalanceWIQOS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2161F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iQoS event has risen.</w:t>
            </w:r>
          </w:p>
        </w:tc>
      </w:tr>
      <w:tr w:rsidR="002873F3" w:rsidRPr="000B0686" w14:paraId="3D6BC551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789100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9D9E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snScalanceWLinkCheckOn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E9089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Link Check for some MAC is up.</w:t>
            </w:r>
          </w:p>
        </w:tc>
      </w:tr>
      <w:tr w:rsidR="002873F3" w:rsidRPr="000B0686" w14:paraId="0A73552E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7D7D54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F59A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snScalanceWClientAssociated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3F8FA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Client was successfully associated with AP.</w:t>
            </w:r>
          </w:p>
        </w:tc>
      </w:tr>
      <w:tr w:rsidR="002873F3" w:rsidRPr="000B0686" w14:paraId="1DEE03BC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978EB2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9F2FF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snScalanceWClientDisassociated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DA2F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Client was disassociated with AP.</w:t>
            </w:r>
          </w:p>
        </w:tc>
      </w:tr>
      <w:tr w:rsidR="002873F3" w:rsidRPr="000B0686" w14:paraId="7C55CB46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F1201C9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B6898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snScalanceWIpAliveOn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84A42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IP-Alive observed connection is OK.</w:t>
            </w:r>
          </w:p>
        </w:tc>
      </w:tr>
      <w:tr w:rsidR="002873F3" w:rsidRPr="000B0686" w14:paraId="020BE1AC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2642735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0C996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snScalanceWOverlapAP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25536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Overlap-AP found.</w:t>
            </w:r>
          </w:p>
        </w:tc>
      </w:tr>
      <w:tr w:rsidR="002873F3" w:rsidRPr="000B0686" w14:paraId="5A5E13D3" w14:textId="77777777" w:rsidTr="002873F3">
        <w:trPr>
          <w:trHeight w:val="315"/>
        </w:trPr>
        <w:tc>
          <w:tcPr>
            <w:tcW w:w="42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DD2A13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3E348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snScalanceWWDS</w:t>
            </w:r>
          </w:p>
        </w:tc>
        <w:tc>
          <w:tcPr>
            <w:tcW w:w="2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43D6" w14:textId="77777777" w:rsidR="002873F3" w:rsidRPr="00DF0B4C" w:rsidRDefault="002873F3" w:rsidP="007E702B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DF0B4C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WDS event has risen.</w:t>
            </w:r>
          </w:p>
        </w:tc>
      </w:tr>
    </w:tbl>
    <w:p w14:paraId="662B7080" w14:textId="77777777" w:rsidR="00EA0075" w:rsidRPr="003C4FD0" w:rsidRDefault="003C4FD0" w:rsidP="003C4FD0">
      <w:r>
        <w:lastRenderedPageBreak/>
        <w:t xml:space="preserve">OID Number : </w:t>
      </w:r>
      <w:r w:rsidRPr="0052294E">
        <w:rPr>
          <w:rFonts w:asciiTheme="majorHAnsi" w:hAnsiTheme="majorHAnsi" w:cstheme="majorHAnsi"/>
        </w:rPr>
        <w:t>iso{1}.org{3}.dod{6}.internet{1}.private{4}.enterprise{1}.siemensAD{4196}.adProductMibs{1}.simaticNet{1}.iScalanceW{4}.iScalanceWMib{100}.snProductSpecific{2}.snScalanceWCommon{1}</w:t>
      </w:r>
    </w:p>
    <w:sectPr w:rsidR="00EA0075" w:rsidRPr="003C4FD0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21E9E" w14:textId="77777777" w:rsidR="0019398E" w:rsidRDefault="0019398E" w:rsidP="00EA6A87">
      <w:pPr>
        <w:spacing w:after="0" w:line="240" w:lineRule="auto"/>
      </w:pPr>
      <w:r>
        <w:separator/>
      </w:r>
    </w:p>
  </w:endnote>
  <w:endnote w:type="continuationSeparator" w:id="0">
    <w:p w14:paraId="5711E6C6" w14:textId="77777777" w:rsidR="0019398E" w:rsidRDefault="0019398E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30C97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EF4B629" wp14:editId="3CFD30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5F1D1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4E0AB671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0C05ECE3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6" type="#_x0000_t202" style="position:absolute;left:0;text-align:left;margin-left:0;margin-top:-9pt;width:340.9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Jakarta LRT Project – Corridor 1 (Phase 1):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Kelapa</w:t>
                        </w:r>
                        <w:proofErr w:type="spellEnd"/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</w:t>
                        </w:r>
                        <w:proofErr w:type="spellEnd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–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Velodrome</w:t>
                        </w:r>
                        <w:proofErr w:type="spellEnd"/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849672E" wp14:editId="13082D13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D55324F" id="Straight Connector 37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</w:p>
    </w:sdtContent>
  </w:sdt>
  <w:p w14:paraId="3036D978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471FD" w14:textId="77777777" w:rsidR="0019398E" w:rsidRDefault="0019398E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5C87EF53" w14:textId="77777777" w:rsidR="0019398E" w:rsidRDefault="0019398E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9FBE8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440800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65B81494" wp14:editId="61FA54AB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5FC">
      <w:rPr>
        <w:rFonts w:cs="Arial"/>
        <w:b/>
        <w:sz w:val="18"/>
      </w:rPr>
      <w:t>INTERFACE CONTROL DOCUMENT – TELECOM</w:t>
    </w:r>
    <w:r w:rsidR="00440800" w:rsidRPr="00440800">
      <w:rPr>
        <w:rFonts w:cs="Arial"/>
        <w:b/>
        <w:sz w:val="18"/>
      </w:rPr>
      <w:t xml:space="preserve"> &amp; SCADA</w:t>
    </w:r>
  </w:p>
  <w:p w14:paraId="37F1F595" w14:textId="77777777" w:rsidR="000F340B" w:rsidRPr="00440800" w:rsidRDefault="000F340B" w:rsidP="00CC0703">
    <w:pPr>
      <w:spacing w:after="0" w:line="240" w:lineRule="auto"/>
      <w:rPr>
        <w:rFonts w:cs="Arial"/>
        <w:sz w:val="20"/>
      </w:rPr>
    </w:pPr>
    <w:r w:rsidRPr="00440800">
      <w:rPr>
        <w:rFonts w:cs="Arial"/>
        <w:sz w:val="18"/>
        <w:szCs w:val="28"/>
      </w:rPr>
      <w:t>Doc</w:t>
    </w:r>
    <w:r w:rsidR="005D564B">
      <w:rPr>
        <w:rFonts w:cs="Arial"/>
        <w:sz w:val="18"/>
        <w:szCs w:val="28"/>
      </w:rPr>
      <w:t>. No. WIKA-P102-ALL-440-ICD</w:t>
    </w:r>
    <w:r w:rsidR="008045C0" w:rsidRPr="00440800">
      <w:rPr>
        <w:rFonts w:cs="Arial"/>
        <w:sz w:val="18"/>
        <w:szCs w:val="28"/>
      </w:rPr>
      <w:t>-</w:t>
    </w:r>
    <w:r w:rsidR="00EB35FC">
      <w:rPr>
        <w:rFonts w:cs="Arial"/>
        <w:sz w:val="18"/>
        <w:szCs w:val="28"/>
      </w:rPr>
      <w:t>33400</w:t>
    </w:r>
    <w:r w:rsidRPr="00440800">
      <w:rPr>
        <w:rFonts w:cs="Arial"/>
        <w:sz w:val="18"/>
        <w:szCs w:val="28"/>
      </w:rPr>
      <w:t>-DOC</w:t>
    </w:r>
  </w:p>
  <w:p w14:paraId="58672A2C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8F1B55" wp14:editId="1C186559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62B33" id="Straight Connector 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398E"/>
    <w:rsid w:val="001961EA"/>
    <w:rsid w:val="001A7EE8"/>
    <w:rsid w:val="001B1276"/>
    <w:rsid w:val="001C7673"/>
    <w:rsid w:val="001E7793"/>
    <w:rsid w:val="001F262C"/>
    <w:rsid w:val="00202C91"/>
    <w:rsid w:val="00206EE5"/>
    <w:rsid w:val="00216F10"/>
    <w:rsid w:val="00246B9E"/>
    <w:rsid w:val="00261883"/>
    <w:rsid w:val="002712B2"/>
    <w:rsid w:val="00273C7B"/>
    <w:rsid w:val="002873F3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C4FD0"/>
    <w:rsid w:val="003D3935"/>
    <w:rsid w:val="003D73E3"/>
    <w:rsid w:val="003E5B18"/>
    <w:rsid w:val="00420E25"/>
    <w:rsid w:val="00425016"/>
    <w:rsid w:val="004253EC"/>
    <w:rsid w:val="00433B6A"/>
    <w:rsid w:val="0043542C"/>
    <w:rsid w:val="00440800"/>
    <w:rsid w:val="00440FEE"/>
    <w:rsid w:val="00456B2B"/>
    <w:rsid w:val="00474736"/>
    <w:rsid w:val="00474D9C"/>
    <w:rsid w:val="00487A32"/>
    <w:rsid w:val="00494CE2"/>
    <w:rsid w:val="004A2D00"/>
    <w:rsid w:val="004A3606"/>
    <w:rsid w:val="004A5A1A"/>
    <w:rsid w:val="004A7FF5"/>
    <w:rsid w:val="004B4FAC"/>
    <w:rsid w:val="004D390A"/>
    <w:rsid w:val="004D74E3"/>
    <w:rsid w:val="00545B6B"/>
    <w:rsid w:val="00552547"/>
    <w:rsid w:val="005708A0"/>
    <w:rsid w:val="005727F4"/>
    <w:rsid w:val="005742D3"/>
    <w:rsid w:val="005760D0"/>
    <w:rsid w:val="00583CD2"/>
    <w:rsid w:val="005A1588"/>
    <w:rsid w:val="005A7D4D"/>
    <w:rsid w:val="005B734C"/>
    <w:rsid w:val="005C1538"/>
    <w:rsid w:val="005D564B"/>
    <w:rsid w:val="00615414"/>
    <w:rsid w:val="00620C1F"/>
    <w:rsid w:val="0063292B"/>
    <w:rsid w:val="00652225"/>
    <w:rsid w:val="00661B0C"/>
    <w:rsid w:val="006811CE"/>
    <w:rsid w:val="00681F9B"/>
    <w:rsid w:val="006827F5"/>
    <w:rsid w:val="006C4CA3"/>
    <w:rsid w:val="006D7401"/>
    <w:rsid w:val="006E05D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E702B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51DA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9E4F91"/>
    <w:rsid w:val="00A15523"/>
    <w:rsid w:val="00A2173C"/>
    <w:rsid w:val="00A219B4"/>
    <w:rsid w:val="00A22F62"/>
    <w:rsid w:val="00A70FA8"/>
    <w:rsid w:val="00AA170C"/>
    <w:rsid w:val="00AA6942"/>
    <w:rsid w:val="00AE432B"/>
    <w:rsid w:val="00AF0585"/>
    <w:rsid w:val="00AF7B27"/>
    <w:rsid w:val="00B0797B"/>
    <w:rsid w:val="00B22783"/>
    <w:rsid w:val="00B23EF4"/>
    <w:rsid w:val="00B3455C"/>
    <w:rsid w:val="00B62709"/>
    <w:rsid w:val="00B64EC9"/>
    <w:rsid w:val="00B70E35"/>
    <w:rsid w:val="00B73A3A"/>
    <w:rsid w:val="00BC65FD"/>
    <w:rsid w:val="00BD67E0"/>
    <w:rsid w:val="00C05201"/>
    <w:rsid w:val="00C20E8C"/>
    <w:rsid w:val="00C43C85"/>
    <w:rsid w:val="00C60ED8"/>
    <w:rsid w:val="00C65F33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29E3"/>
    <w:rsid w:val="00DA6BC2"/>
    <w:rsid w:val="00DA7A54"/>
    <w:rsid w:val="00DB1AAA"/>
    <w:rsid w:val="00DB3CDC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35FC"/>
    <w:rsid w:val="00EB5356"/>
    <w:rsid w:val="00EC20A5"/>
    <w:rsid w:val="00ED4AEA"/>
    <w:rsid w:val="00ED6570"/>
    <w:rsid w:val="00EF34E5"/>
    <w:rsid w:val="00F07D66"/>
    <w:rsid w:val="00F3030F"/>
    <w:rsid w:val="00F362FD"/>
    <w:rsid w:val="00F56D24"/>
    <w:rsid w:val="00F9246D"/>
    <w:rsid w:val="00FB3547"/>
    <w:rsid w:val="00FB4A4A"/>
    <w:rsid w:val="00FD006E"/>
    <w:rsid w:val="00FD73E7"/>
    <w:rsid w:val="00FF3558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CED85C"/>
  <w15:chartTrackingRefBased/>
  <w15:docId w15:val="{CA7D60FD-8008-4A69-9D77-E5F85DDA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  <w:style w:type="paragraph" w:styleId="NormalWeb">
    <w:name w:val="Normal (Web)"/>
    <w:basedOn w:val="Normal"/>
    <w:uiPriority w:val="99"/>
    <w:semiHidden/>
    <w:unhideWhenUsed/>
    <w:rsid w:val="00FF67A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6C2F-B957-D04F-9E18-EFFE9718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4</cp:revision>
  <cp:lastPrinted>2017-04-21T12:32:00Z</cp:lastPrinted>
  <dcterms:created xsi:type="dcterms:W3CDTF">2017-08-29T03:53:00Z</dcterms:created>
  <dcterms:modified xsi:type="dcterms:W3CDTF">2017-12-13T03:36:00Z</dcterms:modified>
</cp:coreProperties>
</file>