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A2240"/>
          <w:sz w:val="36"/>
        </w:rPr>
        <w:t>Memo Analisis Importasi Komponen Elektronik</w:t>
      </w:r>
    </w:p>
    <w:p>
      <w:pPr>
        <w:jc w:val="center"/>
      </w:pPr>
      <w:r>
        <w:rPr>
          <w:rFonts w:ascii="Arial" w:hAnsi="Arial"/>
          <w:color w:val="506078"/>
          <w:sz w:val="20"/>
        </w:rPr>
        <w:t>Jawaban Assignment - Perdagangan Internasional dan Kerangka Dasar Kepabeanan DJBC</w:t>
      </w:r>
    </w:p>
    <w:tbl>
      <w:tblPr>
        <w:tblW w:type="auto" w:w="0"/>
        <w:jc w:val="center"/>
        <w:tblLook w:firstColumn="1" w:firstRow="1" w:lastColumn="0" w:lastRow="0" w:noHBand="0" w:noVBand="1" w:val="04A0"/>
      </w:tblPr>
      <w:tblGrid>
        <w:gridCol w:w="4824"/>
        <w:gridCol w:w="4824"/>
      </w:tblGrid>
      <w:tr>
        <w:tc>
          <w:tcPr>
            <w:tcW w:type="dxa" w:w="4824"/>
            <w:vAlign w:val="center"/>
            <w:shd w:fill="EAF1F8"/>
          </w:tcPr>
          <w:p>
            <w:r>
              <w:rPr>
                <w:rFonts w:ascii="Arial" w:hAnsi="Arial"/>
                <w:b/>
                <w:color w:val="0A2240"/>
                <w:sz w:val="19"/>
              </w:rPr>
              <w:t>Nama Peserta</w:t>
            </w:r>
          </w:p>
        </w:tc>
        <w:tc>
          <w:tcPr>
            <w:tcW w:type="dxa" w:w="4824"/>
            <w:vAlign w:val="center"/>
          </w:tcPr>
          <w:p>
            <w:r>
              <w:rPr>
                <w:rFonts w:ascii="Arial" w:hAnsi="Arial"/>
                <w:sz w:val="19"/>
              </w:rPr>
              <w:t>Contoh Peserta / Mockup Upload</w:t>
            </w:r>
          </w:p>
        </w:tc>
      </w:tr>
      <w:tr>
        <w:tc>
          <w:tcPr>
            <w:tcW w:type="dxa" w:w="4824"/>
            <w:vAlign w:val="center"/>
            <w:shd w:fill="EAF1F8"/>
          </w:tcPr>
          <w:p>
            <w:r>
              <w:rPr>
                <w:rFonts w:ascii="Arial" w:hAnsi="Arial"/>
                <w:b/>
                <w:color w:val="0A2240"/>
                <w:sz w:val="19"/>
              </w:rPr>
              <w:t>Jenis Tugas</w:t>
            </w:r>
          </w:p>
        </w:tc>
        <w:tc>
          <w:tcPr>
            <w:tcW w:type="dxa" w:w="4824"/>
            <w:vAlign w:val="center"/>
          </w:tcPr>
          <w:p>
            <w:r>
              <w:rPr>
                <w:rFonts w:ascii="Arial" w:hAnsi="Arial"/>
                <w:sz w:val="19"/>
              </w:rPr>
              <w:t>Memo analisis 800-1.000 kata</w:t>
            </w:r>
          </w:p>
        </w:tc>
      </w:tr>
      <w:tr>
        <w:tc>
          <w:tcPr>
            <w:tcW w:type="dxa" w:w="4824"/>
            <w:vAlign w:val="center"/>
            <w:shd w:fill="EAF1F8"/>
          </w:tcPr>
          <w:p>
            <w:r>
              <w:rPr>
                <w:rFonts w:ascii="Arial" w:hAnsi="Arial"/>
                <w:b/>
                <w:color w:val="0A2240"/>
                <w:sz w:val="19"/>
              </w:rPr>
              <w:t>Kasus</w:t>
            </w:r>
          </w:p>
        </w:tc>
        <w:tc>
          <w:tcPr>
            <w:tcW w:type="dxa" w:w="4824"/>
            <w:vAlign w:val="center"/>
          </w:tcPr>
          <w:p>
            <w:r>
              <w:rPr>
                <w:rFonts w:ascii="Arial" w:hAnsi="Arial"/>
                <w:sz w:val="19"/>
              </w:rPr>
              <w:t>Importasi komponen elektronik untuk kebutuhan produksi dalam negeri</w:t>
            </w:r>
          </w:p>
        </w:tc>
      </w:tr>
      <w:tr>
        <w:tc>
          <w:tcPr>
            <w:tcW w:type="dxa" w:w="4824"/>
            <w:vAlign w:val="center"/>
            <w:shd w:fill="EAF1F8"/>
          </w:tcPr>
          <w:p>
            <w:r>
              <w:rPr>
                <w:rFonts w:ascii="Arial" w:hAnsi="Arial"/>
                <w:b/>
                <w:color w:val="0A2240"/>
                <w:sz w:val="19"/>
              </w:rPr>
              <w:t>Tujuan</w:t>
            </w:r>
          </w:p>
        </w:tc>
        <w:tc>
          <w:tcPr>
            <w:tcW w:type="dxa" w:w="4824"/>
            <w:vAlign w:val="center"/>
          </w:tcPr>
          <w:p>
            <w:r>
              <w:rPr>
                <w:rFonts w:ascii="Arial" w:hAnsi="Arial"/>
                <w:sz w:val="19"/>
              </w:rPr>
              <w:t>Menunjukkan penerapan konsep perdagangan internasional, impor, proses pabean, dan manajemen risiko DJBC</w:t>
            </w:r>
          </w:p>
        </w:tc>
      </w:tr>
    </w:tbl>
    <w:p>
      <w:pPr>
        <w:pStyle w:val="Heading1"/>
      </w:pPr>
      <w:r>
        <w:t>1. Ringkasan Kasus dan Konteks Perdagangan</w:t>
      </w:r>
    </w:p>
    <w:p>
      <w:pPr>
        <w:spacing w:after="120" w:line="259" w:lineRule="auto"/>
      </w:pPr>
      <w:r>
        <w:t>Perusahaan mengimpor komponen elektronik karena barang tersebut menjadi input produksi yang belum dapat dipenuhi secara efisien dari pasar domestik. Dari perspektif perdagangan internasional, aktivitas ini merupakan impor: barang dari luar Daerah Pabean masuk ke dalam Daerah Pabean untuk digunakan dalam kegiatan produksi di Indonesia. Kegiatan ini tidak hanya dipahami sebagai pembelian dari luar negeri, tetapi sebagai bagian dari global value chain, karena komponen elektronik lazim berasal dari jaringan pemasok, teknologi, dan distribusi lintas negara.</w:t>
      </w:r>
    </w:p>
    <w:p>
      <w:pPr>
        <w:spacing w:after="120" w:line="259" w:lineRule="auto"/>
      </w:pPr>
      <w:r>
        <w:t>Impor dalam kasus ini dapat mendukung efisiensi produksi nasional sepanjang kewajiban pabeannya diselesaikan secara benar. Nilai strategisnya adalah membantu industri memperoleh input tepat waktu, menjaga kesinambungan produksi, dan tetap memastikan negara memperoleh penerimaan serta masyarakat terlindungi dari barang ilegal atau tidak sesuai ketentuan.</w:t>
      </w:r>
    </w:p>
    <w:p>
      <w:pPr>
        <w:pStyle w:val="Heading1"/>
      </w:pPr>
      <w:r>
        <w:t>2. Alur Kewajiban Pabean</w:t>
      </w:r>
    </w:p>
    <w:p>
      <w:pPr>
        <w:spacing w:after="120" w:line="259" w:lineRule="auto"/>
      </w:pPr>
      <w:r>
        <w:t>Ketika barang tiba di wilayah Indonesia dan secara fisik memasuki Daerah Pabean, kewajiban kepabeanan mulai berlaku. Barang kemudian berada dalam pengawasan DJBC, khususnya bila masuk melalui pelabuhan, bandar udara, atau tempat lain yang ditetapkan sebagai Kawasan Pabean. Jika kewajiban pabean belum selesai, barang dapat ditempatkan di Tempat Penimbunan Sementara (TPS) dengan batas waktu dan ketentuan yang harus dipatuhi.</w:t>
      </w:r>
    </w:p>
    <w:p>
      <w:pPr>
        <w:pStyle w:val="ListBullet"/>
        <w:spacing w:after="60"/>
      </w:pPr>
      <w:r>
        <w:rPr>
          <w:rFonts w:ascii="Arial" w:hAnsi="Arial"/>
          <w:sz w:val="21"/>
        </w:rPr>
        <w:t>Importir menyiapkan invoice, packing list, dokumen pengangkutan, klasifikasi barang, nilai pabean, dan perizinan teknis bila diperlukan.</w:t>
      </w:r>
    </w:p>
    <w:p>
      <w:pPr>
        <w:pStyle w:val="ListBullet"/>
        <w:spacing w:after="60"/>
      </w:pPr>
      <w:r>
        <w:rPr>
          <w:rFonts w:ascii="Arial" w:hAnsi="Arial"/>
          <w:sz w:val="21"/>
        </w:rPr>
        <w:t>Importir menyampaikan pemberitahuan pabean secara elektronik melalui sistem yang berlaku, misalnya PIB untuk impor untuk dipakai.</w:t>
      </w:r>
    </w:p>
    <w:p>
      <w:pPr>
        <w:pStyle w:val="ListBullet"/>
        <w:spacing w:after="60"/>
      </w:pPr>
      <w:r>
        <w:rPr>
          <w:rFonts w:ascii="Arial" w:hAnsi="Arial"/>
          <w:sz w:val="21"/>
        </w:rPr>
        <w:t>Sistem dan petugas DJBC melakukan penelitian dokumen, validasi data, dan penetapan jalur berdasarkan profil risiko.</w:t>
      </w:r>
    </w:p>
    <w:p>
      <w:pPr>
        <w:pStyle w:val="ListBullet"/>
        <w:spacing w:after="60"/>
      </w:pPr>
      <w:r>
        <w:rPr>
          <w:rFonts w:ascii="Arial" w:hAnsi="Arial"/>
          <w:sz w:val="21"/>
        </w:rPr>
        <w:t>Setelah kewajiban bea masuk, pajak dalam rangka impor, dan ketentuan larangan/pembatasan dipenuhi, barang dapat dikeluarkan secara legal dari kawasan pabean.</w:t>
      </w:r>
    </w:p>
    <w:p>
      <w:pPr>
        <w:pStyle w:val="Heading1"/>
      </w:pPr>
      <w:r>
        <w:t>3. Risiko Kepatuhan</w:t>
      </w:r>
    </w:p>
    <w:p>
      <w:pPr>
        <w:spacing w:after="120" w:line="259" w:lineRule="auto"/>
      </w:pPr>
      <w:r>
        <w:t>Risiko utama pada kasus ini adalah kesalahan klasifikasi HS, undervaluation, ketidaksesuaian jumlah atau spesifikasi barang, dokumen perizinan teknis yang belum lengkap, dan potensi penyalahgunaan fasilitas apabila komponen elektronik diklaim untuk tujuan tertentu tetapi digunakan berbeda. Risiko lain adalah keterlambatan pemberitahuan atau penimbunan melebihi batas waktu TPS.</w:t>
      </w:r>
    </w:p>
    <w:p>
      <w:pPr>
        <w:spacing w:after="120" w:line="259" w:lineRule="auto"/>
      </w:pPr>
      <w:r>
        <w:t>Pemberitahuan pabean harus dipahami sebagai deklarasi resmi importir kepada negara. Karena itu, akurasi data menjadi titik kritis. Kesalahan data tidak hanya menghambat clearance, tetapi dapat menimbulkan sanksi administrasi dan meningkatkan profil risiko importir pada transaksi berikutnya.</w:t>
      </w:r>
    </w:p>
    <w:p>
      <w:pPr>
        <w:pStyle w:val="Heading1"/>
      </w:pPr>
      <w:r>
        <w:t>4. Keseimbangan Pengawasan dan Pelayanan DJBC</w:t>
      </w:r>
    </w:p>
    <w:p>
      <w:pPr>
        <w:spacing w:after="120" w:line="259" w:lineRule="auto"/>
      </w:pPr>
      <w:r>
        <w:t>DJBC perlu menyeimbangkan trade facilitation dan community protection. Importir yang patuh, memiliki riwayat transaksi baik, dan menyampaikan data lengkap seharusnya memperoleh pelayanan yang cepat agar rantai produksi tidak terganggu. Di sisi lain, barang atau importir berisiko tinggi perlu mendapat pemeriksaan lebih mendalam untuk mencegah pelanggaran.</w:t>
      </w:r>
    </w:p>
    <w:p>
      <w:pPr>
        <w:spacing w:after="120" w:line="259" w:lineRule="auto"/>
      </w:pPr>
      <w:r>
        <w:t>Manajemen risiko menjadi mekanisme kunci. Data elektronik memungkinkan profiling, penilaian anomali, dan pemilihan target pemeriksaan. Dengan pendekatan ini, DJBC tidak perlu memperlakukan semua kiriman secara sama, melainkan memfokuskan sumber daya pada kiriman yang memiliki sinyal risiko tinggi.</w:t>
      </w:r>
    </w:p>
    <w:p>
      <w:pPr>
        <w:pStyle w:val="Heading1"/>
      </w:pPr>
      <w:r>
        <w:t>5. Rekomendasi</w:t>
      </w:r>
    </w:p>
    <w:p>
      <w:pPr>
        <w:pStyle w:val="ListBullet"/>
        <w:spacing w:after="60"/>
      </w:pPr>
      <w:r>
        <w:rPr>
          <w:rFonts w:ascii="Arial" w:hAnsi="Arial"/>
          <w:sz w:val="21"/>
        </w:rPr>
        <w:t>Importir perlu melakukan pre-classification internal atas HS code dan menyiapkan justifikasi teknis komponen elektronik.</w:t>
      </w:r>
    </w:p>
    <w:p>
      <w:pPr>
        <w:pStyle w:val="ListBullet"/>
        <w:spacing w:after="60"/>
      </w:pPr>
      <w:r>
        <w:rPr>
          <w:rFonts w:ascii="Arial" w:hAnsi="Arial"/>
          <w:sz w:val="21"/>
        </w:rPr>
        <w:t>Dokumen pendukung harus konsisten antara invoice, packing list, dokumen pengangkutan, perizinan teknis, dan pemberitahuan pabean.</w:t>
      </w:r>
    </w:p>
    <w:p>
      <w:pPr>
        <w:pStyle w:val="ListBullet"/>
        <w:spacing w:after="60"/>
      </w:pPr>
      <w:r>
        <w:rPr>
          <w:rFonts w:ascii="Arial" w:hAnsi="Arial"/>
          <w:sz w:val="21"/>
        </w:rPr>
        <w:t>Perusahaan sebaiknya membuat checklist kepatuhan sebelum barang tiba agar waktu tunggu di TPS dapat ditekan.</w:t>
      </w:r>
    </w:p>
    <w:p>
      <w:pPr>
        <w:pStyle w:val="ListBullet"/>
        <w:spacing w:after="60"/>
      </w:pPr>
      <w:r>
        <w:rPr>
          <w:rFonts w:ascii="Arial" w:hAnsi="Arial"/>
          <w:sz w:val="21"/>
        </w:rPr>
        <w:t>DJBC dapat menggunakan data historis importir, jenis barang, negara asal, nilai transaksi, dan pola importasi untuk menentukan level pemeriksaan.</w:t>
      </w:r>
    </w:p>
    <w:p>
      <w:pPr>
        <w:pStyle w:val="ListBullet"/>
        <w:spacing w:after="60"/>
      </w:pPr>
      <w:r>
        <w:rPr>
          <w:rFonts w:ascii="Arial" w:hAnsi="Arial"/>
          <w:sz w:val="21"/>
        </w:rPr>
        <w:t>Untuk importir patuh, fasilitas atau perlakuan berbasis risiko seperti percepatan clearance dapat menjaga kelancaran arus barang tanpa melemahkan pengawasan.</w:t>
      </w:r>
    </w:p>
    <w:p>
      <w:pPr>
        <w:pStyle w:val="Heading1"/>
      </w:pPr>
      <w:r>
        <w:t>6. Kesimpulan</w:t>
      </w:r>
    </w:p>
    <w:p>
      <w:pPr>
        <w:spacing w:after="120" w:line="259" w:lineRule="auto"/>
      </w:pPr>
      <w:r>
        <w:t>Kasus importasi komponen elektronik menunjukkan bahwa perdagangan internasional dan kepabeanan saling terkait. Impor menyediakan input produksi dalam global value chain, sedangkan kepabeanan memastikan arus barang tersebut tetap legal, aman, dan memberikan penerimaan negara. Jawaban terbaik bukan hanya mempercepat barang keluar, tetapi memastikan pemberitahuan pabean akurat, kewajiban dibayar, ketentuan larangan/pembatasan dipenuhi, dan risiko dikelola secara proporsional.</w:t>
      </w:r>
    </w:p>
    <w:p>
      <w:pPr>
        <w:pStyle w:val="Heading2"/>
      </w:pPr>
      <w:r>
        <w:t>Rujukan Materi Pembelajaran</w:t>
      </w:r>
    </w:p>
    <w:p>
      <w:pPr>
        <w:pStyle w:val="ListBullet"/>
        <w:spacing w:after="60"/>
      </w:pPr>
      <w:r>
        <w:rPr>
          <w:rFonts w:ascii="Arial" w:hAnsi="Arial"/>
          <w:sz w:val="21"/>
        </w:rPr>
        <w:t>Slide Ekspor, Impor, Neraca: definisi ekspor-impor dan konteks neraca perdagangan.</w:t>
      </w:r>
    </w:p>
    <w:p>
      <w:pPr>
        <w:pStyle w:val="ListBullet"/>
        <w:spacing w:after="60"/>
      </w:pPr>
      <w:r>
        <w:rPr>
          <w:rFonts w:ascii="Arial" w:hAnsi="Arial"/>
          <w:sz w:val="21"/>
        </w:rPr>
        <w:t>Slide Mengapa Negara Berdagang: keterbatasan sumber daya, perbedaan teknologi, biaya produksi, dan spesialisasi.</w:t>
      </w:r>
    </w:p>
    <w:p>
      <w:pPr>
        <w:pStyle w:val="ListBullet"/>
        <w:spacing w:after="60"/>
      </w:pPr>
      <w:r>
        <w:rPr>
          <w:rFonts w:ascii="Arial" w:hAnsi="Arial"/>
          <w:sz w:val="21"/>
        </w:rPr>
        <w:t>Slide Kerangka Kepabeanan: definisi kepabeanan dan empat fungsi utama DJBC.</w:t>
      </w:r>
    </w:p>
    <w:p>
      <w:pPr>
        <w:pStyle w:val="ListBullet"/>
        <w:spacing w:after="60"/>
      </w:pPr>
      <w:r>
        <w:rPr>
          <w:rFonts w:ascii="Arial" w:hAnsi="Arial"/>
          <w:sz w:val="21"/>
        </w:rPr>
        <w:t>Slide Daerah, Kawasan, dan Pemberitahuan Pabean: kawasan pabean, TPS, dan pemberitahuan pabean.</w:t>
      </w:r>
    </w:p>
    <w:p>
      <w:pPr>
        <w:pStyle w:val="ListBullet"/>
        <w:spacing w:after="60"/>
      </w:pPr>
      <w:r>
        <w:rPr>
          <w:rFonts w:ascii="Arial" w:hAnsi="Arial"/>
          <w:sz w:val="21"/>
        </w:rPr>
        <w:t>Slide Impor &amp; Manajemen Risiko DJBC: kewajiban impor, tujuan impor, dan pengawasan berbasis risiko.</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A224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A224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