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laporan-manajerial"/>
    <w:p>
      <w:pPr>
        <w:pStyle w:val="Heading1"/>
      </w:pPr>
      <w:r>
        <w:t xml:space="preserve">Laporan Manajerial</w:t>
      </w:r>
    </w:p>
    <w:p>
      <w:pPr>
        <w:pStyle w:val="FirstParagraph"/>
      </w:pPr>
      <w:r>
        <w:t xml:space="preserve">Selain dashboard interaktif, sistem menyediakan laporan manajerial mendalam dalam format tabel dan cetak.</w:t>
      </w:r>
    </w:p>
    <w:bookmarkStart w:id="12" w:name="laba-rugi-proyek"/>
    <w:p>
      <w:pPr>
        <w:pStyle w:val="Heading2"/>
      </w:pPr>
      <w:r>
        <w:t xml:space="preserve">1. Laba Rugi Proyek</w:t>
      </w:r>
    </w:p>
    <w:p>
      <w:pPr>
        <w:pStyle w:val="FirstParagraph"/>
      </w:pPr>
      <w:r>
        <w:t xml:space="preserve">Laporan yang merinci pendapatan dan beban khusus untuk satu proyek tertentu.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Laba Rugi Proyek" title="" id="10" name="Picture"/>
            <a:graphic>
              <a:graphicData uri="http://schemas.openxmlformats.org/drawingml/2006/picture">
                <pic:pic>
                  <pic:nvPicPr>
                    <pic:cNvPr descr="./screenshots/report_project_l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Laba Rugi Proyek</w:t>
      </w:r>
    </w:p>
    <w:bookmarkEnd w:id="12"/>
    <w:bookmarkStart w:id="13" w:name="laba-rugi-proyek-per-cost-center"/>
    <w:p>
      <w:pPr>
        <w:pStyle w:val="Heading2"/>
      </w:pPr>
      <w:r>
        <w:t xml:space="preserve">2. Laba Rugi Proyek per Cost Center</w:t>
      </w:r>
    </w:p>
    <w:p>
      <w:pPr>
        <w:pStyle w:val="FirstParagraph"/>
      </w:pPr>
      <w:r>
        <w:t xml:space="preserve">Pengembangan dari laporan laba rugi proyek yang dipecah berdasarkan masing-masing cost center yang terlibat dalam proyek tersebut.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Catatan: Gunakan filter pada setiap laporan untuk menyesuaikan periode dan entitas yang ingin dianalisis.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2026-05-08T06:51:57Z</dcterms:created>
  <dcterms:modified xsi:type="dcterms:W3CDTF">2026-05-08T06:51:57Z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