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3E2A" w:rsidRDefault="007433CE">
      <w:pPr>
        <w:pStyle w:val="Ttulo1"/>
      </w:pPr>
      <w:bookmarkStart w:id="0" w:name="X3ba9b1f20ea31c7b3b2a868dc87bdfe901b2754"/>
      <w:bookmarkStart w:id="1" w:name="_GoBack"/>
      <w:bookmarkEnd w:id="1"/>
      <w:r>
        <w:t>Gobernanza Enterprise: Multiempresa, Multimoneda y Autorización Fina (módulos, formularios, campos, acciones)</w:t>
      </w:r>
    </w:p>
    <w:p w:rsidR="001C3E2A" w:rsidRDefault="007433CE">
      <w:pPr>
        <w:pStyle w:val="Textodebloque"/>
      </w:pPr>
      <w:r>
        <w:t xml:space="preserve">Documento técnico–académico (didáctico y utilitario) para justificar por qué una plataforma tipo SolverIA debe ser </w:t>
      </w:r>
      <w:r>
        <w:rPr>
          <w:b/>
          <w:bCs/>
        </w:rPr>
        <w:t>multiempresa (multi-tenant / multi-entity)</w:t>
      </w:r>
      <w:r>
        <w:t xml:space="preserve">, </w:t>
      </w:r>
      <w:r>
        <w:rPr>
          <w:b/>
          <w:bCs/>
        </w:rPr>
        <w:t>multimoneda</w:t>
      </w:r>
      <w:r>
        <w:t xml:space="preserve">, y por qué la autorización debe ser </w:t>
      </w:r>
      <w:r>
        <w:rPr>
          <w:b/>
          <w:bCs/>
        </w:rPr>
        <w:t>fina</w:t>
      </w:r>
      <w:r>
        <w:t xml:space="preserve"> (por módulos, formularios, campos/atributos y acciones), evitando </w:t>
      </w:r>
      <w:r>
        <w:rPr>
          <w:b/>
          <w:bCs/>
        </w:rPr>
        <w:t>hardcoding</w:t>
      </w:r>
      <w:r>
        <w:t>.</w:t>
      </w:r>
    </w:p>
    <w:p w:rsidR="001C3E2A" w:rsidRDefault="007433CE">
      <w:r>
        <w:pict>
          <v:rect id="_x0000_i1025" style="width:0;height:1.5pt" o:hralign="center" o:hrstd="t" o:hr="t"/>
        </w:pict>
      </w:r>
    </w:p>
    <w:p w:rsidR="001C3E2A" w:rsidRDefault="007433CE">
      <w:pPr>
        <w:pStyle w:val="Ttulo2"/>
      </w:pPr>
      <w:bookmarkStart w:id="2" w:name="índice"/>
      <w:r>
        <w:t>Índice</w:t>
      </w:r>
    </w:p>
    <w:p w:rsidR="001C3E2A" w:rsidRDefault="007433CE">
      <w:pPr>
        <w:pStyle w:val="Compact"/>
        <w:numPr>
          <w:ilvl w:val="0"/>
          <w:numId w:val="2"/>
        </w:numPr>
      </w:pPr>
      <w:r>
        <w:t>Fundamentos: por qué estos requisitos son “enterprise”</w:t>
      </w:r>
    </w:p>
    <w:p w:rsidR="001C3E2A" w:rsidRDefault="007433CE">
      <w:pPr>
        <w:pStyle w:val="Compact"/>
        <w:numPr>
          <w:ilvl w:val="0"/>
          <w:numId w:val="2"/>
        </w:numPr>
      </w:pPr>
      <w:r>
        <w:t>Multiempresa: def</w:t>
      </w:r>
      <w:r>
        <w:t>inición, modelos y beneficios</w:t>
      </w:r>
    </w:p>
    <w:p w:rsidR="001C3E2A" w:rsidRDefault="007433CE">
      <w:pPr>
        <w:pStyle w:val="Compact"/>
        <w:numPr>
          <w:ilvl w:val="0"/>
          <w:numId w:val="2"/>
        </w:numPr>
      </w:pPr>
      <w:r>
        <w:t>Aislamiento y seguridad: por qué multiempresa no es “un flag”</w:t>
      </w:r>
    </w:p>
    <w:p w:rsidR="001C3E2A" w:rsidRDefault="007433CE">
      <w:pPr>
        <w:pStyle w:val="Compact"/>
        <w:numPr>
          <w:ilvl w:val="0"/>
          <w:numId w:val="2"/>
        </w:numPr>
      </w:pPr>
      <w:r>
        <w:t>Multimoneda: razones de negocio y requerimientos contables</w:t>
      </w:r>
    </w:p>
    <w:p w:rsidR="001C3E2A" w:rsidRDefault="007433CE">
      <w:pPr>
        <w:pStyle w:val="Compact"/>
        <w:numPr>
          <w:ilvl w:val="0"/>
          <w:numId w:val="2"/>
        </w:numPr>
      </w:pPr>
      <w:r>
        <w:t>Diseño multimoneda: tipos de cambio, asientos y auditoría</w:t>
      </w:r>
    </w:p>
    <w:p w:rsidR="001C3E2A" w:rsidRDefault="007433CE">
      <w:pPr>
        <w:pStyle w:val="Compact"/>
        <w:numPr>
          <w:ilvl w:val="0"/>
          <w:numId w:val="2"/>
        </w:numPr>
      </w:pPr>
      <w:r>
        <w:t>Autorización fina: módulos, formularios, campos</w:t>
      </w:r>
      <w:r>
        <w:t>, acciones</w:t>
      </w:r>
    </w:p>
    <w:p w:rsidR="001C3E2A" w:rsidRDefault="007433CE">
      <w:pPr>
        <w:pStyle w:val="Compact"/>
        <w:numPr>
          <w:ilvl w:val="0"/>
          <w:numId w:val="2"/>
        </w:numPr>
      </w:pPr>
      <w:r>
        <w:t>Modelo de permisos (RBAC/ABAC híbrido) y jerarquía</w:t>
      </w:r>
    </w:p>
    <w:p w:rsidR="001C3E2A" w:rsidRDefault="007433CE">
      <w:pPr>
        <w:pStyle w:val="Compact"/>
        <w:numPr>
          <w:ilvl w:val="0"/>
          <w:numId w:val="2"/>
        </w:numPr>
      </w:pPr>
      <w:r>
        <w:t>Por qué no hardcodear: riesgos y costos (técnicos y organizacionales)</w:t>
      </w:r>
    </w:p>
    <w:p w:rsidR="001C3E2A" w:rsidRDefault="007433CE">
      <w:pPr>
        <w:pStyle w:val="Compact"/>
        <w:numPr>
          <w:ilvl w:val="0"/>
          <w:numId w:val="2"/>
        </w:numPr>
      </w:pPr>
      <w:r>
        <w:t>Parametrización: catálogo de permisos, metamodelo de UI y políticas</w:t>
      </w:r>
    </w:p>
    <w:p w:rsidR="001C3E2A" w:rsidRDefault="007433CE">
      <w:pPr>
        <w:pStyle w:val="Compact"/>
        <w:numPr>
          <w:ilvl w:val="0"/>
          <w:numId w:val="2"/>
        </w:numPr>
      </w:pPr>
      <w:r>
        <w:t>Implementación recomendada: arquitectura, datos y prácti</w:t>
      </w:r>
      <w:r>
        <w:t>cas operativas</w:t>
      </w:r>
    </w:p>
    <w:p w:rsidR="001C3E2A" w:rsidRDefault="007433CE">
      <w:r>
        <w:pict>
          <v:rect id="_x0000_i1026" style="width:0;height:1.5pt" o:hralign="center" o:hrstd="t" o:hr="t"/>
        </w:pict>
      </w:r>
    </w:p>
    <w:p w:rsidR="001C3E2A" w:rsidRDefault="007433CE">
      <w:pPr>
        <w:pStyle w:val="Ttulo1"/>
      </w:pPr>
      <w:bookmarkStart w:id="3" w:name="Xb86a7a94250980dc8709b136f55db8b9588dee2"/>
      <w:bookmarkEnd w:id="0"/>
      <w:bookmarkEnd w:id="2"/>
      <w:r>
        <w:t>Página 1 — Fundamentos: por qué esto es “enterprise”</w:t>
      </w:r>
    </w:p>
    <w:p w:rsidR="001C3E2A" w:rsidRDefault="007433CE">
      <w:pPr>
        <w:pStyle w:val="FirstParagraph"/>
      </w:pPr>
      <w:r>
        <w:t xml:space="preserve">En software empresarial (ERP/CRM/plataforma), tres características separan una solución “académica” de una solución </w:t>
      </w:r>
      <w:r>
        <w:rPr>
          <w:b/>
          <w:bCs/>
        </w:rPr>
        <w:t>operable en organizaciones reales</w:t>
      </w:r>
      <w:r>
        <w:t>:</w:t>
      </w:r>
    </w:p>
    <w:p w:rsidR="001C3E2A" w:rsidRDefault="007433CE">
      <w:pPr>
        <w:pStyle w:val="Compact"/>
        <w:numPr>
          <w:ilvl w:val="0"/>
          <w:numId w:val="3"/>
        </w:numPr>
      </w:pPr>
      <w:r>
        <w:rPr>
          <w:b/>
          <w:bCs/>
        </w:rPr>
        <w:t>Multiempresa (multi-tenant o multi-</w:t>
      </w:r>
      <w:r>
        <w:rPr>
          <w:b/>
          <w:bCs/>
        </w:rPr>
        <w:t>entity)</w:t>
      </w:r>
      <w:r>
        <w:t>: soportar múltiples organizaciones y/o unidades legales con separación segura.</w:t>
      </w:r>
    </w:p>
    <w:p w:rsidR="001C3E2A" w:rsidRDefault="007433CE">
      <w:pPr>
        <w:pStyle w:val="Compact"/>
        <w:numPr>
          <w:ilvl w:val="0"/>
          <w:numId w:val="3"/>
        </w:numPr>
      </w:pPr>
      <w:r>
        <w:rPr>
          <w:b/>
          <w:bCs/>
        </w:rPr>
        <w:t>Multimoneda</w:t>
      </w:r>
      <w:r>
        <w:t>: soportar transacciones, reportes, contabilidad y consolidación en monedas diferentes.</w:t>
      </w:r>
    </w:p>
    <w:p w:rsidR="001C3E2A" w:rsidRDefault="007433CE">
      <w:pPr>
        <w:pStyle w:val="Compact"/>
        <w:numPr>
          <w:ilvl w:val="0"/>
          <w:numId w:val="3"/>
        </w:numPr>
      </w:pPr>
      <w:r>
        <w:rPr>
          <w:b/>
          <w:bCs/>
        </w:rPr>
        <w:t>Autorización fina</w:t>
      </w:r>
      <w:r>
        <w:t>: controlar quién puede hacer qué, dónde y bajo qué c</w:t>
      </w:r>
      <w:r>
        <w:t>ondiciones, con trazabilidad.</w:t>
      </w:r>
    </w:p>
    <w:p w:rsidR="001C3E2A" w:rsidRDefault="007433CE">
      <w:pPr>
        <w:pStyle w:val="FirstParagraph"/>
      </w:pPr>
      <w:r>
        <w:t>Estas capacidades no son “extras”: determinan si el sistema puede servir a: - grupos empresariales, - franquicias, - instituciones multisucursal, - compañías que operan en mercados con inflación o moneda dual, - sectores regul</w:t>
      </w:r>
      <w:r>
        <w:t>ados (auditoría).</w:t>
      </w:r>
    </w:p>
    <w:p w:rsidR="001C3E2A" w:rsidRDefault="007433CE">
      <w:pPr>
        <w:pStyle w:val="Textoindependiente"/>
      </w:pPr>
      <w:r>
        <w:t xml:space="preserve">En términos académicos, estamos hablando de </w:t>
      </w:r>
      <w:r>
        <w:rPr>
          <w:b/>
          <w:bCs/>
        </w:rPr>
        <w:t>gobernanza</w:t>
      </w:r>
      <w:r>
        <w:t xml:space="preserve"> del sistema: control de acceso, control de datos y control de reglas que deben poder evolucionar sin reescrituras.</w:t>
      </w:r>
    </w:p>
    <w:p w:rsidR="001C3E2A" w:rsidRDefault="007433CE">
      <w:r>
        <w:pict>
          <v:rect id="_x0000_i1027" style="width:0;height:1.5pt" o:hralign="center" o:hrstd="t" o:hr="t"/>
        </w:pict>
      </w:r>
    </w:p>
    <w:p w:rsidR="001C3E2A" w:rsidRDefault="007433CE">
      <w:pPr>
        <w:pStyle w:val="Ttulo1"/>
      </w:pPr>
      <w:bookmarkStart w:id="4" w:name="Xbb293513d98c95ec7a84707a4faeb9d0ca9e99d"/>
      <w:bookmarkEnd w:id="3"/>
      <w:r>
        <w:lastRenderedPageBreak/>
        <w:t>Página 2 — Multiempresa: definición, modelos y beneficios</w:t>
      </w:r>
    </w:p>
    <w:p w:rsidR="001C3E2A" w:rsidRDefault="007433CE">
      <w:pPr>
        <w:pStyle w:val="Ttulo3"/>
      </w:pPr>
      <w:bookmarkStart w:id="5" w:name="qué-significa-multiempresa"/>
      <w:r>
        <w:t>2.1 ¿Qué</w:t>
      </w:r>
      <w:r>
        <w:t xml:space="preserve"> significa multiempresa?</w:t>
      </w:r>
    </w:p>
    <w:p w:rsidR="001C3E2A" w:rsidRDefault="007433CE">
      <w:pPr>
        <w:pStyle w:val="FirstParagraph"/>
      </w:pPr>
      <w:r>
        <w:t xml:space="preserve">Multiempresa significa que el sistema está diseñado para operar con </w:t>
      </w:r>
      <w:r>
        <w:rPr>
          <w:b/>
          <w:bCs/>
        </w:rPr>
        <w:t>múltiples entidades organizacionales</w:t>
      </w:r>
      <w:r>
        <w:t xml:space="preserve">. En práctica, puede incluir: - </w:t>
      </w:r>
      <w:r>
        <w:rPr>
          <w:b/>
          <w:bCs/>
        </w:rPr>
        <w:t>Tenant</w:t>
      </w:r>
      <w:r>
        <w:t xml:space="preserve"> (cliente/organización principal) - </w:t>
      </w:r>
      <w:r>
        <w:rPr>
          <w:b/>
          <w:bCs/>
        </w:rPr>
        <w:t>Empresa legal</w:t>
      </w:r>
      <w:r>
        <w:t xml:space="preserve"> (legal entity) - </w:t>
      </w:r>
      <w:r>
        <w:rPr>
          <w:b/>
          <w:bCs/>
        </w:rPr>
        <w:t>Sucursal</w:t>
      </w:r>
      <w:r>
        <w:t xml:space="preserve"> (branch) - </w:t>
      </w:r>
      <w:r>
        <w:rPr>
          <w:b/>
          <w:bCs/>
        </w:rPr>
        <w:t>Un</w:t>
      </w:r>
      <w:r>
        <w:rPr>
          <w:b/>
          <w:bCs/>
        </w:rPr>
        <w:t>idad operativa</w:t>
      </w:r>
      <w:r>
        <w:t xml:space="preserve"> (cost center, departamento)</w:t>
      </w:r>
    </w:p>
    <w:p w:rsidR="001C3E2A" w:rsidRDefault="007433CE">
      <w:pPr>
        <w:pStyle w:val="Textoindependiente"/>
      </w:pPr>
      <w:r>
        <w:t xml:space="preserve">En muchas plataformas, “tenant” y “empresa” no son lo mismo: - Un tenant puede tener </w:t>
      </w:r>
      <w:r>
        <w:rPr>
          <w:b/>
          <w:bCs/>
        </w:rPr>
        <w:t>varias empresas</w:t>
      </w:r>
      <w:r>
        <w:t xml:space="preserve"> (holding). - Una empresa puede tener </w:t>
      </w:r>
      <w:r>
        <w:rPr>
          <w:b/>
          <w:bCs/>
        </w:rPr>
        <w:t>múltiples sucursales</w:t>
      </w:r>
      <w:r>
        <w:t>.</w:t>
      </w:r>
    </w:p>
    <w:p w:rsidR="001C3E2A" w:rsidRDefault="007433CE">
      <w:pPr>
        <w:pStyle w:val="Ttulo3"/>
      </w:pPr>
      <w:bookmarkStart w:id="6" w:name="modelos-típicos"/>
      <w:bookmarkEnd w:id="5"/>
      <w:r>
        <w:t>2.2 Modelos típicos</w:t>
      </w:r>
    </w:p>
    <w:p w:rsidR="001C3E2A" w:rsidRDefault="007433CE">
      <w:pPr>
        <w:pStyle w:val="Compact"/>
        <w:numPr>
          <w:ilvl w:val="0"/>
          <w:numId w:val="4"/>
        </w:numPr>
      </w:pPr>
      <w:r>
        <w:rPr>
          <w:b/>
          <w:bCs/>
        </w:rPr>
        <w:t>Single-tenant deployment</w:t>
      </w:r>
      <w:r>
        <w:t>: una instalación por empresa (más costoso de operar).</w:t>
      </w:r>
    </w:p>
    <w:p w:rsidR="001C3E2A" w:rsidRDefault="007433CE">
      <w:pPr>
        <w:pStyle w:val="Compact"/>
        <w:numPr>
          <w:ilvl w:val="0"/>
          <w:numId w:val="4"/>
        </w:numPr>
      </w:pPr>
      <w:r>
        <w:rPr>
          <w:b/>
          <w:bCs/>
        </w:rPr>
        <w:t>Multi-tenant shared</w:t>
      </w:r>
      <w:r>
        <w:t>: múltiples tenants comparten infraestructura con aislamiento lógico.</w:t>
      </w:r>
    </w:p>
    <w:p w:rsidR="001C3E2A" w:rsidRDefault="007433CE">
      <w:pPr>
        <w:pStyle w:val="Compact"/>
        <w:numPr>
          <w:ilvl w:val="0"/>
          <w:numId w:val="4"/>
        </w:numPr>
      </w:pPr>
      <w:r>
        <w:rPr>
          <w:b/>
          <w:bCs/>
        </w:rPr>
        <w:t>Hybrid</w:t>
      </w:r>
      <w:r>
        <w:t>: core compartido + recursos dedicados por tenant.</w:t>
      </w:r>
    </w:p>
    <w:p w:rsidR="001C3E2A" w:rsidRDefault="007433CE">
      <w:pPr>
        <w:pStyle w:val="Ttulo3"/>
      </w:pPr>
      <w:bookmarkStart w:id="7" w:name="beneficios-reales"/>
      <w:bookmarkEnd w:id="6"/>
      <w:r>
        <w:t>2.3 Beneficios reales</w:t>
      </w:r>
    </w:p>
    <w:p w:rsidR="001C3E2A" w:rsidRDefault="007433CE">
      <w:pPr>
        <w:pStyle w:val="Compact"/>
        <w:numPr>
          <w:ilvl w:val="0"/>
          <w:numId w:val="5"/>
        </w:numPr>
      </w:pPr>
      <w:r>
        <w:rPr>
          <w:b/>
          <w:bCs/>
        </w:rPr>
        <w:t>Escalabilidad comercial</w:t>
      </w:r>
      <w:r>
        <w:t>: una plataforma sirve a muchas organizaciones.</w:t>
      </w:r>
    </w:p>
    <w:p w:rsidR="001C3E2A" w:rsidRDefault="007433CE">
      <w:pPr>
        <w:pStyle w:val="Compact"/>
        <w:numPr>
          <w:ilvl w:val="0"/>
          <w:numId w:val="5"/>
        </w:numPr>
      </w:pPr>
      <w:r>
        <w:rPr>
          <w:b/>
          <w:bCs/>
        </w:rPr>
        <w:t>Menor costo operativo</w:t>
      </w:r>
      <w:r>
        <w:t>: infra compartida, automatización.</w:t>
      </w:r>
    </w:p>
    <w:p w:rsidR="001C3E2A" w:rsidRDefault="007433CE">
      <w:pPr>
        <w:pStyle w:val="Compact"/>
        <w:numPr>
          <w:ilvl w:val="0"/>
          <w:numId w:val="5"/>
        </w:numPr>
      </w:pPr>
      <w:r>
        <w:rPr>
          <w:b/>
          <w:bCs/>
        </w:rPr>
        <w:t>Consistencia</w:t>
      </w:r>
      <w:r>
        <w:t>: actualizaciones y mejoras se propagan de manera controlada.</w:t>
      </w:r>
    </w:p>
    <w:p w:rsidR="001C3E2A" w:rsidRDefault="007433CE">
      <w:pPr>
        <w:pStyle w:val="Compact"/>
        <w:numPr>
          <w:ilvl w:val="0"/>
          <w:numId w:val="5"/>
        </w:numPr>
      </w:pPr>
      <w:r>
        <w:rPr>
          <w:b/>
          <w:bCs/>
        </w:rPr>
        <w:t>Onboarding rápido</w:t>
      </w:r>
      <w:r>
        <w:t>: creación de tenant/empresa como configuración, no como pro</w:t>
      </w:r>
      <w:r>
        <w:t>yecto.</w:t>
      </w:r>
    </w:p>
    <w:p w:rsidR="001C3E2A" w:rsidRDefault="007433CE">
      <w:r>
        <w:pict>
          <v:rect id="_x0000_i1028" style="width:0;height:1.5pt" o:hralign="center" o:hrstd="t" o:hr="t"/>
        </w:pict>
      </w:r>
    </w:p>
    <w:p w:rsidR="001C3E2A" w:rsidRDefault="007433CE">
      <w:pPr>
        <w:pStyle w:val="Ttulo1"/>
      </w:pPr>
      <w:bookmarkStart w:id="8" w:name="X255c8c56a60c5ec57a24ed7d597cd10f5065947"/>
      <w:bookmarkEnd w:id="4"/>
      <w:bookmarkEnd w:id="7"/>
      <w:r>
        <w:t>Página 3 — Aislamiento y seguridad: por qué multiempresa no es “un flag”</w:t>
      </w:r>
    </w:p>
    <w:p w:rsidR="001C3E2A" w:rsidRDefault="007433CE">
      <w:pPr>
        <w:pStyle w:val="FirstParagraph"/>
      </w:pPr>
      <w:r>
        <w:t xml:space="preserve">La multiempresa implica una condición de seguridad crítica: </w:t>
      </w:r>
      <w:r>
        <w:rPr>
          <w:b/>
          <w:bCs/>
        </w:rPr>
        <w:t>no puede existir fuga de datos</w:t>
      </w:r>
      <w:r>
        <w:t xml:space="preserve"> entre empresas/tenants.</w:t>
      </w:r>
    </w:p>
    <w:p w:rsidR="001C3E2A" w:rsidRDefault="007433CE">
      <w:pPr>
        <w:pStyle w:val="Ttulo3"/>
      </w:pPr>
      <w:bookmarkStart w:id="9" w:name="aislamiento-por-diseño"/>
      <w:r>
        <w:t>3.1 Aislamiento por diseño</w:t>
      </w:r>
    </w:p>
    <w:p w:rsidR="001C3E2A" w:rsidRDefault="007433CE">
      <w:pPr>
        <w:pStyle w:val="FirstParagraph"/>
      </w:pPr>
      <w:r>
        <w:t>A nivel académico, el aislamient</w:t>
      </w:r>
      <w:r>
        <w:t xml:space="preserve">o debe existir en múltiples capas: - </w:t>
      </w:r>
      <w:r>
        <w:rPr>
          <w:b/>
          <w:bCs/>
        </w:rPr>
        <w:t>Identidad</w:t>
      </w:r>
      <w:r>
        <w:t xml:space="preserve">: el token/claim define </w:t>
      </w:r>
      <w:r>
        <w:rPr>
          <w:rStyle w:val="VerbatimChar"/>
        </w:rPr>
        <w:t>tenantId</w:t>
      </w:r>
      <w:r>
        <w:t xml:space="preserve"> y alcance. - </w:t>
      </w:r>
      <w:r>
        <w:rPr>
          <w:b/>
          <w:bCs/>
        </w:rPr>
        <w:t>Aplicación</w:t>
      </w:r>
      <w:r>
        <w:t xml:space="preserve">: los casos de uso exigen contexto de tenant. - </w:t>
      </w:r>
      <w:r>
        <w:rPr>
          <w:b/>
          <w:bCs/>
        </w:rPr>
        <w:t>Persistencia</w:t>
      </w:r>
      <w:r>
        <w:t xml:space="preserve">: queries filtradas por tenant; índices; particionado. - </w:t>
      </w:r>
      <w:r>
        <w:rPr>
          <w:b/>
          <w:bCs/>
        </w:rPr>
        <w:t>Cache</w:t>
      </w:r>
      <w:r>
        <w:t xml:space="preserve">: keys deben incluir tenant. - </w:t>
      </w:r>
      <w:r>
        <w:rPr>
          <w:b/>
          <w:bCs/>
        </w:rPr>
        <w:t>S</w:t>
      </w:r>
      <w:r>
        <w:rPr>
          <w:b/>
          <w:bCs/>
        </w:rPr>
        <w:t>earch/Vector store</w:t>
      </w:r>
      <w:r>
        <w:t>: filtros obligatorios por tenant y namespace.</w:t>
      </w:r>
    </w:p>
    <w:p w:rsidR="001C3E2A" w:rsidRDefault="007433CE">
      <w:pPr>
        <w:pStyle w:val="Ttulo3"/>
      </w:pPr>
      <w:bookmarkStart w:id="10" w:name="anti-patrones"/>
      <w:bookmarkEnd w:id="9"/>
      <w:r>
        <w:t>3.2 Anti-patrones</w:t>
      </w:r>
    </w:p>
    <w:p w:rsidR="001C3E2A" w:rsidRDefault="007433CE">
      <w:pPr>
        <w:pStyle w:val="Compact"/>
        <w:numPr>
          <w:ilvl w:val="0"/>
          <w:numId w:val="6"/>
        </w:numPr>
      </w:pPr>
      <w:r>
        <w:t>“Filtrar tenant en el front”: inseguro.</w:t>
      </w:r>
    </w:p>
    <w:p w:rsidR="001C3E2A" w:rsidRDefault="007433CE">
      <w:pPr>
        <w:pStyle w:val="Compact"/>
        <w:numPr>
          <w:ilvl w:val="0"/>
          <w:numId w:val="6"/>
        </w:numPr>
      </w:pPr>
      <w:r>
        <w:t>“Recordar filtrar en cada query manualmente”: propenso a errores.</w:t>
      </w:r>
    </w:p>
    <w:p w:rsidR="001C3E2A" w:rsidRDefault="007433CE">
      <w:pPr>
        <w:pStyle w:val="Compact"/>
        <w:numPr>
          <w:ilvl w:val="0"/>
          <w:numId w:val="6"/>
        </w:numPr>
      </w:pPr>
      <w:r>
        <w:t>“Un superadmin que ve todo sin auditoría”: riesgo de compliance.</w:t>
      </w:r>
    </w:p>
    <w:p w:rsidR="001C3E2A" w:rsidRDefault="007433CE">
      <w:pPr>
        <w:pStyle w:val="Ttulo3"/>
      </w:pPr>
      <w:bookmarkStart w:id="11" w:name="estrategias"/>
      <w:bookmarkEnd w:id="10"/>
      <w:r>
        <w:t>3.</w:t>
      </w:r>
      <w:r>
        <w:t>3 Estrategias</w:t>
      </w:r>
    </w:p>
    <w:p w:rsidR="001C3E2A" w:rsidRDefault="007433CE">
      <w:pPr>
        <w:pStyle w:val="Compact"/>
        <w:numPr>
          <w:ilvl w:val="0"/>
          <w:numId w:val="7"/>
        </w:numPr>
      </w:pPr>
      <w:r>
        <w:rPr>
          <w:b/>
          <w:bCs/>
        </w:rPr>
        <w:t>TenantContext obligatorio</w:t>
      </w:r>
      <w:r>
        <w:t xml:space="preserve"> (propagado por request).</w:t>
      </w:r>
    </w:p>
    <w:p w:rsidR="001C3E2A" w:rsidRDefault="007433CE">
      <w:pPr>
        <w:pStyle w:val="Compact"/>
        <w:numPr>
          <w:ilvl w:val="0"/>
          <w:numId w:val="7"/>
        </w:numPr>
      </w:pPr>
      <w:r>
        <w:rPr>
          <w:b/>
          <w:bCs/>
        </w:rPr>
        <w:t>Policy enforcement</w:t>
      </w:r>
      <w:r>
        <w:t xml:space="preserve"> central: interceptors, repositories, o middleware.</w:t>
      </w:r>
    </w:p>
    <w:p w:rsidR="001C3E2A" w:rsidRDefault="007433CE">
      <w:pPr>
        <w:pStyle w:val="Compact"/>
        <w:numPr>
          <w:ilvl w:val="0"/>
          <w:numId w:val="7"/>
        </w:numPr>
      </w:pPr>
      <w:r>
        <w:rPr>
          <w:b/>
          <w:bCs/>
        </w:rPr>
        <w:t>Auditoría</w:t>
      </w:r>
      <w:r>
        <w:t>: cualquier acceso cross-tenant (si existe) debe quedar registrado.</w:t>
      </w:r>
    </w:p>
    <w:p w:rsidR="001C3E2A" w:rsidRDefault="007433CE">
      <w:r>
        <w:pict>
          <v:rect id="_x0000_i1029" style="width:0;height:1.5pt" o:hralign="center" o:hrstd="t" o:hr="t"/>
        </w:pict>
      </w:r>
    </w:p>
    <w:p w:rsidR="001C3E2A" w:rsidRDefault="007433CE">
      <w:pPr>
        <w:pStyle w:val="Ttulo1"/>
      </w:pPr>
      <w:bookmarkStart w:id="12" w:name="X769954d871a959dfcbe73bcff32fd09ff072119"/>
      <w:bookmarkEnd w:id="8"/>
      <w:bookmarkEnd w:id="11"/>
      <w:r>
        <w:lastRenderedPageBreak/>
        <w:t>Página 4 — Multimoneda: razones de negocio</w:t>
      </w:r>
      <w:r>
        <w:t xml:space="preserve"> y requerimientos contables</w:t>
      </w:r>
    </w:p>
    <w:p w:rsidR="001C3E2A" w:rsidRDefault="007433CE">
      <w:pPr>
        <w:pStyle w:val="Ttulo3"/>
      </w:pPr>
      <w:bookmarkStart w:id="13" w:name="por-qué-multimoneda"/>
      <w:r>
        <w:t>4.1 ¿Por qué multimoneda?</w:t>
      </w:r>
    </w:p>
    <w:p w:rsidR="001C3E2A" w:rsidRDefault="007433CE">
      <w:pPr>
        <w:pStyle w:val="FirstParagraph"/>
      </w:pPr>
      <w:r>
        <w:t xml:space="preserve">En entornos reales: - compras se hacen en USD, ventas en moneda local, - pagos se reciben por pasarelas con distinta moneda, - proveedores y bancos operan con monedas diferentes, </w:t>
      </w:r>
      <w:r>
        <w:t>- empresas multinacionales consolidan estados financieros.</w:t>
      </w:r>
    </w:p>
    <w:p w:rsidR="001C3E2A" w:rsidRDefault="007433CE">
      <w:pPr>
        <w:pStyle w:val="Ttulo3"/>
      </w:pPr>
      <w:bookmarkStart w:id="14" w:name="implicaciones-contables"/>
      <w:bookmarkEnd w:id="13"/>
      <w:r>
        <w:t>4.2 Implicaciones contables</w:t>
      </w:r>
    </w:p>
    <w:p w:rsidR="001C3E2A" w:rsidRDefault="007433CE">
      <w:pPr>
        <w:pStyle w:val="FirstParagraph"/>
      </w:pPr>
      <w:r>
        <w:t xml:space="preserve">Multimoneda no es solo “mostrar un símbolo”. Implica: - </w:t>
      </w:r>
      <w:r>
        <w:rPr>
          <w:b/>
          <w:bCs/>
        </w:rPr>
        <w:t>moneda transaccional</w:t>
      </w:r>
      <w:r>
        <w:t xml:space="preserve"> (la de la operación), - </w:t>
      </w:r>
      <w:r>
        <w:rPr>
          <w:b/>
          <w:bCs/>
        </w:rPr>
        <w:t>moneda funcional</w:t>
      </w:r>
      <w:r>
        <w:t xml:space="preserve"> (la principal de la empresa), - </w:t>
      </w:r>
      <w:r>
        <w:rPr>
          <w:b/>
          <w:bCs/>
        </w:rPr>
        <w:t>moneda de reporte</w:t>
      </w:r>
      <w:r>
        <w:t xml:space="preserve"> (</w:t>
      </w:r>
      <w:r>
        <w:t>consolidación o auditoría), - tipos de cambio: spot, promedio, cierre.</w:t>
      </w:r>
    </w:p>
    <w:p w:rsidR="001C3E2A" w:rsidRDefault="007433CE">
      <w:pPr>
        <w:pStyle w:val="Ttulo3"/>
      </w:pPr>
      <w:bookmarkStart w:id="15" w:name="requerimientos-típicos"/>
      <w:bookmarkEnd w:id="14"/>
      <w:r>
        <w:t>4.3 Requerimientos típicos</w:t>
      </w:r>
    </w:p>
    <w:p w:rsidR="001C3E2A" w:rsidRDefault="007433CE">
      <w:pPr>
        <w:pStyle w:val="Compact"/>
        <w:numPr>
          <w:ilvl w:val="0"/>
          <w:numId w:val="8"/>
        </w:numPr>
      </w:pPr>
      <w:r>
        <w:t xml:space="preserve">registrar </w:t>
      </w:r>
      <w:r>
        <w:rPr>
          <w:b/>
          <w:bCs/>
        </w:rPr>
        <w:t>tipo de cambio usado</w:t>
      </w:r>
      <w:r>
        <w:t xml:space="preserve"> en cada transacción,</w:t>
      </w:r>
    </w:p>
    <w:p w:rsidR="001C3E2A" w:rsidRDefault="007433CE">
      <w:pPr>
        <w:pStyle w:val="Compact"/>
        <w:numPr>
          <w:ilvl w:val="0"/>
          <w:numId w:val="8"/>
        </w:numPr>
      </w:pPr>
      <w:r>
        <w:t>calcular diferencias de cambio,</w:t>
      </w:r>
    </w:p>
    <w:p w:rsidR="001C3E2A" w:rsidRDefault="007433CE">
      <w:pPr>
        <w:pStyle w:val="Compact"/>
        <w:numPr>
          <w:ilvl w:val="0"/>
          <w:numId w:val="8"/>
        </w:numPr>
      </w:pPr>
      <w:r>
        <w:t>revaluación de saldos,</w:t>
      </w:r>
    </w:p>
    <w:p w:rsidR="001C3E2A" w:rsidRDefault="007433CE">
      <w:pPr>
        <w:pStyle w:val="Compact"/>
        <w:numPr>
          <w:ilvl w:val="0"/>
          <w:numId w:val="8"/>
        </w:numPr>
      </w:pPr>
      <w:r>
        <w:t>reportes en moneda funcional y moneda de reporte.</w:t>
      </w:r>
    </w:p>
    <w:p w:rsidR="001C3E2A" w:rsidRDefault="007433CE">
      <w:r>
        <w:pict>
          <v:rect id="_x0000_i1030" style="width:0;height:1.5pt" o:hralign="center" o:hrstd="t" o:hr="t"/>
        </w:pict>
      </w:r>
    </w:p>
    <w:p w:rsidR="001C3E2A" w:rsidRDefault="007433CE">
      <w:pPr>
        <w:pStyle w:val="Ttulo1"/>
      </w:pPr>
      <w:bookmarkStart w:id="16" w:name="X11b7c02377a794c2c85b0657e85278f6e9de1cb"/>
      <w:bookmarkEnd w:id="12"/>
      <w:bookmarkEnd w:id="15"/>
      <w:r>
        <w:t>Página 5 — Diseño multimoneda: tipos de cambio, asientos y auditoría</w:t>
      </w:r>
    </w:p>
    <w:p w:rsidR="001C3E2A" w:rsidRDefault="007433CE">
      <w:pPr>
        <w:pStyle w:val="Ttulo3"/>
      </w:pPr>
      <w:bookmarkStart w:id="17" w:name="datos-mínimos-por-transacción"/>
      <w:r>
        <w:t>5.1 Datos mínimos por transacción</w:t>
      </w:r>
    </w:p>
    <w:p w:rsidR="001C3E2A" w:rsidRDefault="007433CE">
      <w:pPr>
        <w:pStyle w:val="FirstParagraph"/>
      </w:pPr>
      <w:r>
        <w:t xml:space="preserve">Toda transacción que involucre dinero debería almacenar: - </w:t>
      </w:r>
      <w:r>
        <w:rPr>
          <w:rStyle w:val="VerbatimChar"/>
        </w:rPr>
        <w:t>currency</w:t>
      </w:r>
      <w:r>
        <w:t xml:space="preserve"> (ISO 4217), - </w:t>
      </w:r>
      <w:r>
        <w:rPr>
          <w:rStyle w:val="VerbatimChar"/>
        </w:rPr>
        <w:t>amount</w:t>
      </w:r>
      <w:r>
        <w:t xml:space="preserve"> (decimal), - </w:t>
      </w:r>
      <w:r>
        <w:rPr>
          <w:rStyle w:val="VerbatimChar"/>
        </w:rPr>
        <w:t>fxRate</w:t>
      </w:r>
      <w:r>
        <w:t xml:space="preserve"> (tipo de cambio aplicado), - </w:t>
      </w:r>
      <w:r>
        <w:rPr>
          <w:rStyle w:val="VerbatimChar"/>
        </w:rPr>
        <w:t>baseAmount</w:t>
      </w:r>
      <w:r>
        <w:t xml:space="preserve"> </w:t>
      </w:r>
      <w:r>
        <w:t xml:space="preserve">(convertido a moneda funcional), - </w:t>
      </w:r>
      <w:r>
        <w:rPr>
          <w:rStyle w:val="VerbatimChar"/>
        </w:rPr>
        <w:t>rateSource</w:t>
      </w:r>
      <w:r>
        <w:t xml:space="preserve"> (origen: manual, API, banco).</w:t>
      </w:r>
    </w:p>
    <w:p w:rsidR="001C3E2A" w:rsidRDefault="007433CE">
      <w:pPr>
        <w:pStyle w:val="Ttulo3"/>
      </w:pPr>
      <w:bookmarkStart w:id="18" w:name="estrategia-de-precisión"/>
      <w:bookmarkEnd w:id="17"/>
      <w:r>
        <w:t>5.2 Estrategia de precisión</w:t>
      </w:r>
    </w:p>
    <w:p w:rsidR="001C3E2A" w:rsidRDefault="007433CE">
      <w:pPr>
        <w:pStyle w:val="Compact"/>
        <w:numPr>
          <w:ilvl w:val="0"/>
          <w:numId w:val="9"/>
        </w:numPr>
      </w:pPr>
      <w:r>
        <w:t>Decimales con precisión fija (ej. 18, 6 para FX).</w:t>
      </w:r>
    </w:p>
    <w:p w:rsidR="001C3E2A" w:rsidRDefault="007433CE">
      <w:pPr>
        <w:pStyle w:val="Compact"/>
        <w:numPr>
          <w:ilvl w:val="0"/>
          <w:numId w:val="9"/>
        </w:numPr>
      </w:pPr>
      <w:r>
        <w:t>Redondeo definido por política (bankers rounding o regla legal local).</w:t>
      </w:r>
    </w:p>
    <w:p w:rsidR="001C3E2A" w:rsidRDefault="007433CE">
      <w:pPr>
        <w:pStyle w:val="Ttulo3"/>
      </w:pPr>
      <w:bookmarkStart w:id="19" w:name="auditoría-y-reproducibilidad"/>
      <w:bookmarkEnd w:id="18"/>
      <w:r>
        <w:t>5.3 Auditoría y reproducibilida</w:t>
      </w:r>
      <w:r>
        <w:t>d</w:t>
      </w:r>
    </w:p>
    <w:p w:rsidR="001C3E2A" w:rsidRDefault="007433CE">
      <w:pPr>
        <w:pStyle w:val="FirstParagraph"/>
      </w:pPr>
      <w:r>
        <w:t>En enterprise, la contabilidad exige que: - el tipo de cambio usado quede registrado, - se pueda reconstruir el cálculo, - exista trazabilidad: quién cambió una tasa y cuándo.</w:t>
      </w:r>
    </w:p>
    <w:p w:rsidR="001C3E2A" w:rsidRDefault="007433CE">
      <w:r>
        <w:pict>
          <v:rect id="_x0000_i1031" style="width:0;height:1.5pt" o:hralign="center" o:hrstd="t" o:hr="t"/>
        </w:pict>
      </w:r>
    </w:p>
    <w:p w:rsidR="001C3E2A" w:rsidRDefault="007433CE">
      <w:pPr>
        <w:pStyle w:val="Ttulo1"/>
      </w:pPr>
      <w:bookmarkStart w:id="20" w:name="Xeba9b9a79a968309fbc3ee78674d51864beb812"/>
      <w:bookmarkEnd w:id="16"/>
      <w:bookmarkEnd w:id="19"/>
      <w:r>
        <w:lastRenderedPageBreak/>
        <w:t>Página 6 — Autorización fina: módulos, formularios, campos, acciones</w:t>
      </w:r>
    </w:p>
    <w:p w:rsidR="001C3E2A" w:rsidRDefault="007433CE">
      <w:pPr>
        <w:pStyle w:val="Ttulo3"/>
      </w:pPr>
      <w:bookmarkStart w:id="21" w:name="por-qué-autorización-fina"/>
      <w:r>
        <w:t>6.1 Por</w:t>
      </w:r>
      <w:r>
        <w:t xml:space="preserve"> qué autorización fina</w:t>
      </w:r>
    </w:p>
    <w:p w:rsidR="001C3E2A" w:rsidRDefault="007433CE">
      <w:pPr>
        <w:pStyle w:val="FirstParagraph"/>
      </w:pPr>
      <w:r>
        <w:t>Los sistemas empresariales manejan procesos sensibles: - salarios, pagos, nómina, - contratos, datos personales, - aprobaciones, auditoría, - compras/ventas con fraude potencial.</w:t>
      </w:r>
    </w:p>
    <w:p w:rsidR="001C3E2A" w:rsidRDefault="007433CE">
      <w:pPr>
        <w:pStyle w:val="Textoindependiente"/>
      </w:pPr>
      <w:r>
        <w:t>No basta con “rol admin/usuario”. Se requiere controla</w:t>
      </w:r>
      <w:r>
        <w:t xml:space="preserve">r: - </w:t>
      </w:r>
      <w:r>
        <w:rPr>
          <w:b/>
          <w:bCs/>
        </w:rPr>
        <w:t>módulo</w:t>
      </w:r>
      <w:r>
        <w:t xml:space="preserve"> (RRHH, Finanzas, Inventario) - </w:t>
      </w:r>
      <w:r>
        <w:rPr>
          <w:b/>
          <w:bCs/>
        </w:rPr>
        <w:t>formulario</w:t>
      </w:r>
      <w:r>
        <w:t xml:space="preserve"> (Alta empleado, Orden de compra) - </w:t>
      </w:r>
      <w:r>
        <w:rPr>
          <w:b/>
          <w:bCs/>
        </w:rPr>
        <w:t>acción</w:t>
      </w:r>
      <w:r>
        <w:t xml:space="preserve"> (ver, crear, editar, aprobar, exportar) - </w:t>
      </w:r>
      <w:r>
        <w:rPr>
          <w:b/>
          <w:bCs/>
        </w:rPr>
        <w:t>campo</w:t>
      </w:r>
      <w:r>
        <w:t xml:space="preserve"> (salario, número de cuenta, NIT)</w:t>
      </w:r>
    </w:p>
    <w:p w:rsidR="001C3E2A" w:rsidRDefault="007433CE">
      <w:pPr>
        <w:pStyle w:val="Ttulo3"/>
      </w:pPr>
      <w:bookmarkStart w:id="22" w:name="modelo-de-acciones"/>
      <w:bookmarkEnd w:id="21"/>
      <w:r>
        <w:t>6.2 Modelo de acciones</w:t>
      </w:r>
    </w:p>
    <w:p w:rsidR="001C3E2A" w:rsidRDefault="007433CE">
      <w:pPr>
        <w:pStyle w:val="FirstParagraph"/>
      </w:pPr>
      <w:r>
        <w:t xml:space="preserve">Acciones típicas a estandarizar: - </w:t>
      </w:r>
      <w:r>
        <w:rPr>
          <w:rStyle w:val="VerbatimChar"/>
        </w:rPr>
        <w:t>READ</w:t>
      </w:r>
      <w:r>
        <w:t xml:space="preserve">, </w:t>
      </w:r>
      <w:r>
        <w:rPr>
          <w:rStyle w:val="VerbatimChar"/>
        </w:rPr>
        <w:t>CREATE</w:t>
      </w:r>
      <w:r>
        <w:t xml:space="preserve">, </w:t>
      </w:r>
      <w:r>
        <w:rPr>
          <w:rStyle w:val="VerbatimChar"/>
        </w:rPr>
        <w:t>UPDATE</w:t>
      </w:r>
      <w:r>
        <w:t>,</w:t>
      </w:r>
      <w:r>
        <w:t xml:space="preserve"> </w:t>
      </w:r>
      <w:r>
        <w:rPr>
          <w:rStyle w:val="VerbatimChar"/>
        </w:rPr>
        <w:t>DELETE</w:t>
      </w:r>
      <w:r>
        <w:t xml:space="preserve"> - </w:t>
      </w:r>
      <w:r>
        <w:rPr>
          <w:rStyle w:val="VerbatimChar"/>
        </w:rPr>
        <w:t>APPROVE</w:t>
      </w:r>
      <w:r>
        <w:t xml:space="preserve">, </w:t>
      </w:r>
      <w:r>
        <w:rPr>
          <w:rStyle w:val="VerbatimChar"/>
        </w:rPr>
        <w:t>REJECT</w:t>
      </w:r>
      <w:r>
        <w:t xml:space="preserve"> - </w:t>
      </w:r>
      <w:r>
        <w:rPr>
          <w:rStyle w:val="VerbatimChar"/>
        </w:rPr>
        <w:t>EXPORT</w:t>
      </w:r>
      <w:r>
        <w:t xml:space="preserve">, </w:t>
      </w:r>
      <w:r>
        <w:rPr>
          <w:rStyle w:val="VerbatimChar"/>
        </w:rPr>
        <w:t>IMPORT</w:t>
      </w:r>
      <w:r>
        <w:t xml:space="preserve"> - </w:t>
      </w:r>
      <w:r>
        <w:rPr>
          <w:rStyle w:val="VerbatimChar"/>
        </w:rPr>
        <w:t>ASSIGN</w:t>
      </w:r>
      <w:r>
        <w:t xml:space="preserve">, </w:t>
      </w:r>
      <w:r>
        <w:rPr>
          <w:rStyle w:val="VerbatimChar"/>
        </w:rPr>
        <w:t>UNASSIGN</w:t>
      </w:r>
      <w:r>
        <w:t xml:space="preserve"> - </w:t>
      </w:r>
      <w:r>
        <w:rPr>
          <w:rStyle w:val="VerbatimChar"/>
        </w:rPr>
        <w:t>VIEW_SENSITIVE_FIELD</w:t>
      </w:r>
    </w:p>
    <w:p w:rsidR="001C3E2A" w:rsidRDefault="007433CE">
      <w:pPr>
        <w:pStyle w:val="Ttulo3"/>
      </w:pPr>
      <w:bookmarkStart w:id="23" w:name="camposatributos-field-level-security"/>
      <w:bookmarkEnd w:id="22"/>
      <w:r>
        <w:t>6.3 Campos/atributos (Field-Level Security)</w:t>
      </w:r>
    </w:p>
    <w:p w:rsidR="001C3E2A" w:rsidRDefault="007433CE">
      <w:pPr>
        <w:pStyle w:val="FirstParagraph"/>
      </w:pPr>
      <w:r>
        <w:t>Permite: - ocultar o enmascarar datos (PII), - permitir edición parcial, - cumplir normas de privacidad.</w:t>
      </w:r>
    </w:p>
    <w:p w:rsidR="001C3E2A" w:rsidRDefault="007433CE">
      <w:r>
        <w:pict>
          <v:rect id="_x0000_i1032" style="width:0;height:1.5pt" o:hralign="center" o:hrstd="t" o:hr="t"/>
        </w:pict>
      </w:r>
    </w:p>
    <w:p w:rsidR="001C3E2A" w:rsidRDefault="007433CE">
      <w:pPr>
        <w:pStyle w:val="Ttulo1"/>
      </w:pPr>
      <w:bookmarkStart w:id="24" w:name="Xf3f4f1caa9061fc9f900e648cc7e8c045bb36fc"/>
      <w:bookmarkEnd w:id="20"/>
      <w:bookmarkEnd w:id="23"/>
      <w:r>
        <w:t>Página 7 — Modelo de permisos: RBAC/ABAC híbrido y jerarquía</w:t>
      </w:r>
    </w:p>
    <w:p w:rsidR="001C3E2A" w:rsidRDefault="007433CE">
      <w:pPr>
        <w:pStyle w:val="Ttulo3"/>
      </w:pPr>
      <w:bookmarkStart w:id="25" w:name="rbac-role-based-access-control"/>
      <w:r>
        <w:t>7.1 RBAC (Role-Based Access Control)</w:t>
      </w:r>
    </w:p>
    <w:p w:rsidR="001C3E2A" w:rsidRDefault="007433CE">
      <w:pPr>
        <w:pStyle w:val="Compact"/>
        <w:numPr>
          <w:ilvl w:val="0"/>
          <w:numId w:val="10"/>
        </w:numPr>
      </w:pPr>
      <w:r>
        <w:t>asignar roles a usuarios/grupos.</w:t>
      </w:r>
    </w:p>
    <w:p w:rsidR="001C3E2A" w:rsidRDefault="007433CE">
      <w:pPr>
        <w:pStyle w:val="Compact"/>
        <w:numPr>
          <w:ilvl w:val="0"/>
          <w:numId w:val="10"/>
        </w:numPr>
      </w:pPr>
      <w:r>
        <w:t>roles agrupan permisos.</w:t>
      </w:r>
    </w:p>
    <w:p w:rsidR="001C3E2A" w:rsidRDefault="007433CE">
      <w:pPr>
        <w:pStyle w:val="FirstParagraph"/>
      </w:pPr>
      <w:r>
        <w:t xml:space="preserve">Ventajas: simple de administrar. Limitación: difícil expresar condiciones (solo su sucursal, solo su </w:t>
      </w:r>
      <w:r>
        <w:t>departamento).</w:t>
      </w:r>
    </w:p>
    <w:p w:rsidR="001C3E2A" w:rsidRDefault="007433CE">
      <w:pPr>
        <w:pStyle w:val="Ttulo3"/>
      </w:pPr>
      <w:bookmarkStart w:id="26" w:name="abac-attribute-based-access-control"/>
      <w:bookmarkEnd w:id="25"/>
      <w:r>
        <w:t>7.2 ABAC (Attribute-Based Access Control)</w:t>
      </w:r>
    </w:p>
    <w:p w:rsidR="001C3E2A" w:rsidRDefault="007433CE">
      <w:pPr>
        <w:pStyle w:val="Compact"/>
        <w:numPr>
          <w:ilvl w:val="0"/>
          <w:numId w:val="11"/>
        </w:numPr>
      </w:pPr>
      <w:r>
        <w:t>decisiones basadas en atributos:</w:t>
      </w:r>
    </w:p>
    <w:p w:rsidR="001C3E2A" w:rsidRDefault="007433CE">
      <w:pPr>
        <w:pStyle w:val="Compact"/>
        <w:numPr>
          <w:ilvl w:val="1"/>
          <w:numId w:val="12"/>
        </w:numPr>
      </w:pPr>
      <w:r>
        <w:rPr>
          <w:rStyle w:val="VerbatimChar"/>
        </w:rPr>
        <w:t>tenantId</w:t>
      </w:r>
      <w:r>
        <w:t xml:space="preserve">, </w:t>
      </w:r>
      <w:r>
        <w:rPr>
          <w:rStyle w:val="VerbatimChar"/>
        </w:rPr>
        <w:t>companyId</w:t>
      </w:r>
      <w:r>
        <w:t xml:space="preserve">, </w:t>
      </w:r>
      <w:r>
        <w:rPr>
          <w:rStyle w:val="VerbatimChar"/>
        </w:rPr>
        <w:t>branchId</w:t>
      </w:r>
      <w:r>
        <w:t xml:space="preserve">, </w:t>
      </w:r>
      <w:r>
        <w:rPr>
          <w:rStyle w:val="VerbatimChar"/>
        </w:rPr>
        <w:t>departmentId</w:t>
      </w:r>
      <w:r>
        <w:t xml:space="preserve">, </w:t>
      </w:r>
      <w:r>
        <w:rPr>
          <w:rStyle w:val="VerbatimChar"/>
        </w:rPr>
        <w:t>jobGrade</w:t>
      </w:r>
    </w:p>
    <w:p w:rsidR="001C3E2A" w:rsidRDefault="007433CE">
      <w:pPr>
        <w:pStyle w:val="Compact"/>
        <w:numPr>
          <w:ilvl w:val="1"/>
          <w:numId w:val="12"/>
        </w:numPr>
      </w:pPr>
      <w:r>
        <w:t>contexto: hora, ubicación, riesgo.</w:t>
      </w:r>
    </w:p>
    <w:p w:rsidR="001C3E2A" w:rsidRDefault="007433CE">
      <w:pPr>
        <w:pStyle w:val="FirstParagraph"/>
      </w:pPr>
      <w:r>
        <w:t>Ventajas: expresivo. Limitación: requiere buen diseño de políticas.</w:t>
      </w:r>
    </w:p>
    <w:p w:rsidR="001C3E2A" w:rsidRDefault="007433CE">
      <w:pPr>
        <w:pStyle w:val="Ttulo3"/>
      </w:pPr>
      <w:bookmarkStart w:id="27" w:name="híbrido-recomendado"/>
      <w:bookmarkEnd w:id="26"/>
      <w:r>
        <w:t>7.3 Híbrido recomendado</w:t>
      </w:r>
    </w:p>
    <w:p w:rsidR="001C3E2A" w:rsidRDefault="007433CE">
      <w:pPr>
        <w:pStyle w:val="Compact"/>
        <w:numPr>
          <w:ilvl w:val="0"/>
          <w:numId w:val="13"/>
        </w:numPr>
      </w:pPr>
      <w:r>
        <w:t>RBAC para “qué puede hacer”.</w:t>
      </w:r>
    </w:p>
    <w:p w:rsidR="001C3E2A" w:rsidRDefault="007433CE">
      <w:pPr>
        <w:pStyle w:val="Compact"/>
        <w:numPr>
          <w:ilvl w:val="0"/>
          <w:numId w:val="13"/>
        </w:numPr>
      </w:pPr>
      <w:r>
        <w:t>ABAC para “sobre qué datos y bajo qué condiciones”.</w:t>
      </w:r>
    </w:p>
    <w:p w:rsidR="001C3E2A" w:rsidRDefault="007433CE">
      <w:pPr>
        <w:pStyle w:val="FirstParagraph"/>
      </w:pPr>
      <w:r>
        <w:t xml:space="preserve">Ejemplo: - Rol: </w:t>
      </w:r>
      <w:r>
        <w:rPr>
          <w:rStyle w:val="VerbatimChar"/>
        </w:rPr>
        <w:t>HR_MANAGER</w:t>
      </w:r>
      <w:r>
        <w:t xml:space="preserve"> (puede </w:t>
      </w:r>
      <w:r>
        <w:rPr>
          <w:rStyle w:val="VerbatimChar"/>
        </w:rPr>
        <w:t>UPDATE_EMPLOYEE</w:t>
      </w:r>
      <w:r>
        <w:t xml:space="preserve">). - Política ABAC: solo empleados de su </w:t>
      </w:r>
      <w:r>
        <w:rPr>
          <w:rStyle w:val="VerbatimChar"/>
        </w:rPr>
        <w:t>branchId</w:t>
      </w:r>
      <w:r>
        <w:t>.</w:t>
      </w:r>
    </w:p>
    <w:p w:rsidR="001C3E2A" w:rsidRDefault="007433CE">
      <w:r>
        <w:pict>
          <v:rect id="_x0000_i1033" style="width:0;height:1.5pt" o:hralign="center" o:hrstd="t" o:hr="t"/>
        </w:pict>
      </w:r>
    </w:p>
    <w:p w:rsidR="001C3E2A" w:rsidRDefault="007433CE">
      <w:pPr>
        <w:pStyle w:val="Ttulo1"/>
      </w:pPr>
      <w:bookmarkStart w:id="28" w:name="X08d0890617abb4cd0e3d980077a5940a0dead69"/>
      <w:bookmarkEnd w:id="24"/>
      <w:bookmarkEnd w:id="27"/>
      <w:r>
        <w:lastRenderedPageBreak/>
        <w:t>Página 8 — Por qué no hardcodear: riesgos y costo</w:t>
      </w:r>
      <w:r>
        <w:t>s</w:t>
      </w:r>
    </w:p>
    <w:p w:rsidR="001C3E2A" w:rsidRDefault="007433CE">
      <w:pPr>
        <w:pStyle w:val="FirstParagraph"/>
      </w:pPr>
      <w:r>
        <w:t>Hardcodear multiempresa/multimoneda/permisos es un anti-patrón frecuente que produce:</w:t>
      </w:r>
    </w:p>
    <w:p w:rsidR="001C3E2A" w:rsidRDefault="007433CE">
      <w:pPr>
        <w:pStyle w:val="Ttulo3"/>
      </w:pPr>
      <w:bookmarkStart w:id="29" w:name="riesgo-técnico"/>
      <w:r>
        <w:t>8.1 Riesgo técnico</w:t>
      </w:r>
    </w:p>
    <w:p w:rsidR="001C3E2A" w:rsidRDefault="007433CE">
      <w:pPr>
        <w:pStyle w:val="Compact"/>
        <w:numPr>
          <w:ilvl w:val="0"/>
          <w:numId w:val="14"/>
        </w:numPr>
      </w:pPr>
      <w:r>
        <w:t>cambios obligan a recompilar/desplegar.</w:t>
      </w:r>
    </w:p>
    <w:p w:rsidR="001C3E2A" w:rsidRDefault="007433CE">
      <w:pPr>
        <w:pStyle w:val="Compact"/>
        <w:numPr>
          <w:ilvl w:val="0"/>
          <w:numId w:val="14"/>
        </w:numPr>
      </w:pPr>
      <w:r>
        <w:t>lógica dispersa e inconsistente.</w:t>
      </w:r>
    </w:p>
    <w:p w:rsidR="001C3E2A" w:rsidRDefault="007433CE">
      <w:pPr>
        <w:pStyle w:val="Compact"/>
        <w:numPr>
          <w:ilvl w:val="0"/>
          <w:numId w:val="14"/>
        </w:numPr>
      </w:pPr>
      <w:r>
        <w:t>bugs de seguridad por omisiones.</w:t>
      </w:r>
    </w:p>
    <w:p w:rsidR="001C3E2A" w:rsidRDefault="007433CE">
      <w:pPr>
        <w:pStyle w:val="Ttulo3"/>
      </w:pPr>
      <w:bookmarkStart w:id="30" w:name="riesgo-organizacional"/>
      <w:bookmarkEnd w:id="29"/>
      <w:r>
        <w:t>8.2 Riesgo organizacional</w:t>
      </w:r>
    </w:p>
    <w:p w:rsidR="001C3E2A" w:rsidRDefault="007433CE">
      <w:pPr>
        <w:pStyle w:val="Compact"/>
        <w:numPr>
          <w:ilvl w:val="0"/>
          <w:numId w:val="15"/>
        </w:numPr>
      </w:pPr>
      <w:r>
        <w:t>dependencia del e</w:t>
      </w:r>
      <w:r>
        <w:t>quipo de desarrollo para cambios operativos.</w:t>
      </w:r>
    </w:p>
    <w:p w:rsidR="001C3E2A" w:rsidRDefault="007433CE">
      <w:pPr>
        <w:pStyle w:val="Compact"/>
        <w:numPr>
          <w:ilvl w:val="0"/>
          <w:numId w:val="15"/>
        </w:numPr>
      </w:pPr>
      <w:r>
        <w:t>tiempos largos de respuesta ante auditorías.</w:t>
      </w:r>
    </w:p>
    <w:p w:rsidR="001C3E2A" w:rsidRDefault="007433CE">
      <w:pPr>
        <w:pStyle w:val="Compact"/>
        <w:numPr>
          <w:ilvl w:val="0"/>
          <w:numId w:val="15"/>
        </w:numPr>
      </w:pPr>
      <w:r>
        <w:t>dificultad para vender a empresas con reglas particulares.</w:t>
      </w:r>
    </w:p>
    <w:p w:rsidR="001C3E2A" w:rsidRDefault="007433CE">
      <w:pPr>
        <w:pStyle w:val="Ttulo3"/>
      </w:pPr>
      <w:bookmarkStart w:id="31" w:name="riesgo-legalcompliance"/>
      <w:bookmarkEnd w:id="30"/>
      <w:r>
        <w:t>8.3 Riesgo legal/compliance</w:t>
      </w:r>
    </w:p>
    <w:p w:rsidR="001C3E2A" w:rsidRDefault="007433CE">
      <w:pPr>
        <w:pStyle w:val="Compact"/>
        <w:numPr>
          <w:ilvl w:val="0"/>
          <w:numId w:val="16"/>
        </w:numPr>
      </w:pPr>
      <w:r>
        <w:t>permisos mal implementados generan fuga de datos.</w:t>
      </w:r>
    </w:p>
    <w:p w:rsidR="001C3E2A" w:rsidRDefault="007433CE">
      <w:pPr>
        <w:pStyle w:val="Compact"/>
        <w:numPr>
          <w:ilvl w:val="0"/>
          <w:numId w:val="16"/>
        </w:numPr>
      </w:pPr>
      <w:r>
        <w:t>fallas de auditoría pueden implicar sanciones.</w:t>
      </w:r>
    </w:p>
    <w:p w:rsidR="001C3E2A" w:rsidRDefault="007433CE">
      <w:pPr>
        <w:pStyle w:val="FirstParagraph"/>
      </w:pPr>
      <w:r>
        <w:t xml:space="preserve">Conclusión académica: estos aspectos son parte del </w:t>
      </w:r>
      <w:r>
        <w:rPr>
          <w:b/>
          <w:bCs/>
        </w:rPr>
        <w:t>modelo de configuración</w:t>
      </w:r>
      <w:r>
        <w:t xml:space="preserve"> y </w:t>
      </w:r>
      <w:r>
        <w:rPr>
          <w:b/>
          <w:bCs/>
        </w:rPr>
        <w:t>gobernanza</w:t>
      </w:r>
      <w:r>
        <w:t>, no del código rígido.</w:t>
      </w:r>
    </w:p>
    <w:p w:rsidR="001C3E2A" w:rsidRDefault="007433CE">
      <w:r>
        <w:pict>
          <v:rect id="_x0000_i1034" style="width:0;height:1.5pt" o:hralign="center" o:hrstd="t" o:hr="t"/>
        </w:pict>
      </w:r>
    </w:p>
    <w:p w:rsidR="001C3E2A" w:rsidRDefault="007433CE">
      <w:pPr>
        <w:pStyle w:val="Ttulo1"/>
      </w:pPr>
      <w:bookmarkStart w:id="32" w:name="Xa2699fc75d1f5bbb384f1d013d2d35a0dccc8b4"/>
      <w:bookmarkEnd w:id="28"/>
      <w:bookmarkEnd w:id="31"/>
      <w:r>
        <w:t>Página 9 — Parametrización: catálogo de permisos, metamodelo de UI y políticas</w:t>
      </w:r>
    </w:p>
    <w:p w:rsidR="001C3E2A" w:rsidRDefault="007433CE">
      <w:pPr>
        <w:pStyle w:val="Ttulo3"/>
      </w:pPr>
      <w:bookmarkStart w:id="33" w:name="catálogo-parametrizable-de-permisos"/>
      <w:r>
        <w:t>9.1 Catálogo para</w:t>
      </w:r>
      <w:r>
        <w:t>metrizable de permisos</w:t>
      </w:r>
    </w:p>
    <w:p w:rsidR="001C3E2A" w:rsidRDefault="007433CE">
      <w:pPr>
        <w:pStyle w:val="FirstParagraph"/>
      </w:pPr>
      <w:r>
        <w:t xml:space="preserve">En vez de hardcodear, se define un catálogo: - </w:t>
      </w:r>
      <w:r>
        <w:rPr>
          <w:rStyle w:val="VerbatimChar"/>
        </w:rPr>
        <w:t>Module</w:t>
      </w:r>
      <w:r>
        <w:t xml:space="preserve"> (código, nombre, orden) - </w:t>
      </w:r>
      <w:r>
        <w:rPr>
          <w:rStyle w:val="VerbatimChar"/>
        </w:rPr>
        <w:t>Feature/Form</w:t>
      </w:r>
      <w:r>
        <w:t xml:space="preserve"> (pantalla, endpoint, caso de uso) - </w:t>
      </w:r>
      <w:r>
        <w:rPr>
          <w:rStyle w:val="VerbatimChar"/>
        </w:rPr>
        <w:t>Action</w:t>
      </w:r>
      <w:r>
        <w:t xml:space="preserve"> (READ/CREATE/APPROVE…) - </w:t>
      </w:r>
      <w:r>
        <w:rPr>
          <w:rStyle w:val="VerbatimChar"/>
        </w:rPr>
        <w:t>Attribute</w:t>
      </w:r>
      <w:r>
        <w:t xml:space="preserve"> (campo, sensibilidad)</w:t>
      </w:r>
    </w:p>
    <w:p w:rsidR="001C3E2A" w:rsidRDefault="007433CE">
      <w:pPr>
        <w:pStyle w:val="Ttulo3"/>
      </w:pPr>
      <w:bookmarkStart w:id="34" w:name="metamodelo-de-ui"/>
      <w:bookmarkEnd w:id="33"/>
      <w:r>
        <w:t>9.2 Metamodelo de UI</w:t>
      </w:r>
    </w:p>
    <w:p w:rsidR="001C3E2A" w:rsidRDefault="007433CE">
      <w:pPr>
        <w:pStyle w:val="FirstParagraph"/>
      </w:pPr>
      <w:r>
        <w:t>Permite que: - el f</w:t>
      </w:r>
      <w:r>
        <w:t>ront construya menús por configuración, - se habiliten formularios por tenant, - se oculten campos sin recompilar.</w:t>
      </w:r>
    </w:p>
    <w:p w:rsidR="001C3E2A" w:rsidRDefault="007433CE">
      <w:pPr>
        <w:pStyle w:val="Ttulo3"/>
      </w:pPr>
      <w:bookmarkStart w:id="35" w:name="políticas-y-versionado"/>
      <w:bookmarkEnd w:id="34"/>
      <w:r>
        <w:t>9.3 Políticas y versionado</w:t>
      </w:r>
    </w:p>
    <w:p w:rsidR="001C3E2A" w:rsidRDefault="007433CE">
      <w:pPr>
        <w:pStyle w:val="Compact"/>
        <w:numPr>
          <w:ilvl w:val="0"/>
          <w:numId w:val="17"/>
        </w:numPr>
      </w:pPr>
      <w:r>
        <w:t>Permisos y políticas deben tener:</w:t>
      </w:r>
    </w:p>
    <w:p w:rsidR="001C3E2A" w:rsidRDefault="007433CE">
      <w:pPr>
        <w:pStyle w:val="Compact"/>
        <w:numPr>
          <w:ilvl w:val="1"/>
          <w:numId w:val="18"/>
        </w:numPr>
      </w:pPr>
      <w:r>
        <w:t>vigencia (effectiveFrom/effectiveTo)</w:t>
      </w:r>
    </w:p>
    <w:p w:rsidR="001C3E2A" w:rsidRDefault="007433CE">
      <w:pPr>
        <w:pStyle w:val="Compact"/>
        <w:numPr>
          <w:ilvl w:val="1"/>
          <w:numId w:val="18"/>
        </w:numPr>
      </w:pPr>
      <w:r>
        <w:t>versionado</w:t>
      </w:r>
    </w:p>
    <w:p w:rsidR="001C3E2A" w:rsidRDefault="007433CE">
      <w:pPr>
        <w:pStyle w:val="Compact"/>
        <w:numPr>
          <w:ilvl w:val="1"/>
          <w:numId w:val="18"/>
        </w:numPr>
      </w:pPr>
      <w:r>
        <w:t>auditoría</w:t>
      </w:r>
    </w:p>
    <w:p w:rsidR="001C3E2A" w:rsidRDefault="007433CE">
      <w:pPr>
        <w:pStyle w:val="FirstParagraph"/>
      </w:pPr>
      <w:r>
        <w:t>Esto habilita “cambios</w:t>
      </w:r>
      <w:r>
        <w:t xml:space="preserve"> controlados” y rollback.</w:t>
      </w:r>
    </w:p>
    <w:p w:rsidR="001C3E2A" w:rsidRDefault="007433CE">
      <w:r>
        <w:pict>
          <v:rect id="_x0000_i1035" style="width:0;height:1.5pt" o:hralign="center" o:hrstd="t" o:hr="t"/>
        </w:pict>
      </w:r>
    </w:p>
    <w:p w:rsidR="001C3E2A" w:rsidRDefault="007433CE">
      <w:pPr>
        <w:pStyle w:val="Ttulo1"/>
      </w:pPr>
      <w:bookmarkStart w:id="36" w:name="X9444e604770e13cff0f4d0d600290da51a8ecb6"/>
      <w:bookmarkEnd w:id="32"/>
      <w:bookmarkEnd w:id="35"/>
      <w:r>
        <w:lastRenderedPageBreak/>
        <w:t>Página 10 — Implementación recomendada: arquitectura, datos y operación</w:t>
      </w:r>
    </w:p>
    <w:p w:rsidR="001C3E2A" w:rsidRDefault="007433CE">
      <w:pPr>
        <w:pStyle w:val="Ttulo3"/>
      </w:pPr>
      <w:bookmarkStart w:id="37" w:name="X11e26733f10f2b7a7d839d0cbcf5eca1dab5d4f"/>
      <w:r>
        <w:t>10.1 Arquitectura (relación con core-platform + iam-service)</w:t>
      </w:r>
    </w:p>
    <w:p w:rsidR="001C3E2A" w:rsidRDefault="007433CE">
      <w:pPr>
        <w:pStyle w:val="Compact"/>
        <w:numPr>
          <w:ilvl w:val="0"/>
          <w:numId w:val="19"/>
        </w:numPr>
      </w:pPr>
      <w:r>
        <w:rPr>
          <w:b/>
          <w:bCs/>
        </w:rPr>
        <w:t>iam-service</w:t>
      </w:r>
      <w:r>
        <w:t xml:space="preserve"> es la fuente de verdad de:</w:t>
      </w:r>
    </w:p>
    <w:p w:rsidR="001C3E2A" w:rsidRDefault="007433CE">
      <w:pPr>
        <w:pStyle w:val="Compact"/>
        <w:numPr>
          <w:ilvl w:val="1"/>
          <w:numId w:val="20"/>
        </w:numPr>
      </w:pPr>
      <w:r>
        <w:t>usuarios, roles, permisos</w:t>
      </w:r>
    </w:p>
    <w:p w:rsidR="001C3E2A" w:rsidRDefault="007433CE">
      <w:pPr>
        <w:pStyle w:val="Compact"/>
        <w:numPr>
          <w:ilvl w:val="1"/>
          <w:numId w:val="20"/>
        </w:numPr>
      </w:pPr>
      <w:r>
        <w:t>políticas ABAC</w:t>
      </w:r>
    </w:p>
    <w:p w:rsidR="001C3E2A" w:rsidRDefault="007433CE">
      <w:pPr>
        <w:pStyle w:val="Compact"/>
        <w:numPr>
          <w:ilvl w:val="0"/>
          <w:numId w:val="19"/>
        </w:numPr>
      </w:pPr>
      <w:r>
        <w:rPr>
          <w:b/>
          <w:bCs/>
        </w:rPr>
        <w:t>core-platform</w:t>
      </w:r>
      <w:r>
        <w:t xml:space="preserve"> </w:t>
      </w:r>
      <w:r>
        <w:t>provee:</w:t>
      </w:r>
    </w:p>
    <w:p w:rsidR="001C3E2A" w:rsidRDefault="007433CE">
      <w:pPr>
        <w:pStyle w:val="Compact"/>
        <w:numPr>
          <w:ilvl w:val="1"/>
          <w:numId w:val="21"/>
        </w:numPr>
      </w:pPr>
      <w:r>
        <w:t>TenantContext</w:t>
      </w:r>
    </w:p>
    <w:p w:rsidR="001C3E2A" w:rsidRDefault="007433CE">
      <w:pPr>
        <w:pStyle w:val="Compact"/>
        <w:numPr>
          <w:ilvl w:val="1"/>
          <w:numId w:val="21"/>
        </w:numPr>
      </w:pPr>
      <w:r>
        <w:t>utilidades de seguridad</w:t>
      </w:r>
    </w:p>
    <w:p w:rsidR="001C3E2A" w:rsidRDefault="007433CE">
      <w:pPr>
        <w:pStyle w:val="Compact"/>
        <w:numPr>
          <w:ilvl w:val="1"/>
          <w:numId w:val="21"/>
        </w:numPr>
      </w:pPr>
      <w:r>
        <w:t>auditoría estándar</w:t>
      </w:r>
    </w:p>
    <w:p w:rsidR="001C3E2A" w:rsidRDefault="007433CE">
      <w:pPr>
        <w:pStyle w:val="Compact"/>
        <w:numPr>
          <w:ilvl w:val="0"/>
          <w:numId w:val="19"/>
        </w:numPr>
      </w:pPr>
      <w:r>
        <w:t xml:space="preserve">Verticales y </w:t>
      </w:r>
      <w:r>
        <w:rPr>
          <w:b/>
          <w:bCs/>
        </w:rPr>
        <w:t>ai-service</w:t>
      </w:r>
      <w:r>
        <w:t xml:space="preserve"> consumen:</w:t>
      </w:r>
    </w:p>
    <w:p w:rsidR="001C3E2A" w:rsidRDefault="007433CE">
      <w:pPr>
        <w:pStyle w:val="Compact"/>
        <w:numPr>
          <w:ilvl w:val="1"/>
          <w:numId w:val="22"/>
        </w:numPr>
      </w:pPr>
      <w:r>
        <w:t>JWT con claims</w:t>
      </w:r>
    </w:p>
    <w:p w:rsidR="001C3E2A" w:rsidRDefault="007433CE">
      <w:pPr>
        <w:pStyle w:val="Compact"/>
        <w:numPr>
          <w:ilvl w:val="1"/>
          <w:numId w:val="22"/>
        </w:numPr>
      </w:pPr>
      <w:r>
        <w:t>endpoints de IAM para administración</w:t>
      </w:r>
    </w:p>
    <w:p w:rsidR="001C3E2A" w:rsidRDefault="007433CE">
      <w:pPr>
        <w:pStyle w:val="Ttulo3"/>
      </w:pPr>
      <w:bookmarkStart w:id="38" w:name="modelo-de-datos-alto-nivel"/>
      <w:bookmarkEnd w:id="37"/>
      <w:r>
        <w:t>10.2 Modelo de datos (alto nivel)</w:t>
      </w:r>
    </w:p>
    <w:p w:rsidR="001C3E2A" w:rsidRDefault="007433CE">
      <w:pPr>
        <w:pStyle w:val="Compact"/>
        <w:numPr>
          <w:ilvl w:val="0"/>
          <w:numId w:val="23"/>
        </w:numPr>
      </w:pPr>
      <w:r>
        <w:rPr>
          <w:rStyle w:val="VerbatimChar"/>
        </w:rPr>
        <w:t>tenant</w:t>
      </w:r>
    </w:p>
    <w:p w:rsidR="001C3E2A" w:rsidRDefault="007433CE">
      <w:pPr>
        <w:pStyle w:val="Compact"/>
        <w:numPr>
          <w:ilvl w:val="0"/>
          <w:numId w:val="23"/>
        </w:numPr>
      </w:pPr>
      <w:r>
        <w:rPr>
          <w:rStyle w:val="VerbatimChar"/>
        </w:rPr>
        <w:t>company</w:t>
      </w:r>
      <w:r>
        <w:t xml:space="preserve"> (empresa legal)</w:t>
      </w:r>
    </w:p>
    <w:p w:rsidR="001C3E2A" w:rsidRDefault="007433CE">
      <w:pPr>
        <w:pStyle w:val="Compact"/>
        <w:numPr>
          <w:ilvl w:val="0"/>
          <w:numId w:val="23"/>
        </w:numPr>
      </w:pPr>
      <w:r>
        <w:rPr>
          <w:rStyle w:val="VerbatimChar"/>
        </w:rPr>
        <w:t>branch</w:t>
      </w:r>
    </w:p>
    <w:p w:rsidR="001C3E2A" w:rsidRDefault="007433CE">
      <w:pPr>
        <w:pStyle w:val="Compact"/>
        <w:numPr>
          <w:ilvl w:val="0"/>
          <w:numId w:val="23"/>
        </w:numPr>
      </w:pPr>
      <w:r>
        <w:rPr>
          <w:rStyle w:val="VerbatimChar"/>
        </w:rPr>
        <w:t>currency</w:t>
      </w:r>
    </w:p>
    <w:p w:rsidR="001C3E2A" w:rsidRDefault="007433CE">
      <w:pPr>
        <w:pStyle w:val="Compact"/>
        <w:numPr>
          <w:ilvl w:val="0"/>
          <w:numId w:val="23"/>
        </w:numPr>
      </w:pPr>
      <w:r>
        <w:rPr>
          <w:rStyle w:val="VerbatimChar"/>
        </w:rPr>
        <w:t>fx_rate</w:t>
      </w:r>
    </w:p>
    <w:p w:rsidR="001C3E2A" w:rsidRDefault="007433CE">
      <w:pPr>
        <w:pStyle w:val="Compact"/>
        <w:numPr>
          <w:ilvl w:val="0"/>
          <w:numId w:val="23"/>
        </w:numPr>
      </w:pPr>
      <w:r>
        <w:rPr>
          <w:rStyle w:val="VerbatimChar"/>
        </w:rPr>
        <w:t>role</w:t>
      </w:r>
    </w:p>
    <w:p w:rsidR="001C3E2A" w:rsidRDefault="007433CE">
      <w:pPr>
        <w:pStyle w:val="Compact"/>
        <w:numPr>
          <w:ilvl w:val="0"/>
          <w:numId w:val="23"/>
        </w:numPr>
      </w:pPr>
      <w:r>
        <w:rPr>
          <w:rStyle w:val="VerbatimChar"/>
        </w:rPr>
        <w:t>permission</w:t>
      </w:r>
    </w:p>
    <w:p w:rsidR="001C3E2A" w:rsidRDefault="007433CE">
      <w:pPr>
        <w:pStyle w:val="Compact"/>
        <w:numPr>
          <w:ilvl w:val="0"/>
          <w:numId w:val="23"/>
        </w:numPr>
      </w:pPr>
      <w:r>
        <w:rPr>
          <w:rStyle w:val="VerbatimChar"/>
        </w:rPr>
        <w:t>role_permission</w:t>
      </w:r>
    </w:p>
    <w:p w:rsidR="001C3E2A" w:rsidRDefault="007433CE">
      <w:pPr>
        <w:pStyle w:val="Compact"/>
        <w:numPr>
          <w:ilvl w:val="0"/>
          <w:numId w:val="23"/>
        </w:numPr>
      </w:pPr>
      <w:r>
        <w:rPr>
          <w:rStyle w:val="VerbatimChar"/>
        </w:rPr>
        <w:t>user_role</w:t>
      </w:r>
    </w:p>
    <w:p w:rsidR="001C3E2A" w:rsidRDefault="007433CE">
      <w:pPr>
        <w:pStyle w:val="Compact"/>
        <w:numPr>
          <w:ilvl w:val="0"/>
          <w:numId w:val="23"/>
        </w:numPr>
      </w:pPr>
      <w:r>
        <w:rPr>
          <w:rStyle w:val="VerbatimChar"/>
        </w:rPr>
        <w:t>policy_rule</w:t>
      </w:r>
      <w:r>
        <w:t xml:space="preserve"> (ABAC)</w:t>
      </w:r>
    </w:p>
    <w:p w:rsidR="001C3E2A" w:rsidRDefault="007433CE">
      <w:pPr>
        <w:pStyle w:val="Compact"/>
        <w:numPr>
          <w:ilvl w:val="0"/>
          <w:numId w:val="23"/>
        </w:numPr>
      </w:pPr>
      <w:r>
        <w:rPr>
          <w:rStyle w:val="VerbatimChar"/>
        </w:rPr>
        <w:t>field_policy</w:t>
      </w:r>
      <w:r>
        <w:t xml:space="preserve"> (masking/visibility)</w:t>
      </w:r>
    </w:p>
    <w:p w:rsidR="001C3E2A" w:rsidRDefault="007433CE">
      <w:pPr>
        <w:pStyle w:val="Ttulo3"/>
      </w:pPr>
      <w:bookmarkStart w:id="39" w:name="prácticas-operativas"/>
      <w:bookmarkEnd w:id="38"/>
      <w:r>
        <w:t>10.3 Prácticas operativas</w:t>
      </w:r>
    </w:p>
    <w:p w:rsidR="001C3E2A" w:rsidRDefault="007433CE">
      <w:pPr>
        <w:pStyle w:val="Compact"/>
        <w:numPr>
          <w:ilvl w:val="0"/>
          <w:numId w:val="24"/>
        </w:numPr>
      </w:pPr>
      <w:r>
        <w:t>Auditoría obligatoria para:</w:t>
      </w:r>
    </w:p>
    <w:p w:rsidR="001C3E2A" w:rsidRDefault="007433CE">
      <w:pPr>
        <w:pStyle w:val="Compact"/>
        <w:numPr>
          <w:ilvl w:val="1"/>
          <w:numId w:val="25"/>
        </w:numPr>
      </w:pPr>
      <w:r>
        <w:t>cambios de permisos</w:t>
      </w:r>
    </w:p>
    <w:p w:rsidR="001C3E2A" w:rsidRDefault="007433CE">
      <w:pPr>
        <w:pStyle w:val="Compact"/>
        <w:numPr>
          <w:ilvl w:val="1"/>
          <w:numId w:val="25"/>
        </w:numPr>
      </w:pPr>
      <w:r>
        <w:t>cambios de tipo de cambio</w:t>
      </w:r>
    </w:p>
    <w:p w:rsidR="001C3E2A" w:rsidRDefault="007433CE">
      <w:pPr>
        <w:pStyle w:val="Compact"/>
        <w:numPr>
          <w:ilvl w:val="1"/>
          <w:numId w:val="25"/>
        </w:numPr>
      </w:pPr>
      <w:r>
        <w:t>accesos a campos sensibles</w:t>
      </w:r>
    </w:p>
    <w:p w:rsidR="001C3E2A" w:rsidRDefault="007433CE">
      <w:pPr>
        <w:pStyle w:val="Compact"/>
        <w:numPr>
          <w:ilvl w:val="0"/>
          <w:numId w:val="24"/>
        </w:numPr>
      </w:pPr>
      <w:r>
        <w:t>Pruebas:</w:t>
      </w:r>
    </w:p>
    <w:p w:rsidR="001C3E2A" w:rsidRDefault="007433CE">
      <w:pPr>
        <w:pStyle w:val="Compact"/>
        <w:numPr>
          <w:ilvl w:val="1"/>
          <w:numId w:val="26"/>
        </w:numPr>
      </w:pPr>
      <w:r>
        <w:t>tests de autorización (policy tests)</w:t>
      </w:r>
    </w:p>
    <w:p w:rsidR="001C3E2A" w:rsidRDefault="007433CE">
      <w:pPr>
        <w:pStyle w:val="Compact"/>
        <w:numPr>
          <w:ilvl w:val="1"/>
          <w:numId w:val="26"/>
        </w:numPr>
      </w:pPr>
      <w:r>
        <w:t>test</w:t>
      </w:r>
      <w:r>
        <w:t>s multi-tenant (no data leakage)</w:t>
      </w:r>
    </w:p>
    <w:p w:rsidR="001C3E2A" w:rsidRDefault="007433CE">
      <w:r>
        <w:pict>
          <v:rect id="_x0000_i1036" style="width:0;height:1.5pt" o:hralign="center" o:hrstd="t" o:hr="t"/>
        </w:pict>
      </w:r>
    </w:p>
    <w:p w:rsidR="001C3E2A" w:rsidRDefault="007433CE">
      <w:pPr>
        <w:pStyle w:val="Ttulo2"/>
      </w:pPr>
      <w:bookmarkStart w:id="40" w:name="X8f1388f902b037bf4f6a0221c1a9438f61631e4"/>
      <w:bookmarkEnd w:id="39"/>
      <w:r>
        <w:t xml:space="preserve">Razones fuertes: por qué </w:t>
      </w:r>
      <w:r>
        <w:rPr>
          <w:b/>
          <w:bCs/>
        </w:rPr>
        <w:t>no</w:t>
      </w:r>
      <w:r>
        <w:t xml:space="preserve"> usar triggers y procedimientos almacenados en </w:t>
      </w:r>
      <w:r>
        <w:rPr>
          <w:i/>
          <w:iCs/>
        </w:rPr>
        <w:t>todos</w:t>
      </w:r>
      <w:r>
        <w:t xml:space="preserve"> los escenarios cuando incorporas IA</w:t>
      </w:r>
    </w:p>
    <w:p w:rsidR="001C3E2A" w:rsidRDefault="007433CE">
      <w:pPr>
        <w:pStyle w:val="FirstParagraph"/>
      </w:pPr>
      <w:r>
        <w:t xml:space="preserve">En plataformas enterprise con IA (especialmente cuando hay </w:t>
      </w:r>
      <w:r>
        <w:rPr>
          <w:b/>
          <w:bCs/>
        </w:rPr>
        <w:t>RAG</w:t>
      </w:r>
      <w:r>
        <w:t xml:space="preserve">, </w:t>
      </w:r>
      <w:r>
        <w:rPr>
          <w:b/>
          <w:bCs/>
        </w:rPr>
        <w:t>tools/function calling</w:t>
      </w:r>
      <w:r>
        <w:t xml:space="preserve">, auditoría y trazabilidad), el uso indiscriminado de </w:t>
      </w:r>
      <w:r>
        <w:rPr>
          <w:b/>
          <w:bCs/>
        </w:rPr>
        <w:t>triggers</w:t>
      </w:r>
      <w:r>
        <w:t xml:space="preserve"> y </w:t>
      </w:r>
      <w:r>
        <w:rPr>
          <w:b/>
          <w:bCs/>
        </w:rPr>
        <w:t>stored procedures</w:t>
      </w:r>
      <w:r>
        <w:t xml:space="preserve"> suele convertirse en un </w:t>
      </w:r>
      <w:r>
        <w:rPr>
          <w:b/>
          <w:bCs/>
        </w:rPr>
        <w:t>riesgo sistémico</w:t>
      </w:r>
      <w:r>
        <w:t xml:space="preserve">. </w:t>
      </w:r>
      <w:r>
        <w:lastRenderedPageBreak/>
        <w:t xml:space="preserve">No se trata de “nunca usarlos”, sino de comprender </w:t>
      </w:r>
      <w:r>
        <w:rPr>
          <w:b/>
          <w:bCs/>
        </w:rPr>
        <w:t>cuándo aportan</w:t>
      </w:r>
      <w:r>
        <w:t xml:space="preserve"> y </w:t>
      </w:r>
      <w:r>
        <w:rPr>
          <w:b/>
          <w:bCs/>
        </w:rPr>
        <w:t>cuándo rompen</w:t>
      </w:r>
      <w:r>
        <w:t xml:space="preserve"> </w:t>
      </w:r>
      <w:r>
        <w:t>principios críticos de gobernanza, trazabilidad y evolución.</w:t>
      </w:r>
    </w:p>
    <w:p w:rsidR="001C3E2A" w:rsidRDefault="007433CE">
      <w:pPr>
        <w:pStyle w:val="Ttulo3"/>
      </w:pPr>
      <w:bookmarkStart w:id="41" w:name="Xc4746097dcc69a0e9885aeffaa0240bba5e84a1"/>
      <w:r>
        <w:t>1) Observabilidad y trazabilidad (principal razón)</w:t>
      </w:r>
    </w:p>
    <w:p w:rsidR="001C3E2A" w:rsidRDefault="007433CE">
      <w:pPr>
        <w:pStyle w:val="FirstParagraph"/>
      </w:pPr>
      <w:r>
        <w:t xml:space="preserve">La IA en producción requiere </w:t>
      </w:r>
      <w:r>
        <w:rPr>
          <w:b/>
          <w:bCs/>
        </w:rPr>
        <w:t>auditar y explicar</w:t>
      </w:r>
      <w:r>
        <w:t>: - qué datos se consultaron, - qué transformaciones se aplicaron, - qué acción se ejecutó, - qué</w:t>
      </w:r>
      <w:r>
        <w:t xml:space="preserve"> resultado produjo y por qué.</w:t>
      </w:r>
    </w:p>
    <w:p w:rsidR="001C3E2A" w:rsidRDefault="007433CE">
      <w:pPr>
        <w:pStyle w:val="Textoindependiente"/>
      </w:pPr>
      <w:r>
        <w:t xml:space="preserve">Los triggers y procedimientos almacenados: - ejecutan lógica “implícita” dentro de la base, - dificultan correlacionar la operación con el request/traceId, - complican capturar métricas por tenant, endpoint, usuario y caso de </w:t>
      </w:r>
      <w:r>
        <w:t>uso.</w:t>
      </w:r>
    </w:p>
    <w:p w:rsidR="001C3E2A" w:rsidRDefault="007433CE">
      <w:pPr>
        <w:pStyle w:val="Textoindependiente"/>
      </w:pPr>
      <w:r>
        <w:t>Cuando una acción proviene de un flujo IA (por ejemplo, tool calling), la trazabilidad debe ser end-to-end. Si parte de la lógica ocurre invisiblemente en DB, la explicabilidad se degrada.</w:t>
      </w:r>
    </w:p>
    <w:p w:rsidR="001C3E2A" w:rsidRDefault="007433CE">
      <w:pPr>
        <w:pStyle w:val="Ttulo3"/>
      </w:pPr>
      <w:bookmarkStart w:id="42" w:name="X3a09149284976ecfe345f5bf2f6ea11ada9d858"/>
      <w:bookmarkEnd w:id="41"/>
      <w:r>
        <w:t>2) Control de políticas y seguridad de ejecución</w:t>
      </w:r>
    </w:p>
    <w:p w:rsidR="001C3E2A" w:rsidRDefault="007433CE">
      <w:pPr>
        <w:pStyle w:val="FirstParagraph"/>
      </w:pPr>
      <w:r>
        <w:t>En IA con too</w:t>
      </w:r>
      <w:r>
        <w:t>ls/function calling, la plataforma debe: - limitar qué operaciones son ejecutables, - validar permisos por tenant/empresa/rol, - bloquear acciones peligrosas, - registrar intención + aprobación (workflows).</w:t>
      </w:r>
    </w:p>
    <w:p w:rsidR="001C3E2A" w:rsidRDefault="007433CE">
      <w:pPr>
        <w:pStyle w:val="Textoindependiente"/>
      </w:pPr>
      <w:r>
        <w:t>Si un trigger muta datos o dispara efectos secund</w:t>
      </w:r>
      <w:r>
        <w:t xml:space="preserve">arios (p. ej. insertar asientos contables) </w:t>
      </w:r>
      <w:r>
        <w:rPr>
          <w:b/>
          <w:bCs/>
        </w:rPr>
        <w:t>sin pasar por la capa de aplicación</w:t>
      </w:r>
      <w:r>
        <w:t>: - puedes saltarte validaciones de permisos finos, - puedes ejecutar cambios con usuarios “técnicos” de DB sin semántica de negocio, - puedes romper el principio de “policy enfo</w:t>
      </w:r>
      <w:r>
        <w:t>rcement” centralizado.</w:t>
      </w:r>
    </w:p>
    <w:p w:rsidR="001C3E2A" w:rsidRDefault="007433CE">
      <w:pPr>
        <w:pStyle w:val="Ttulo3"/>
      </w:pPr>
      <w:bookmarkStart w:id="43" w:name="Xd5a7af701d18078fc1340e2b9142a36efbfe5b1"/>
      <w:bookmarkEnd w:id="42"/>
      <w:r>
        <w:t>3) Evolución y versionado de reglas (deployment y compatibilidad)</w:t>
      </w:r>
    </w:p>
    <w:p w:rsidR="001C3E2A" w:rsidRDefault="007433CE">
      <w:pPr>
        <w:pStyle w:val="FirstParagraph"/>
      </w:pPr>
      <w:r>
        <w:t>En sistemas de verticales, el núcleo y servicios evolucionan continuamente. Los triggers/SP: - requieren migraciones cuidadosas, - suelen acoplarse al motor SQL especí</w:t>
      </w:r>
      <w:r>
        <w:t>fico, - crean dependencia fuerte del esquema y del vendor.</w:t>
      </w:r>
    </w:p>
    <w:p w:rsidR="001C3E2A" w:rsidRDefault="007433CE">
      <w:pPr>
        <w:pStyle w:val="Textoindependiente"/>
      </w:pPr>
      <w:r>
        <w:t>En IA, la velocidad de iteración es mayor (prompts, schemas de extracción, modelos, pipelines). Si además hay lógica de negocio en DB, el ciclo de release se vuelve frágil: una migración mal aplica</w:t>
      </w:r>
      <w:r>
        <w:t>da puede afectar a múltiples verticales.</w:t>
      </w:r>
    </w:p>
    <w:p w:rsidR="001C3E2A" w:rsidRDefault="007433CE">
      <w:pPr>
        <w:pStyle w:val="Ttulo3"/>
      </w:pPr>
      <w:bookmarkStart w:id="44" w:name="pruebas-calidad-y-determinismo"/>
      <w:bookmarkEnd w:id="43"/>
      <w:r>
        <w:t>4) Pruebas, calidad y determinismo</w:t>
      </w:r>
    </w:p>
    <w:p w:rsidR="001C3E2A" w:rsidRDefault="007433CE">
      <w:pPr>
        <w:pStyle w:val="FirstParagraph"/>
      </w:pPr>
      <w:r>
        <w:t>La IA exige un entorno reproducible y pruebas robustas: - unit tests de casos de uso, - tests de autorización, - tests de auditoría, - tests de “no data leakage”.</w:t>
      </w:r>
    </w:p>
    <w:p w:rsidR="001C3E2A" w:rsidRDefault="007433CE">
      <w:pPr>
        <w:pStyle w:val="Textoindependiente"/>
      </w:pPr>
      <w:r>
        <w:t>Los triggers/SP d</w:t>
      </w:r>
      <w:r>
        <w:t>ificultan: - tests unitarios aislados (la lógica está fuera del código del servicio), - simulación controlada (stubs/mocks), - determinismo en pipelines (efectos colaterales automáticos).</w:t>
      </w:r>
    </w:p>
    <w:p w:rsidR="001C3E2A" w:rsidRDefault="007433CE">
      <w:pPr>
        <w:pStyle w:val="Ttulo3"/>
      </w:pPr>
      <w:bookmarkStart w:id="45" w:name="coherencia-multi-tenantmultiempresa"/>
      <w:bookmarkEnd w:id="44"/>
      <w:r>
        <w:t>5) Coherencia multi-tenant/multiempresa</w:t>
      </w:r>
    </w:p>
    <w:p w:rsidR="001C3E2A" w:rsidRDefault="007433CE">
      <w:pPr>
        <w:pStyle w:val="FirstParagraph"/>
      </w:pPr>
      <w:r>
        <w:t>Cuando el aislamiento multi-</w:t>
      </w:r>
      <w:r>
        <w:t>tenant es crítico, los triggers pueden: - no incluir filtros de tenant en todas las rutas, - ejecutar sobre tablas compartidas sin restricciones, - depender de contexto no disponible dentro de la DB.</w:t>
      </w:r>
    </w:p>
    <w:p w:rsidR="001C3E2A" w:rsidRDefault="007433CE">
      <w:pPr>
        <w:pStyle w:val="Textoindependiente"/>
      </w:pPr>
      <w:r>
        <w:t>La capa de aplicación (y el IAM) sí posee el contexto co</w:t>
      </w:r>
      <w:r>
        <w:t xml:space="preserve">mpleto: </w:t>
      </w:r>
      <w:r>
        <w:rPr>
          <w:rStyle w:val="VerbatimChar"/>
        </w:rPr>
        <w:t>tenantId</w:t>
      </w:r>
      <w:r>
        <w:t xml:space="preserve">, </w:t>
      </w:r>
      <w:r>
        <w:rPr>
          <w:rStyle w:val="VerbatimChar"/>
        </w:rPr>
        <w:t>companyId</w:t>
      </w:r>
      <w:r>
        <w:t xml:space="preserve">, </w:t>
      </w:r>
      <w:r>
        <w:rPr>
          <w:rStyle w:val="VerbatimChar"/>
        </w:rPr>
        <w:t>branchId</w:t>
      </w:r>
      <w:r>
        <w:t xml:space="preserve">, </w:t>
      </w:r>
      <w:r>
        <w:rPr>
          <w:rStyle w:val="VerbatimChar"/>
        </w:rPr>
        <w:t>scopes</w:t>
      </w:r>
      <w:r>
        <w:t xml:space="preserve">, </w:t>
      </w:r>
      <w:r>
        <w:rPr>
          <w:rStyle w:val="VerbatimChar"/>
        </w:rPr>
        <w:t>principal</w:t>
      </w:r>
      <w:r>
        <w:t>. En DB esto es difícil de garantizar a menos que apliques patrones avanzados (RLS) y aun así debes mantener coherencia.</w:t>
      </w:r>
    </w:p>
    <w:p w:rsidR="001C3E2A" w:rsidRDefault="007433CE">
      <w:pPr>
        <w:pStyle w:val="Ttulo3"/>
      </w:pPr>
      <w:bookmarkStart w:id="46" w:name="Xea3811be1347e42f343e329d9ff467e5c354eaa"/>
      <w:bookmarkEnd w:id="45"/>
      <w:r>
        <w:lastRenderedPageBreak/>
        <w:t>6) Costos operativos y habilidades del equipo</w:t>
      </w:r>
    </w:p>
    <w:p w:rsidR="001C3E2A" w:rsidRDefault="007433CE">
      <w:pPr>
        <w:pStyle w:val="FirstParagraph"/>
      </w:pPr>
      <w:r>
        <w:t>Triggers y SP suelen concentrar c</w:t>
      </w:r>
      <w:r>
        <w:t>onocimiento en perfiles muy específicos (DBA/SQL experto). En plataformas con múltiples servicios: - crece la superficie a mantener, - aumenta el riesgo de inconsistencias entre entornos, - y se reduce la velocidad de entrega.</w:t>
      </w:r>
    </w:p>
    <w:p w:rsidR="001C3E2A" w:rsidRDefault="007433CE">
      <w:pPr>
        <w:pStyle w:val="Ttulo3"/>
      </w:pPr>
      <w:bookmarkStart w:id="47" w:name="Xdb3ced78fd342964e751022a78c1226f8c3bd95"/>
      <w:bookmarkEnd w:id="46"/>
      <w:r>
        <w:t>7) Compatibilidad con patrone</w:t>
      </w:r>
      <w:r>
        <w:t>s modernos (event-driven, CQRS, audit)</w:t>
      </w:r>
    </w:p>
    <w:p w:rsidR="001C3E2A" w:rsidRDefault="007433CE">
      <w:pPr>
        <w:pStyle w:val="FirstParagraph"/>
      </w:pPr>
      <w:r>
        <w:t>En arquitecturas modernas: - los side effects se modelan explícitamente, - se publican eventos, - se auditan acciones con contexto.</w:t>
      </w:r>
    </w:p>
    <w:p w:rsidR="001C3E2A" w:rsidRDefault="007433CE">
      <w:pPr>
        <w:pStyle w:val="Textoindependiente"/>
      </w:pPr>
      <w:r>
        <w:t>Los triggers producen side effects implícitos. Esto compite con auditoría, event sour</w:t>
      </w:r>
      <w:r>
        <w:t>cing parcial, y con el diseño de workflows de aprobación.</w:t>
      </w:r>
    </w:p>
    <w:p w:rsidR="001C3E2A" w:rsidRDefault="007433CE">
      <w:r>
        <w:pict>
          <v:rect id="_x0000_i1037" style="width:0;height:1.5pt" o:hralign="center" o:hrstd="t" o:hr="t"/>
        </w:pict>
      </w:r>
    </w:p>
    <w:p w:rsidR="001C3E2A" w:rsidRDefault="007433CE">
      <w:pPr>
        <w:pStyle w:val="Ttulo2"/>
      </w:pPr>
      <w:bookmarkStart w:id="48" w:name="Xd1e5f75ffbe2163ef4f97f87fbf94a701655bd9"/>
      <w:bookmarkEnd w:id="40"/>
      <w:bookmarkEnd w:id="47"/>
      <w:r>
        <w:t xml:space="preserve">Cuándo </w:t>
      </w:r>
      <w:r>
        <w:rPr>
          <w:b/>
          <w:bCs/>
        </w:rPr>
        <w:t>sí</w:t>
      </w:r>
      <w:r>
        <w:t xml:space="preserve"> usar triggers/procedimientos almacenados (buenos escenarios)</w:t>
      </w:r>
    </w:p>
    <w:p w:rsidR="001C3E2A" w:rsidRDefault="007433CE">
      <w:pPr>
        <w:pStyle w:val="Ttulo3"/>
      </w:pPr>
      <w:bookmarkStart w:id="49" w:name="Xca09e1587fc471e18e15a91a5f5bbb832a12497"/>
      <w:r>
        <w:t>Escenario A — Integridad y constraints que deben ser atómicos</w:t>
      </w:r>
    </w:p>
    <w:p w:rsidR="001C3E2A" w:rsidRDefault="007433CE">
      <w:pPr>
        <w:pStyle w:val="FirstParagraph"/>
      </w:pPr>
      <w:r>
        <w:rPr>
          <w:b/>
          <w:bCs/>
        </w:rPr>
        <w:t>Usar</w:t>
      </w:r>
      <w:r>
        <w:t>: constraints, unique indexes, foreign keys, checks (y exce</w:t>
      </w:r>
      <w:r>
        <w:t>pcionalmente triggers) cuando la regla es puramente de integridad y debe cumplirse sin importar el cliente.</w:t>
      </w:r>
    </w:p>
    <w:p w:rsidR="001C3E2A" w:rsidRDefault="007433CE">
      <w:pPr>
        <w:pStyle w:val="Textoindependiente"/>
      </w:pPr>
      <w:r>
        <w:rPr>
          <w:b/>
          <w:bCs/>
        </w:rPr>
        <w:t>Ejemplo (sí):</w:t>
      </w:r>
      <w:r>
        <w:t xml:space="preserve"> - En multimoneda: asegurar que </w:t>
      </w:r>
      <w:r>
        <w:rPr>
          <w:rStyle w:val="VerbatimChar"/>
        </w:rPr>
        <w:t>fx_rate &gt; 0</w:t>
      </w:r>
      <w:r>
        <w:t xml:space="preserve"> y que </w:t>
      </w:r>
      <w:r>
        <w:rPr>
          <w:rStyle w:val="VerbatimChar"/>
        </w:rPr>
        <w:t>currency_code</w:t>
      </w:r>
      <w:r>
        <w:t xml:space="preserve"> sea ISO válido. - En multiempresa: asegurar que </w:t>
      </w:r>
      <w:r>
        <w:rPr>
          <w:rStyle w:val="VerbatimChar"/>
        </w:rPr>
        <w:t>company.tenant_id</w:t>
      </w:r>
      <w:r>
        <w:t xml:space="preserve"> exist</w:t>
      </w:r>
      <w:r>
        <w:t>a y no sea nulo.</w:t>
      </w:r>
    </w:p>
    <w:p w:rsidR="001C3E2A" w:rsidRDefault="007433CE">
      <w:pPr>
        <w:pStyle w:val="Textodebloque"/>
      </w:pPr>
      <w:r>
        <w:t>Nota: preferir constraints nativos. Triggers solo si el motor no soporta el constraint deseado.</w:t>
      </w:r>
    </w:p>
    <w:p w:rsidR="001C3E2A" w:rsidRDefault="007433CE">
      <w:pPr>
        <w:pStyle w:val="Ttulo3"/>
      </w:pPr>
      <w:bookmarkStart w:id="50" w:name="X72c8cf153647a63c59cb1d3234a862aadbad2b5"/>
      <w:bookmarkEnd w:id="49"/>
      <w:r>
        <w:t xml:space="preserve">Escenario B — Auditoría técnica </w:t>
      </w:r>
      <w:r>
        <w:rPr>
          <w:i/>
          <w:iCs/>
        </w:rPr>
        <w:t>de bajo nivel</w:t>
      </w:r>
      <w:r>
        <w:t xml:space="preserve"> (no la auditoría de negocio)</w:t>
      </w:r>
    </w:p>
    <w:p w:rsidR="001C3E2A" w:rsidRDefault="007433CE">
      <w:pPr>
        <w:pStyle w:val="FirstParagraph"/>
      </w:pPr>
      <w:r>
        <w:rPr>
          <w:b/>
          <w:bCs/>
        </w:rPr>
        <w:t>Usar</w:t>
      </w:r>
      <w:r>
        <w:t xml:space="preserve">: triggers para mantener columnas técnicas como </w:t>
      </w:r>
      <w:r>
        <w:rPr>
          <w:rStyle w:val="VerbatimChar"/>
        </w:rPr>
        <w:t>updated_at</w:t>
      </w:r>
      <w:r>
        <w:t xml:space="preserve">, </w:t>
      </w:r>
      <w:r>
        <w:rPr>
          <w:rStyle w:val="VerbatimChar"/>
        </w:rPr>
        <w:t>row_version</w:t>
      </w:r>
      <w:r>
        <w:t xml:space="preserve"> (si no tienes alternativa) o auditoría de cambios a nivel tabla cuando el objetivo es “who/when/what changed” y el contexto de negocio no es requerido.</w:t>
      </w:r>
    </w:p>
    <w:p w:rsidR="001C3E2A" w:rsidRDefault="007433CE">
      <w:pPr>
        <w:pStyle w:val="Textoindependiente"/>
      </w:pPr>
      <w:r>
        <w:rPr>
          <w:b/>
          <w:bCs/>
        </w:rPr>
        <w:t>Ejemplo (sí):</w:t>
      </w:r>
      <w:r>
        <w:t xml:space="preserve"> - Auditoría de cambios en tabla </w:t>
      </w:r>
      <w:r>
        <w:rPr>
          <w:rStyle w:val="VerbatimChar"/>
        </w:rPr>
        <w:t>fx_rate</w:t>
      </w:r>
      <w:r>
        <w:t xml:space="preserve"> para saber qué filas cambiaron.</w:t>
      </w:r>
    </w:p>
    <w:p w:rsidR="001C3E2A" w:rsidRDefault="007433CE">
      <w:pPr>
        <w:pStyle w:val="Textodebloque"/>
      </w:pPr>
      <w:r>
        <w:t>Aun así, la auditoría de negocio (quién aprobó, por qué, desde qué caso de uso) debe vivir en la aplicación.</w:t>
      </w:r>
    </w:p>
    <w:p w:rsidR="001C3E2A" w:rsidRDefault="007433CE">
      <w:pPr>
        <w:pStyle w:val="Ttulo3"/>
      </w:pPr>
      <w:bookmarkStart w:id="51" w:name="X5020d89bfc9b6f7309d27b5fedf3bc37a81e091"/>
      <w:bookmarkEnd w:id="50"/>
      <w:r>
        <w:t>Escenario C — Operaciones batch pesadas y optimización controlada</w:t>
      </w:r>
    </w:p>
    <w:p w:rsidR="001C3E2A" w:rsidRDefault="007433CE">
      <w:pPr>
        <w:pStyle w:val="FirstParagraph"/>
      </w:pPr>
      <w:r>
        <w:rPr>
          <w:b/>
          <w:bCs/>
        </w:rPr>
        <w:t>Usar</w:t>
      </w:r>
      <w:r>
        <w:t>: stored procedures para procesos batch con desempeño crítico, bajo control e</w:t>
      </w:r>
      <w:r>
        <w:t>stricto de versionado.</w:t>
      </w:r>
    </w:p>
    <w:p w:rsidR="001C3E2A" w:rsidRDefault="007433CE">
      <w:pPr>
        <w:pStyle w:val="Textoindependiente"/>
      </w:pPr>
      <w:r>
        <w:rPr>
          <w:b/>
          <w:bCs/>
        </w:rPr>
        <w:t>Ejemplo (sí):</w:t>
      </w:r>
      <w:r>
        <w:t xml:space="preserve"> - Consolidación contable nocturna por empresa. - Revaluación masiva de saldos en multimoneda.</w:t>
      </w:r>
    </w:p>
    <w:p w:rsidR="001C3E2A" w:rsidRDefault="007433CE">
      <w:pPr>
        <w:pStyle w:val="Textodebloque"/>
      </w:pPr>
      <w:r>
        <w:t>Requisito: el procedimiento debe invocarse explícitamente desde la aplicación, con auditoría del request y correlación.</w:t>
      </w:r>
    </w:p>
    <w:p w:rsidR="001C3E2A" w:rsidRDefault="007433CE">
      <w:r>
        <w:pict>
          <v:rect id="_x0000_i1038" style="width:0;height:1.5pt" o:hralign="center" o:hrstd="t" o:hr="t"/>
        </w:pict>
      </w:r>
    </w:p>
    <w:p w:rsidR="001C3E2A" w:rsidRDefault="007433CE">
      <w:pPr>
        <w:pStyle w:val="Ttulo2"/>
      </w:pPr>
      <w:bookmarkStart w:id="52" w:name="Xe4472570752d8c859b735530181844e3e5c5722"/>
      <w:bookmarkEnd w:id="48"/>
      <w:bookmarkEnd w:id="51"/>
      <w:r>
        <w:t>Cuá</w:t>
      </w:r>
      <w:r>
        <w:t xml:space="preserve">ndo </w:t>
      </w:r>
      <w:r>
        <w:rPr>
          <w:b/>
          <w:bCs/>
        </w:rPr>
        <w:t>no</w:t>
      </w:r>
      <w:r>
        <w:t xml:space="preserve"> usar triggers/procedimientos almacenados (malos escenarios con IA)</w:t>
      </w:r>
    </w:p>
    <w:p w:rsidR="001C3E2A" w:rsidRDefault="007433CE">
      <w:pPr>
        <w:pStyle w:val="Ttulo3"/>
      </w:pPr>
      <w:bookmarkStart w:id="53" w:name="X315d8ba7e3c1c033698e14ae78bb46fab6dec04"/>
      <w:r>
        <w:t>Escenario D — Lógica de autorización o decisiones basadas en roles/scopes</w:t>
      </w:r>
    </w:p>
    <w:p w:rsidR="001C3E2A" w:rsidRDefault="007433CE">
      <w:pPr>
        <w:pStyle w:val="FirstParagraph"/>
      </w:pPr>
      <w:r>
        <w:rPr>
          <w:b/>
          <w:bCs/>
        </w:rPr>
        <w:t>No usar</w:t>
      </w:r>
      <w:r>
        <w:t xml:space="preserve"> triggers/SP para: - validar permisos, - decidir si se ejecuta una acción, - aplicar reglas por usuar</w:t>
      </w:r>
      <w:r>
        <w:t>io.</w:t>
      </w:r>
    </w:p>
    <w:p w:rsidR="001C3E2A" w:rsidRDefault="007433CE">
      <w:pPr>
        <w:pStyle w:val="Textoindependiente"/>
      </w:pPr>
      <w:r>
        <w:rPr>
          <w:b/>
          <w:bCs/>
        </w:rPr>
        <w:lastRenderedPageBreak/>
        <w:t>Por qué:</w:t>
      </w:r>
      <w:r>
        <w:t xml:space="preserve"> IAM + capa de aplicación tienen el contexto completo y trazable.</w:t>
      </w:r>
    </w:p>
    <w:p w:rsidR="001C3E2A" w:rsidRDefault="007433CE">
      <w:pPr>
        <w:pStyle w:val="Ttulo3"/>
      </w:pPr>
      <w:bookmarkStart w:id="54" w:name="X5bf397a6bbebb8bcaffadf775447fae862f1077"/>
      <w:bookmarkEnd w:id="53"/>
      <w:r>
        <w:t>Escenario E — Side effects de negocio sensibles</w:t>
      </w:r>
    </w:p>
    <w:p w:rsidR="001C3E2A" w:rsidRDefault="007433CE">
      <w:pPr>
        <w:pStyle w:val="FirstParagraph"/>
      </w:pPr>
      <w:r>
        <w:rPr>
          <w:b/>
          <w:bCs/>
        </w:rPr>
        <w:t>No usar</w:t>
      </w:r>
      <w:r>
        <w:t xml:space="preserve"> triggers que creen automáticamente: - asientos contables, - pagos, - aprobaciones, - cambios de estado de workflow.</w:t>
      </w:r>
    </w:p>
    <w:p w:rsidR="001C3E2A" w:rsidRDefault="007433CE">
      <w:pPr>
        <w:pStyle w:val="Textoindependiente"/>
      </w:pPr>
      <w:r>
        <w:rPr>
          <w:b/>
          <w:bCs/>
        </w:rPr>
        <w:t>Por qu</w:t>
      </w:r>
      <w:r>
        <w:rPr>
          <w:b/>
          <w:bCs/>
        </w:rPr>
        <w:t>é:</w:t>
      </w:r>
      <w:r>
        <w:t xml:space="preserve"> un trigger puede ejecutar sin intención explícita, sin aprobación y sin auditoría end-to-end. En flujos IA (tools), esto es peligroso.</w:t>
      </w:r>
    </w:p>
    <w:p w:rsidR="001C3E2A" w:rsidRDefault="007433CE">
      <w:pPr>
        <w:pStyle w:val="Ttulo3"/>
      </w:pPr>
      <w:bookmarkStart w:id="55" w:name="X2516f8bca093d6e5fbcb2bd6996bfd5248b8a36"/>
      <w:bookmarkEnd w:id="54"/>
      <w:r>
        <w:t>Escenario F — Flujos “autónomos” inducidos por IA</w:t>
      </w:r>
    </w:p>
    <w:p w:rsidR="001C3E2A" w:rsidRDefault="007433CE">
      <w:pPr>
        <w:pStyle w:val="FirstParagraph"/>
      </w:pPr>
      <w:r>
        <w:rPr>
          <w:b/>
          <w:bCs/>
        </w:rPr>
        <w:t>No usar</w:t>
      </w:r>
      <w:r>
        <w:t xml:space="preserve"> triggers que reaccionen automáticamente ante inserciones rea</w:t>
      </w:r>
      <w:r>
        <w:t>lizadas por la IA.</w:t>
      </w:r>
    </w:p>
    <w:p w:rsidR="001C3E2A" w:rsidRDefault="007433CE">
      <w:pPr>
        <w:pStyle w:val="Textoindependiente"/>
      </w:pPr>
      <w:r>
        <w:rPr>
          <w:b/>
          <w:bCs/>
        </w:rPr>
        <w:t>Ejemplo (no):</w:t>
      </w:r>
      <w:r>
        <w:t xml:space="preserve"> - La IA inserta una “orden de compra” y un trigger “auto-aprueba” y “auto-genera” pago.</w:t>
      </w:r>
    </w:p>
    <w:p w:rsidR="001C3E2A" w:rsidRDefault="007433CE">
      <w:pPr>
        <w:pStyle w:val="Textoindependiente"/>
      </w:pPr>
      <w:r>
        <w:rPr>
          <w:b/>
          <w:bCs/>
        </w:rPr>
        <w:t>Riesgo:</w:t>
      </w:r>
      <w:r>
        <w:t xml:space="preserve"> una alucinación o un error de extracción podría disparar transacciones reales.</w:t>
      </w:r>
    </w:p>
    <w:p w:rsidR="001C3E2A" w:rsidRDefault="007433CE">
      <w:r>
        <w:pict>
          <v:rect id="_x0000_i1039" style="width:0;height:1.5pt" o:hralign="center" o:hrstd="t" o:hr="t"/>
        </w:pict>
      </w:r>
    </w:p>
    <w:p w:rsidR="001C3E2A" w:rsidRDefault="007433CE">
      <w:pPr>
        <w:pStyle w:val="Ttulo2"/>
      </w:pPr>
      <w:bookmarkStart w:id="56" w:name="X5497d9ac108327809bd3e5d618f3d804f59cf61"/>
      <w:bookmarkEnd w:id="52"/>
      <w:bookmarkEnd w:id="55"/>
      <w:r>
        <w:t>Patrón recomendado: “DB como fuente de verdad,</w:t>
      </w:r>
      <w:r>
        <w:t xml:space="preserve"> aplicación como fuente de comportamiento”</w:t>
      </w:r>
    </w:p>
    <w:p w:rsidR="001C3E2A" w:rsidRDefault="007433CE">
      <w:pPr>
        <w:pStyle w:val="FirstParagraph"/>
      </w:pPr>
      <w:r>
        <w:t xml:space="preserve">En sistemas con IA: - la base de datos mantiene </w:t>
      </w:r>
      <w:r>
        <w:rPr>
          <w:b/>
          <w:bCs/>
        </w:rPr>
        <w:t>integridad y persistencia</w:t>
      </w:r>
      <w:r>
        <w:t xml:space="preserve">, - la aplicación mantiene </w:t>
      </w:r>
      <w:r>
        <w:rPr>
          <w:b/>
          <w:bCs/>
        </w:rPr>
        <w:t>reglas, permisos, auditoría y side effects</w:t>
      </w:r>
      <w:r>
        <w:t xml:space="preserve">, - y los procesos batch se ejecutan </w:t>
      </w:r>
      <w:r>
        <w:rPr>
          <w:b/>
          <w:bCs/>
        </w:rPr>
        <w:t>explícitamente</w:t>
      </w:r>
      <w:r>
        <w:t xml:space="preserve"> con observabilidad.</w:t>
      </w:r>
    </w:p>
    <w:p w:rsidR="001C3E2A" w:rsidRDefault="007433CE">
      <w:r>
        <w:pict>
          <v:rect id="_x0000_i1040" style="width:0;height:1.5pt" o:hralign="center" o:hrstd="t" o:hr="t"/>
        </w:pict>
      </w:r>
    </w:p>
    <w:p w:rsidR="001C3E2A" w:rsidRDefault="007433CE">
      <w:pPr>
        <w:pStyle w:val="Ttulo1"/>
      </w:pPr>
      <w:bookmarkStart w:id="57" w:name="X89af39db00aa9f87eb53801d078861937407660"/>
      <w:bookmarkEnd w:id="36"/>
      <w:bookmarkEnd w:id="56"/>
      <w:r>
        <w:t>Glosario técnico (definiciones con explicación extensa)</w:t>
      </w:r>
    </w:p>
    <w:p w:rsidR="001C3E2A" w:rsidRDefault="007433CE">
      <w:pPr>
        <w:pStyle w:val="Ttulo2"/>
      </w:pPr>
      <w:bookmarkStart w:id="58" w:name="multiempresa-multi-entity-multi-company"/>
      <w:r>
        <w:t>Multiempresa (Multi-entity / Multi-company)</w:t>
      </w:r>
    </w:p>
    <w:p w:rsidR="001C3E2A" w:rsidRDefault="007433CE">
      <w:pPr>
        <w:pStyle w:val="FirstParagraph"/>
      </w:pPr>
      <w:r>
        <w:t>Se refiere a la capacidad de un sistema de representar y operar con múltiples entidades organizacionales: empresas legales, sucursales, unidades operativ</w:t>
      </w:r>
      <w:r>
        <w:t>as y estructuras jerárquicas. En plataformas enterprise, multiempresa suele coexistir con multi-tenancy: un mismo tenant puede incluir varias empresas. Implica aislar datos por empresa/tenant, soportar reglas diferentes por entidad y habilitar reportes y c</w:t>
      </w:r>
      <w:r>
        <w:t>onsolidaciones. No es una simple bandera: atraviesa autenticación, autorización, persistencia, auditoría y reportes.</w:t>
      </w:r>
    </w:p>
    <w:p w:rsidR="001C3E2A" w:rsidRDefault="007433CE">
      <w:pPr>
        <w:pStyle w:val="Ttulo2"/>
      </w:pPr>
      <w:bookmarkStart w:id="59" w:name="multi-tenant-multiinquilino"/>
      <w:bookmarkEnd w:id="58"/>
      <w:r>
        <w:t>Multi-tenant (Multiinquilino)</w:t>
      </w:r>
    </w:p>
    <w:p w:rsidR="001C3E2A" w:rsidRDefault="007433CE">
      <w:pPr>
        <w:pStyle w:val="FirstParagraph"/>
      </w:pPr>
      <w:r>
        <w:t xml:space="preserve">Modelo en el cual una misma instancia del software sirve a múltiples clientes (tenants) con separación lógica y seguridad. Un tenant representa la organización principal (cliente) del sistema y, típicamente, contiene empresas y sucursales. El reto técnico </w:t>
      </w:r>
      <w:r>
        <w:t>es garantizar que no exista fuga de datos entre tenants, lo que exige TenantContext, filtrado obligatorio en queries, cache keys con tenant, políticas ABAC y auditoría. Multi-tenant bien diseñado acelera la escalabilidad comercial y reduce costos operativo</w:t>
      </w:r>
      <w:r>
        <w:t>s.</w:t>
      </w:r>
    </w:p>
    <w:p w:rsidR="001C3E2A" w:rsidRDefault="007433CE">
      <w:pPr>
        <w:pStyle w:val="Ttulo2"/>
      </w:pPr>
      <w:bookmarkStart w:id="60" w:name="multimoneda"/>
      <w:bookmarkEnd w:id="59"/>
      <w:r>
        <w:t>Multimoneda</w:t>
      </w:r>
    </w:p>
    <w:p w:rsidR="001C3E2A" w:rsidRDefault="007433CE">
      <w:pPr>
        <w:pStyle w:val="FirstParagraph"/>
      </w:pPr>
      <w:r>
        <w:t>Capacidad del sistema para registrar, operar y reportar transacciones en monedas diferentes, manteniendo consistencia contable. Multimoneda implica manejar moneda transaccional, moneda funcional y moneda de reporte; registrar el tipo de camb</w:t>
      </w:r>
      <w:r>
        <w:t xml:space="preserve">io utilizado; soportar diferencias de cambio, revaluación de saldos y </w:t>
      </w:r>
      <w:r>
        <w:lastRenderedPageBreak/>
        <w:t>consolidación. A nivel técnico requiere precisión numérica, reglas de redondeo, auditoría de tasas y reproducibilidad de cálculos. Multimoneda es un requisito estructural de sistemas fin</w:t>
      </w:r>
      <w:r>
        <w:t>ancieros enterprise.</w:t>
      </w:r>
    </w:p>
    <w:p w:rsidR="001C3E2A" w:rsidRDefault="007433CE">
      <w:pPr>
        <w:pStyle w:val="Ttulo2"/>
      </w:pPr>
      <w:bookmarkStart w:id="61" w:name="rbac-role-based-access-control-1"/>
      <w:bookmarkEnd w:id="60"/>
      <w:r>
        <w:t>RBAC (Role-Based Access Control)</w:t>
      </w:r>
    </w:p>
    <w:p w:rsidR="001C3E2A" w:rsidRDefault="007433CE">
      <w:pPr>
        <w:pStyle w:val="FirstParagraph"/>
      </w:pPr>
      <w:r>
        <w:t xml:space="preserve">Modelo de control de acceso basado en roles: los usuarios reciben roles y los roles agrupan permisos. RBAC es administrativamente sencillo y escalable, por lo que es común en empresas. Sin embargo, por </w:t>
      </w:r>
      <w:r>
        <w:t>sí solo no expresa bien restricciones contextuales (por sucursal, por horario, por estado de workflow). Por eso, en plataformas modernas, RBAC suele combinarse con ABAC para control fino. Un RBAC maduro se versiona y se gobierna como configuración, no como</w:t>
      </w:r>
      <w:r>
        <w:t xml:space="preserve"> código.</w:t>
      </w:r>
    </w:p>
    <w:p w:rsidR="001C3E2A" w:rsidRDefault="007433CE">
      <w:pPr>
        <w:pStyle w:val="Ttulo2"/>
      </w:pPr>
      <w:bookmarkStart w:id="62" w:name="abac-attribute-based-access-control-1"/>
      <w:bookmarkEnd w:id="61"/>
      <w:r>
        <w:t>ABAC (Attribute-Based Access Control)</w:t>
      </w:r>
    </w:p>
    <w:p w:rsidR="001C3E2A" w:rsidRDefault="007433CE">
      <w:pPr>
        <w:pStyle w:val="FirstParagraph"/>
      </w:pPr>
      <w:r>
        <w:t>Modelo de control de acceso basado en atributos: la autorización se decide evaluando atributos del sujeto (usuario), del recurso (registro), de la acción (operación) y del contexto (tiempo, ubicación, riesgo).</w:t>
      </w:r>
      <w:r>
        <w:t xml:space="preserve"> ABAC permite reglas como “un gerente puede ver empleados solo de su sucursal” o “solo se puede aprobar pagos bajo cierto monto sin doble validación”. ABAC es potente, pero requiere un buen diseño de políticas y herramientas de administración. En entornos </w:t>
      </w:r>
      <w:r>
        <w:t>IA, ABAC ayuda a evitar acciones peligrosas y a controlar herramientas (tools) por contexto.</w:t>
      </w:r>
    </w:p>
    <w:p w:rsidR="001C3E2A" w:rsidRDefault="007433CE">
      <w:pPr>
        <w:pStyle w:val="Ttulo2"/>
      </w:pPr>
      <w:bookmarkStart w:id="63" w:name="X6a18b41c1500b8dce4b6361b25ae86c3268d354"/>
      <w:bookmarkEnd w:id="62"/>
      <w:r>
        <w:t>Autorización fina (Fine-grained authorization)</w:t>
      </w:r>
    </w:p>
    <w:p w:rsidR="001C3E2A" w:rsidRDefault="007433CE">
      <w:pPr>
        <w:pStyle w:val="FirstParagraph"/>
      </w:pPr>
      <w:r>
        <w:t>Estrategia de control de acceso que define permisos a nivel granular: módulos, formularios, acciones y, en casos sen</w:t>
      </w:r>
      <w:r>
        <w:t>sibles, campos/atributos. Esto permite aplicar el principio de mínimo privilegio, enmascarar datos personales y controlar acciones críticas como exportar, aprobar o ejecutar pagos. La autorización fina es clave para compliance y para operar con múltiples r</w:t>
      </w:r>
      <w:r>
        <w:t>oles dentro de una organización. En sistemas con IA, reduce riesgos cuando el sistema ejecuta herramientas o automatiza flujos.</w:t>
      </w:r>
    </w:p>
    <w:p w:rsidR="001C3E2A" w:rsidRDefault="007433CE">
      <w:pPr>
        <w:pStyle w:val="Ttulo2"/>
      </w:pPr>
      <w:bookmarkStart w:id="64" w:name="field-level-security-seguridad-por-campo"/>
      <w:bookmarkEnd w:id="63"/>
      <w:r>
        <w:t>Field-Level Security (Seguridad por campo)</w:t>
      </w:r>
    </w:p>
    <w:p w:rsidR="001C3E2A" w:rsidRDefault="007433CE">
      <w:pPr>
        <w:pStyle w:val="FirstParagraph"/>
      </w:pPr>
      <w:r>
        <w:t>Mecanismo que controla visibilidad y edición de campos específicos (atributos) según roles/políticas. Se usa para proteger PII, salarios, cuentas bancarias, datos médicos u otros datos regulados. Puede implicar ocultar el campo, enmascararlo parcial o tota</w:t>
      </w:r>
      <w:r>
        <w:t>lmente, o permitir solo lectura. Field-level security requiere consistencia entre backend y frontend, y auditoría cuando se accede a campos sensibles. Es una pieza central cuando se necesita “mismo formulario, distintos niveles de acceso”.</w:t>
      </w:r>
    </w:p>
    <w:p w:rsidR="001C3E2A" w:rsidRDefault="007433CE">
      <w:pPr>
        <w:pStyle w:val="Ttulo2"/>
      </w:pPr>
      <w:bookmarkStart w:id="65" w:name="trigger-disparador"/>
      <w:bookmarkEnd w:id="64"/>
      <w:r>
        <w:t>Trigger (Dispara</w:t>
      </w:r>
      <w:r>
        <w:t>dor)</w:t>
      </w:r>
    </w:p>
    <w:p w:rsidR="001C3E2A" w:rsidRDefault="007433CE">
      <w:pPr>
        <w:pStyle w:val="FirstParagraph"/>
      </w:pPr>
      <w:r>
        <w:t>Funcionalidad del motor de base de datos que ejecuta lógica automáticamente ante eventos (INSERT/UPDATE/DELETE). Los triggers son útiles para ciertas reglas de integridad o auditoría técnica, pero pueden ser peligrosos si implementan lógica de negocio</w:t>
      </w:r>
      <w:r>
        <w:t xml:space="preserve"> compleja. En plataformas con IA, los triggers pueden ocultar side effects, dificultar observabilidad y saltarse políticas de autorización si no se diseñan cuidadosamente. Por eso se recomienda usarlos con moderación, preferentemente para concerns técnicos</w:t>
      </w:r>
      <w:r>
        <w:t>.</w:t>
      </w:r>
    </w:p>
    <w:p w:rsidR="001C3E2A" w:rsidRDefault="007433CE">
      <w:pPr>
        <w:pStyle w:val="Ttulo2"/>
      </w:pPr>
      <w:bookmarkStart w:id="66" w:name="X0566d1e99ef2c297b55159739f82f2b9c463434"/>
      <w:bookmarkEnd w:id="65"/>
      <w:r>
        <w:t>Procedimiento almacenado (Stored Procedure)</w:t>
      </w:r>
    </w:p>
    <w:p w:rsidR="001C3E2A" w:rsidRDefault="007433CE">
      <w:pPr>
        <w:pStyle w:val="FirstParagraph"/>
      </w:pPr>
      <w:r>
        <w:t>Programa alojado en la base de datos que ejecuta una serie de operaciones, normalmente para lógica compleja o batch. Puede aportar eficiencia y centralizar operaciones pesadas, pero también introduce acoplamien</w:t>
      </w:r>
      <w:r>
        <w:t>to al motor SQL y complica pruebas/observabilidad si se usa indiscriminadamente. En sistemas con IA, los stored procedures deben invocarse explícitamente desde la aplicación, con auditoría y correlación, evitando que sustituyan el modelo de dominio y las r</w:t>
      </w:r>
      <w:r>
        <w:t>eglas de autorización.</w:t>
      </w:r>
    </w:p>
    <w:p w:rsidR="001C3E2A" w:rsidRDefault="007433CE">
      <w:pPr>
        <w:pStyle w:val="Ttulo2"/>
      </w:pPr>
      <w:bookmarkStart w:id="67" w:name="observabilidad"/>
      <w:bookmarkEnd w:id="66"/>
      <w:r>
        <w:lastRenderedPageBreak/>
        <w:t>Observabilidad</w:t>
      </w:r>
    </w:p>
    <w:p w:rsidR="001C3E2A" w:rsidRDefault="007433CE">
      <w:pPr>
        <w:pStyle w:val="FirstParagraph"/>
      </w:pPr>
      <w:r>
        <w:t>Capacidad de entender el comportamiento del sistema a partir de señales: logs, métricas y trazas. En arquitectura enterprise, la observabilidad permite diagnosticar fallos, medir rendimiento, controlar costos y asegura</w:t>
      </w:r>
      <w:r>
        <w:t>r confiabilidad. Cuando incorporas IA, la observabilidad incluye además tokens, latencia de LLM, costos, versiones de prompts, fuentes consultadas (RAG), y decisiones de herramientas. La observabilidad se degrada si parte del comportamiento ocurre “oculto”</w:t>
      </w:r>
      <w:r>
        <w:t xml:space="preserve"> en triggers o procedimientos sin correlación.</w:t>
      </w:r>
    </w:p>
    <w:p w:rsidR="001C3E2A" w:rsidRDefault="007433CE">
      <w:pPr>
        <w:pStyle w:val="Ttulo2"/>
      </w:pPr>
      <w:bookmarkStart w:id="68" w:name="rag-retrieval-augmented-generation"/>
      <w:bookmarkEnd w:id="67"/>
      <w:r>
        <w:t>RAG (Retrieval Augmented Generation)</w:t>
      </w:r>
    </w:p>
    <w:p w:rsidR="001C3E2A" w:rsidRDefault="007433CE">
      <w:pPr>
        <w:pStyle w:val="FirstParagraph"/>
      </w:pPr>
      <w:r>
        <w:t>Técnica en la cual un modelo generativo responde usando contexto recuperado desde un repositorio (vector store o búsqueda). El sistema primero recupera documentos relevante</w:t>
      </w:r>
      <w:r>
        <w:t>s (chunks) y luego genera una respuesta fundamentada en ese contexto. En enterprise, RAG debe ser multi-tenant (filtros por tenant/namespace), auditado y observable, para evitar fuga de conocimiento y para justificar respuestas. Spring AI facilita la integ</w:t>
      </w:r>
      <w:r>
        <w:t>ración con vector stores y el wiring del pipeline, manteniendo portabilidad.</w:t>
      </w:r>
    </w:p>
    <w:p w:rsidR="001C3E2A" w:rsidRDefault="007433CE">
      <w:pPr>
        <w:pStyle w:val="Ttulo2"/>
      </w:pPr>
      <w:bookmarkStart w:id="69" w:name="tool-calling-function-calling"/>
      <w:bookmarkEnd w:id="68"/>
      <w:r>
        <w:t>Tool calling / Function calling</w:t>
      </w:r>
    </w:p>
    <w:p w:rsidR="001C3E2A" w:rsidRDefault="007433CE">
      <w:pPr>
        <w:pStyle w:val="FirstParagraph"/>
      </w:pPr>
      <w:r>
        <w:t>Capacidad de un LLM de invocar “herramientas” definidas por la aplicación (consultar, crear, aprobar, etc.) mediante contratos estructurados. En si</w:t>
      </w:r>
      <w:r>
        <w:t>stemas enterprise, tool calling debe estar estrictamente controlado por IAM, políticas ABAC, auditoría y límites por tenant. Permite automatización poderosa, pero puede ser riesgoso si se ejecutan acciones sensibles sin validación o aprobación. Por eso, la</w:t>
      </w:r>
      <w:r>
        <w:t xml:space="preserve"> capa de aplicación debe ser la fuente de comportamiento y la DB no debe disparar side effects implícitos.</w:t>
      </w:r>
    </w:p>
    <w:p w:rsidR="001C3E2A" w:rsidRDefault="007433CE">
      <w:pPr>
        <w:pStyle w:val="Ttulo2"/>
      </w:pPr>
      <w:bookmarkStart w:id="70" w:name="hardcoding"/>
      <w:bookmarkEnd w:id="69"/>
      <w:r>
        <w:t>Hardcoding</w:t>
      </w:r>
    </w:p>
    <w:p w:rsidR="001C3E2A" w:rsidRDefault="007433CE">
      <w:pPr>
        <w:pStyle w:val="FirstParagraph"/>
      </w:pPr>
      <w:r>
        <w:t>Práctica de fijar reglas, permisos, monedas, empresas o flujos dentro del código en lugar de parametrizarlos. Hardcoding reduce adaptabili</w:t>
      </w:r>
      <w:r>
        <w:t>dad y aumenta el costo de cambio: cada ajuste requiere despliegue, pruebas, riesgos y coordinación. En plataformas multi-tenant/multiempresa, hardcoding suele producir inconsistencias entre verticales y vulnerabilidades. La alternativa enterprise es un mod</w:t>
      </w:r>
      <w:r>
        <w:t>elo de configuración versionado, auditado y administrable.</w:t>
      </w:r>
    </w:p>
    <w:p w:rsidR="001C3E2A" w:rsidRDefault="007433CE">
      <w:r>
        <w:pict>
          <v:rect id="_x0000_i1041" style="width:0;height:1.5pt" o:hralign="center" o:hrstd="t" o:hr="t"/>
        </w:pict>
      </w:r>
    </w:p>
    <w:p w:rsidR="001C3E2A" w:rsidRDefault="007433CE">
      <w:pPr>
        <w:pStyle w:val="Ttulo2"/>
      </w:pPr>
      <w:bookmarkStart w:id="71" w:name="cierre"/>
      <w:bookmarkEnd w:id="70"/>
      <w:r>
        <w:t>Cierre</w:t>
      </w:r>
    </w:p>
    <w:p w:rsidR="001C3E2A" w:rsidRDefault="007433CE">
      <w:pPr>
        <w:pStyle w:val="FirstParagraph"/>
      </w:pPr>
      <w:r>
        <w:t>Multiempresa, multimoneda y autorización fina exigen gobernanza y configurabilidad. La incorporación de IA aumenta la necesidad de trazabilidad y control: por eso, aunque triggers y proced</w:t>
      </w:r>
      <w:r>
        <w:t>imientos almacenados tienen usos válidos, no deben convertirse en el lugar principal de la lógica de negocio cuando el sistema integra IA. En su lugar, se recomienda un patrón donde la aplicación gobierna comportamiento, permisos y auditoría; y la DB garan</w:t>
      </w:r>
      <w:r>
        <w:t>tiza integridad, persistencia y operaciones batch invocadas explícitamente.</w:t>
      </w:r>
      <w:bookmarkEnd w:id="57"/>
      <w:bookmarkEnd w:id="71"/>
    </w:p>
    <w:sectPr w:rsidR="001C3E2A" w:rsidSect="007433CE">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1AE084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147F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5FC78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382072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E2A"/>
    <w:rsid w:val="001C3E2A"/>
    <w:rsid w:val="00743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BD73AC-9C41-4E73-9E63-423278038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3572</Words>
  <Characters>19649</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B-404</dc:creator>
  <cp:keywords/>
  <cp:lastModifiedBy>B-404</cp:lastModifiedBy>
  <cp:revision>2</cp:revision>
  <dcterms:created xsi:type="dcterms:W3CDTF">2026-01-26T14:27:00Z</dcterms:created>
  <dcterms:modified xsi:type="dcterms:W3CDTF">2026-01-26T14:27:00Z</dcterms:modified>
</cp:coreProperties>
</file>