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44B" w:rsidRDefault="00062B06">
      <w:pPr>
        <w:pStyle w:val="Ttulo1"/>
      </w:pPr>
      <w:bookmarkStart w:id="0" w:name="X62395b6cf8c698e5a7c6b065a1fa9cf128db69f"/>
      <w:r>
        <w:t xml:space="preserve">Justificación por repositorio: </w:t>
      </w:r>
      <w:r>
        <w:rPr>
          <w:b/>
          <w:bCs/>
        </w:rPr>
        <w:t>core-platform como librería</w:t>
      </w:r>
      <w:r>
        <w:t>; estructura y propósito de carpetas (core-platform, iam-service, ai-service)</w:t>
      </w:r>
    </w:p>
    <w:p w:rsidR="00B3444B" w:rsidRDefault="00062B06">
      <w:pPr>
        <w:pStyle w:val="Textodebloque"/>
      </w:pPr>
      <w:r>
        <w:t xml:space="preserve">Documento técnico–académico en </w:t>
      </w:r>
      <w:r>
        <w:rPr>
          <w:b/>
          <w:bCs/>
        </w:rPr>
        <w:t>15 páginas</w:t>
      </w:r>
      <w:r>
        <w:t xml:space="preserve"> (5 por repositorio). Objetivo: dejar completamente claro </w:t>
      </w:r>
      <w:r>
        <w:rPr>
          <w:b/>
          <w:bCs/>
        </w:rPr>
        <w:t>por qué existe</w:t>
      </w:r>
      <w:r>
        <w:t xml:space="preserve"> </w:t>
      </w:r>
      <w:r>
        <w:t xml:space="preserve">cada repositorio, por qué </w:t>
      </w:r>
      <w:r>
        <w:rPr>
          <w:b/>
          <w:bCs/>
        </w:rPr>
        <w:t>core-platform</w:t>
      </w:r>
      <w:r>
        <w:t xml:space="preserve"> debe ser una </w:t>
      </w:r>
      <w:r>
        <w:rPr>
          <w:b/>
          <w:bCs/>
        </w:rPr>
        <w:t>librería</w:t>
      </w:r>
      <w:r>
        <w:t xml:space="preserve"> (y no un servicio), y justificar </w:t>
      </w:r>
      <w:r>
        <w:rPr>
          <w:b/>
          <w:bCs/>
        </w:rPr>
        <w:t>c</w:t>
      </w:r>
      <w:bookmarkStart w:id="1" w:name="_GoBack"/>
      <w:bookmarkEnd w:id="1"/>
      <w:r>
        <w:rPr>
          <w:b/>
          <w:bCs/>
        </w:rPr>
        <w:t>ada carpeta</w:t>
      </w:r>
      <w:r>
        <w:t xml:space="preserve"> relevante con relación al potencial de la arquitectura.</w:t>
      </w:r>
    </w:p>
    <w:p w:rsidR="00B3444B" w:rsidRDefault="00062B06">
      <w:r>
        <w:pict>
          <v:rect id="_x0000_i1025" style="width:0;height:1.5pt" o:hralign="center" o:hrstd="t" o:hr="t"/>
        </w:pict>
      </w:r>
    </w:p>
    <w:p w:rsidR="00B3444B" w:rsidRDefault="00062B06">
      <w:pPr>
        <w:pStyle w:val="Ttulo2"/>
      </w:pPr>
      <w:bookmarkStart w:id="2" w:name="índice"/>
      <w:r>
        <w:t>Índice</w:t>
      </w:r>
    </w:p>
    <w:p w:rsidR="00B3444B" w:rsidRDefault="00062B06">
      <w:pPr>
        <w:pStyle w:val="Compact"/>
        <w:numPr>
          <w:ilvl w:val="0"/>
          <w:numId w:val="2"/>
        </w:numPr>
      </w:pPr>
      <w:r>
        <w:t>Parte A (5 páginas): core-platform como librería</w:t>
      </w:r>
    </w:p>
    <w:p w:rsidR="00B3444B" w:rsidRDefault="00062B06">
      <w:pPr>
        <w:pStyle w:val="Compact"/>
        <w:numPr>
          <w:ilvl w:val="0"/>
          <w:numId w:val="2"/>
        </w:numPr>
      </w:pPr>
      <w:r>
        <w:t>Parte B (5 páginas): iam-service c</w:t>
      </w:r>
      <w:r>
        <w:t>omo servicio de identidad</w:t>
      </w:r>
    </w:p>
    <w:p w:rsidR="00B3444B" w:rsidRDefault="00062B06">
      <w:pPr>
        <w:pStyle w:val="Compact"/>
        <w:numPr>
          <w:ilvl w:val="0"/>
          <w:numId w:val="2"/>
        </w:numPr>
      </w:pPr>
      <w:r>
        <w:t>Parte C (5 páginas): ai-service como servicio de capacidades IA</w:t>
      </w:r>
    </w:p>
    <w:p w:rsidR="00B3444B" w:rsidRDefault="00062B06">
      <w:r>
        <w:pict>
          <v:rect id="_x0000_i1026" style="width:0;height:1.5pt" o:hralign="center" o:hrstd="t" o:hr="t"/>
        </w:pict>
      </w:r>
    </w:p>
    <w:p w:rsidR="00B3444B" w:rsidRDefault="00062B06">
      <w:pPr>
        <w:pStyle w:val="Ttulo1"/>
      </w:pPr>
      <w:bookmarkStart w:id="3" w:name="parte-a-core-platform-5-páginas"/>
      <w:bookmarkEnd w:id="0"/>
      <w:bookmarkEnd w:id="2"/>
      <w:r>
        <w:t>Parte A — core-platform (5 páginas)</w:t>
      </w:r>
    </w:p>
    <w:p w:rsidR="00B3444B" w:rsidRDefault="00062B06">
      <w:pPr>
        <w:pStyle w:val="Ttulo2"/>
      </w:pPr>
      <w:bookmarkStart w:id="4" w:name="X0f91d111cbaa5fbafcc34f55bac5862851c0c9c"/>
      <w:r>
        <w:t xml:space="preserve">Página A1 — Por qué core-platform existe como </w:t>
      </w:r>
      <w:r>
        <w:rPr>
          <w:b/>
          <w:bCs/>
        </w:rPr>
        <w:t>librería</w:t>
      </w:r>
      <w:r>
        <w:t xml:space="preserve"> (y no como microservicio)</w:t>
      </w:r>
    </w:p>
    <w:p w:rsidR="00B3444B" w:rsidRDefault="00062B06">
      <w:pPr>
        <w:pStyle w:val="FirstParagraph"/>
      </w:pPr>
      <w:r>
        <w:t>En plataformas enterprise con múltiples vertica</w:t>
      </w:r>
      <w:r>
        <w:t xml:space="preserve">les, existe una tensión natural entre: - </w:t>
      </w:r>
      <w:r>
        <w:rPr>
          <w:b/>
          <w:bCs/>
        </w:rPr>
        <w:t>reutilización</w:t>
      </w:r>
      <w:r>
        <w:t xml:space="preserve"> (no duplicar), y - </w:t>
      </w:r>
      <w:r>
        <w:rPr>
          <w:b/>
          <w:bCs/>
        </w:rPr>
        <w:t>autonomía</w:t>
      </w:r>
      <w:r>
        <w:t xml:space="preserve"> (no acoplar).</w:t>
      </w:r>
    </w:p>
    <w:p w:rsidR="00B3444B" w:rsidRDefault="00062B06">
      <w:pPr>
        <w:pStyle w:val="Textoindependiente"/>
      </w:pPr>
      <w:r>
        <w:rPr>
          <w:b/>
          <w:bCs/>
        </w:rPr>
        <w:t>core-platform</w:t>
      </w:r>
      <w:r>
        <w:t xml:space="preserve"> resuelve esta tensión actuando como </w:t>
      </w:r>
      <w:r>
        <w:rPr>
          <w:b/>
          <w:bCs/>
        </w:rPr>
        <w:t>librería versionada</w:t>
      </w:r>
      <w:r>
        <w:t xml:space="preserve"> (artefactos Maven) que provee capacidades transversales y estándares. Si fuera un micros</w:t>
      </w:r>
      <w:r>
        <w:t>ervicio, ocurrirían dos problemas:</w:t>
      </w:r>
    </w:p>
    <w:p w:rsidR="00B3444B" w:rsidRDefault="00062B06">
      <w:pPr>
        <w:numPr>
          <w:ilvl w:val="0"/>
          <w:numId w:val="3"/>
        </w:numPr>
      </w:pPr>
      <w:r>
        <w:rPr>
          <w:b/>
          <w:bCs/>
        </w:rPr>
        <w:t>Acoplamiento runtime innecesario</w:t>
      </w:r>
      <w:r>
        <w:t>: toda vertical dependería de un servicio adicional para funcionalidades que son “locales” (ej. manejo de errores, utilidades, convenciones). Eso aumenta latencia, puntos de falla y complej</w:t>
      </w:r>
      <w:r>
        <w:t>idad operativa.</w:t>
      </w:r>
    </w:p>
    <w:p w:rsidR="00B3444B" w:rsidRDefault="00062B06">
      <w:pPr>
        <w:numPr>
          <w:ilvl w:val="0"/>
          <w:numId w:val="3"/>
        </w:numPr>
      </w:pPr>
      <w:r>
        <w:rPr>
          <w:b/>
          <w:bCs/>
        </w:rPr>
        <w:t>Señal incorrecta de dominio</w:t>
      </w:r>
      <w:r>
        <w:t>: core-platform no representa un bounded context de negocio; representa un conjunto de concerns transversales (observabilidad, tenancy, estándares). Estos concerns deben consumirse como dependencias de build, no c</w:t>
      </w:r>
      <w:r>
        <w:t>omo endpoints remotos.</w:t>
      </w:r>
    </w:p>
    <w:p w:rsidR="00B3444B" w:rsidRDefault="00062B06">
      <w:pPr>
        <w:pStyle w:val="FirstParagraph"/>
      </w:pPr>
      <w:r>
        <w:t>Por lo tanto, core-platform como librería permite: - Consistencia de arquitectura en todo el ecosistema. - Evolución controlada por versionado (BOM). - Menos complejidad operativa en runtime. - Pruebas y desarrollo más rápidos.</w:t>
      </w:r>
    </w:p>
    <w:p w:rsidR="00B3444B" w:rsidRDefault="00062B06">
      <w:r>
        <w:pict>
          <v:rect id="_x0000_i1027" style="width:0;height:1.5pt" o:hralign="center" o:hrstd="t" o:hr="t"/>
        </w:pict>
      </w:r>
    </w:p>
    <w:p w:rsidR="00B3444B" w:rsidRDefault="00062B06">
      <w:pPr>
        <w:pStyle w:val="Ttulo2"/>
      </w:pPr>
      <w:bookmarkStart w:id="5" w:name="Xa8699e3261085730f0177c5673689c563ef4cc6"/>
      <w:bookmarkEnd w:id="4"/>
      <w:r>
        <w:t>Pág</w:t>
      </w:r>
      <w:r>
        <w:t>ina A2 — Carpeta raíz de core-platform: propósito y justificación</w:t>
      </w:r>
    </w:p>
    <w:p w:rsidR="00B3444B" w:rsidRDefault="00062B06">
      <w:pPr>
        <w:pStyle w:val="Ttulo3"/>
      </w:pPr>
      <w:bookmarkStart w:id="6" w:name="pom.xml"/>
      <w:r>
        <w:rPr>
          <w:rStyle w:val="VerbatimChar"/>
        </w:rPr>
        <w:t>pom.xml</w:t>
      </w:r>
    </w:p>
    <w:p w:rsidR="00B3444B" w:rsidRDefault="00062B06">
      <w:pPr>
        <w:pStyle w:val="FirstParagraph"/>
      </w:pPr>
      <w:r>
        <w:t xml:space="preserve">Funciona como </w:t>
      </w:r>
      <w:r>
        <w:rPr>
          <w:b/>
          <w:bCs/>
        </w:rPr>
        <w:t>parent/aggregator</w:t>
      </w:r>
      <w:r>
        <w:t xml:space="preserve"> y, frecuentemente, como </w:t>
      </w:r>
      <w:r>
        <w:rPr>
          <w:b/>
          <w:bCs/>
        </w:rPr>
        <w:t>BOM driver</w:t>
      </w:r>
      <w:r>
        <w:t>. - Centraliza versiones, plugins, reglas de compilación. - Reduce “dependency drift”: evita que cada servicio use v</w:t>
      </w:r>
      <w:r>
        <w:t>ersiones distintas. - Impone estándares de build (Java 21, surefire, encoding, etc.).</w:t>
      </w:r>
    </w:p>
    <w:p w:rsidR="00B3444B" w:rsidRDefault="00062B06">
      <w:pPr>
        <w:pStyle w:val="Ttulo3"/>
      </w:pPr>
      <w:bookmarkStart w:id="7" w:name="mvn-mvnw-mvnw.cmd"/>
      <w:bookmarkEnd w:id="6"/>
      <w:r>
        <w:rPr>
          <w:rStyle w:val="VerbatimChar"/>
        </w:rPr>
        <w:lastRenderedPageBreak/>
        <w:t>.mvn/</w:t>
      </w:r>
      <w:r>
        <w:t xml:space="preserve">, </w:t>
      </w:r>
      <w:r>
        <w:rPr>
          <w:rStyle w:val="VerbatimChar"/>
        </w:rPr>
        <w:t>mvnw</w:t>
      </w:r>
      <w:r>
        <w:t xml:space="preserve">, </w:t>
      </w:r>
      <w:r>
        <w:rPr>
          <w:rStyle w:val="VerbatimChar"/>
        </w:rPr>
        <w:t>mvnw.cmd</w:t>
      </w:r>
    </w:p>
    <w:p w:rsidR="00B3444B" w:rsidRDefault="00062B06">
      <w:pPr>
        <w:pStyle w:val="FirstParagraph"/>
      </w:pPr>
      <w:r>
        <w:t>Garantiza que el build use una versión consistente de Maven, crucial en equipos y CI. - En enterprise: build determinista = menos fallas “en mi máqu</w:t>
      </w:r>
      <w:r>
        <w:t>ina funciona”.</w:t>
      </w:r>
    </w:p>
    <w:p w:rsidR="00B3444B" w:rsidRDefault="00062B06">
      <w:pPr>
        <w:pStyle w:val="Ttulo3"/>
      </w:pPr>
      <w:bookmarkStart w:id="8" w:name="readme.md"/>
      <w:bookmarkEnd w:id="7"/>
      <w:r>
        <w:rPr>
          <w:rStyle w:val="VerbatimChar"/>
        </w:rPr>
        <w:t>README.md</w:t>
      </w:r>
    </w:p>
    <w:p w:rsidR="00B3444B" w:rsidRDefault="00062B06">
      <w:pPr>
        <w:pStyle w:val="FirstParagraph"/>
      </w:pPr>
      <w:r>
        <w:t>Es la entrada de documentación. Debe declarar: - qué módulos ofrece la plataforma, - cómo versionarlos, - cómo consumirlos (BOM y dependencias), - reglas de compatibilidad.</w:t>
      </w:r>
    </w:p>
    <w:p w:rsidR="00B3444B" w:rsidRDefault="00062B06">
      <w:pPr>
        <w:pStyle w:val="Ttulo3"/>
      </w:pPr>
      <w:bookmarkStart w:id="9" w:name="gitignore"/>
      <w:bookmarkEnd w:id="8"/>
      <w:r>
        <w:rPr>
          <w:rStyle w:val="VerbatimChar"/>
        </w:rPr>
        <w:t>.gitignore</w:t>
      </w:r>
    </w:p>
    <w:p w:rsidR="00B3444B" w:rsidRDefault="00062B06">
      <w:pPr>
        <w:pStyle w:val="FirstParagraph"/>
      </w:pPr>
      <w:r>
        <w:t xml:space="preserve">Evita contaminación del repo con artefactos de </w:t>
      </w:r>
      <w:r>
        <w:t>build. Esto reduce ruido y conflictos.</w:t>
      </w:r>
    </w:p>
    <w:p w:rsidR="00B3444B" w:rsidRDefault="00062B06">
      <w:r>
        <w:pict>
          <v:rect id="_x0000_i1028" style="width:0;height:1.5pt" o:hralign="center" o:hrstd="t" o:hr="t"/>
        </w:pict>
      </w:r>
    </w:p>
    <w:p w:rsidR="00B3444B" w:rsidRDefault="00062B06">
      <w:pPr>
        <w:pStyle w:val="Ttulo2"/>
      </w:pPr>
      <w:bookmarkStart w:id="10" w:name="Xdc649a2696a3bd3059dbb7ebf7c5382314d171b"/>
      <w:bookmarkEnd w:id="5"/>
      <w:bookmarkEnd w:id="9"/>
      <w:r>
        <w:t xml:space="preserve">Página A3 — </w:t>
      </w:r>
      <w:r>
        <w:rPr>
          <w:rStyle w:val="VerbatimChar"/>
        </w:rPr>
        <w:t>docs/</w:t>
      </w:r>
      <w:r>
        <w:t xml:space="preserve"> en core-platform: gobernanza y “cinturón de seguridad”</w:t>
      </w:r>
    </w:p>
    <w:p w:rsidR="00B3444B" w:rsidRDefault="00062B06">
      <w:pPr>
        <w:pStyle w:val="Ttulo3"/>
      </w:pPr>
      <w:bookmarkStart w:id="11" w:name="docsadr"/>
      <w:r>
        <w:rPr>
          <w:rStyle w:val="VerbatimChar"/>
        </w:rPr>
        <w:t>docs/adr/</w:t>
      </w:r>
    </w:p>
    <w:p w:rsidR="00B3444B" w:rsidRDefault="00062B06">
      <w:pPr>
        <w:pStyle w:val="FirstParagraph"/>
      </w:pPr>
      <w:r>
        <w:t xml:space="preserve">Los ADR (Architecture Decision Records) documentan decisiones irreversibles o costosas: - por qué DDD/Hexagonal, </w:t>
      </w:r>
      <w:r>
        <w:t>- estrategia de multi-tenancy, - estándar de errores, - políticas de logging/tracing.</w:t>
      </w:r>
    </w:p>
    <w:p w:rsidR="00B3444B" w:rsidRDefault="00062B06">
      <w:pPr>
        <w:pStyle w:val="Textoindependiente"/>
      </w:pPr>
      <w:r>
        <w:t>En plataformas con verticales, ADRs evitan divergencia: todos saben qué decisión se tomó y por qué.</w:t>
      </w:r>
    </w:p>
    <w:p w:rsidR="00B3444B" w:rsidRDefault="00062B06">
      <w:pPr>
        <w:pStyle w:val="Ttulo3"/>
      </w:pPr>
      <w:bookmarkStart w:id="12" w:name="docsstandards"/>
      <w:bookmarkEnd w:id="11"/>
      <w:r>
        <w:rPr>
          <w:rStyle w:val="VerbatimChar"/>
        </w:rPr>
        <w:t>docs/standards/</w:t>
      </w:r>
    </w:p>
    <w:p w:rsidR="00B3444B" w:rsidRDefault="00062B06">
      <w:pPr>
        <w:pStyle w:val="FirstParagraph"/>
      </w:pPr>
      <w:r>
        <w:t xml:space="preserve">Contiene normas y convenciones de plataforma: </w:t>
      </w:r>
      <w:r>
        <w:t>- naming, paquetes, códigos de error, - estándares de auditoría, - guía de API (headers, pagination, idempotency).</w:t>
      </w:r>
    </w:p>
    <w:p w:rsidR="00B3444B" w:rsidRDefault="00062B06">
      <w:pPr>
        <w:pStyle w:val="Ttulo3"/>
      </w:pPr>
      <w:bookmarkStart w:id="13" w:name="docsdiagrams"/>
      <w:bookmarkEnd w:id="12"/>
      <w:r>
        <w:rPr>
          <w:rStyle w:val="VerbatimChar"/>
        </w:rPr>
        <w:t>docs/diagrams/</w:t>
      </w:r>
    </w:p>
    <w:p w:rsidR="00B3444B" w:rsidRDefault="00062B06">
      <w:pPr>
        <w:pStyle w:val="FirstParagraph"/>
      </w:pPr>
      <w:r>
        <w:t>Diagramas C4 y secuencia permiten que nuevos equipos comprendan: - cómo se conectan servicios, - dónde se aplican políticas, -</w:t>
      </w:r>
      <w:r>
        <w:t xml:space="preserve"> puntos de integración.</w:t>
      </w:r>
    </w:p>
    <w:p w:rsidR="00B3444B" w:rsidRDefault="00062B06">
      <w:r>
        <w:pict>
          <v:rect id="_x0000_i1029" style="width:0;height:1.5pt" o:hralign="center" o:hrstd="t" o:hr="t"/>
        </w:pict>
      </w:r>
    </w:p>
    <w:p w:rsidR="00B3444B" w:rsidRDefault="00062B06">
      <w:pPr>
        <w:pStyle w:val="Ttulo2"/>
      </w:pPr>
      <w:bookmarkStart w:id="14" w:name="Xfa8cce94d8927fa805b660228438dfe067233f8"/>
      <w:bookmarkEnd w:id="10"/>
      <w:bookmarkEnd w:id="13"/>
      <w:r>
        <w:t xml:space="preserve">Página A4 — </w:t>
      </w:r>
      <w:r>
        <w:rPr>
          <w:rStyle w:val="VerbatimChar"/>
        </w:rPr>
        <w:t>modules/</w:t>
      </w:r>
      <w:r>
        <w:t xml:space="preserve"> en core-platform: justificación de módulos transversales</w:t>
      </w:r>
    </w:p>
    <w:p w:rsidR="00B3444B" w:rsidRDefault="00062B06">
      <w:pPr>
        <w:pStyle w:val="Textodebloque"/>
      </w:pPr>
      <w:r>
        <w:t xml:space="preserve">El objetivo de </w:t>
      </w:r>
      <w:r>
        <w:rPr>
          <w:rStyle w:val="VerbatimChar"/>
        </w:rPr>
        <w:t>modules/</w:t>
      </w:r>
      <w:r>
        <w:t xml:space="preserve"> es </w:t>
      </w:r>
      <w:r>
        <w:rPr>
          <w:b/>
          <w:bCs/>
        </w:rPr>
        <w:t>encapsular concerns</w:t>
      </w:r>
      <w:r>
        <w:t xml:space="preserve"> para que los servicios consuman exactamente lo que necesitan.</w:t>
      </w:r>
    </w:p>
    <w:p w:rsidR="00B3444B" w:rsidRDefault="00062B06">
      <w:pPr>
        <w:pStyle w:val="Ttulo3"/>
      </w:pPr>
      <w:bookmarkStart w:id="15" w:name="modulescore-bom"/>
      <w:r>
        <w:rPr>
          <w:rStyle w:val="VerbatimChar"/>
        </w:rPr>
        <w:t>modules/core-bom/</w:t>
      </w:r>
    </w:p>
    <w:p w:rsidR="00B3444B" w:rsidRDefault="00062B06">
      <w:pPr>
        <w:pStyle w:val="FirstParagraph"/>
      </w:pPr>
      <w:r>
        <w:t>Publica el BOM interno. A</w:t>
      </w:r>
      <w:r>
        <w:t>linea: - Spring Boot, - libs de seguridad, - observabilidad, - librerías comunes.</w:t>
      </w:r>
    </w:p>
    <w:p w:rsidR="00B3444B" w:rsidRDefault="00062B06">
      <w:pPr>
        <w:pStyle w:val="Ttulo3"/>
      </w:pPr>
      <w:bookmarkStart w:id="16" w:name="modulescore-tenancy"/>
      <w:bookmarkEnd w:id="15"/>
      <w:r>
        <w:rPr>
          <w:rStyle w:val="VerbatimChar"/>
        </w:rPr>
        <w:t>modules/core-tenancy/</w:t>
      </w:r>
    </w:p>
    <w:p w:rsidR="00B3444B" w:rsidRDefault="00062B06">
      <w:pPr>
        <w:pStyle w:val="Compact"/>
        <w:numPr>
          <w:ilvl w:val="0"/>
          <w:numId w:val="4"/>
        </w:numPr>
      </w:pPr>
      <w:r>
        <w:t>TenantContext + resolvers.</w:t>
      </w:r>
    </w:p>
    <w:p w:rsidR="00B3444B" w:rsidRDefault="00062B06">
      <w:pPr>
        <w:pStyle w:val="Compact"/>
        <w:numPr>
          <w:ilvl w:val="0"/>
          <w:numId w:val="4"/>
        </w:numPr>
      </w:pPr>
      <w:r>
        <w:t>Interceptors / filtros.</w:t>
      </w:r>
    </w:p>
    <w:p w:rsidR="00B3444B" w:rsidRDefault="00062B06">
      <w:pPr>
        <w:pStyle w:val="Compact"/>
        <w:numPr>
          <w:ilvl w:val="0"/>
          <w:numId w:val="4"/>
        </w:numPr>
      </w:pPr>
      <w:r>
        <w:t>Estrategias de particionado lógico por tenant.</w:t>
      </w:r>
    </w:p>
    <w:p w:rsidR="00B3444B" w:rsidRDefault="00062B06">
      <w:pPr>
        <w:pStyle w:val="Ttulo3"/>
      </w:pPr>
      <w:bookmarkStart w:id="17" w:name="modulescore-security"/>
      <w:bookmarkEnd w:id="16"/>
      <w:r>
        <w:rPr>
          <w:rStyle w:val="VerbatimChar"/>
        </w:rPr>
        <w:t>modules/core-security/</w:t>
      </w:r>
    </w:p>
    <w:p w:rsidR="00B3444B" w:rsidRDefault="00062B06">
      <w:pPr>
        <w:pStyle w:val="Compact"/>
        <w:numPr>
          <w:ilvl w:val="0"/>
          <w:numId w:val="5"/>
        </w:numPr>
      </w:pPr>
      <w:r>
        <w:t>Helpers para leer claims y scop</w:t>
      </w:r>
      <w:r>
        <w:t>es.</w:t>
      </w:r>
    </w:p>
    <w:p w:rsidR="00B3444B" w:rsidRDefault="00062B06">
      <w:pPr>
        <w:pStyle w:val="Compact"/>
        <w:numPr>
          <w:ilvl w:val="0"/>
          <w:numId w:val="5"/>
        </w:numPr>
      </w:pPr>
      <w:r>
        <w:t>Utilidades para enforcement consistente.</w:t>
      </w:r>
    </w:p>
    <w:p w:rsidR="00B3444B" w:rsidRDefault="00062B06">
      <w:pPr>
        <w:pStyle w:val="Ttulo3"/>
      </w:pPr>
      <w:bookmarkStart w:id="18" w:name="modulescore-web"/>
      <w:bookmarkEnd w:id="17"/>
      <w:r>
        <w:rPr>
          <w:rStyle w:val="VerbatimChar"/>
        </w:rPr>
        <w:lastRenderedPageBreak/>
        <w:t>modules/core-web/</w:t>
      </w:r>
    </w:p>
    <w:p w:rsidR="00B3444B" w:rsidRDefault="00062B06">
      <w:pPr>
        <w:pStyle w:val="Compact"/>
        <w:numPr>
          <w:ilvl w:val="0"/>
          <w:numId w:val="6"/>
        </w:numPr>
      </w:pPr>
      <w:r>
        <w:t>Manejo de errores estándar.</w:t>
      </w:r>
    </w:p>
    <w:p w:rsidR="00B3444B" w:rsidRDefault="00062B06">
      <w:pPr>
        <w:pStyle w:val="Compact"/>
        <w:numPr>
          <w:ilvl w:val="0"/>
          <w:numId w:val="6"/>
        </w:numPr>
      </w:pPr>
      <w:r>
        <w:t>Problem details.</w:t>
      </w:r>
    </w:p>
    <w:p w:rsidR="00B3444B" w:rsidRDefault="00062B06">
      <w:pPr>
        <w:pStyle w:val="Compact"/>
        <w:numPr>
          <w:ilvl w:val="0"/>
          <w:numId w:val="6"/>
        </w:numPr>
      </w:pPr>
      <w:r>
        <w:t>Correlation IDs en requests.</w:t>
      </w:r>
    </w:p>
    <w:p w:rsidR="00B3444B" w:rsidRDefault="00062B06">
      <w:pPr>
        <w:pStyle w:val="Ttulo3"/>
      </w:pPr>
      <w:bookmarkStart w:id="19" w:name="modulescore-observability"/>
      <w:bookmarkEnd w:id="18"/>
      <w:r>
        <w:rPr>
          <w:rStyle w:val="VerbatimChar"/>
        </w:rPr>
        <w:t>modules/core-observability/</w:t>
      </w:r>
    </w:p>
    <w:p w:rsidR="00B3444B" w:rsidRDefault="00062B06">
      <w:pPr>
        <w:pStyle w:val="Compact"/>
        <w:numPr>
          <w:ilvl w:val="0"/>
          <w:numId w:val="7"/>
        </w:numPr>
      </w:pPr>
      <w:r>
        <w:t>Logging estructurado.</w:t>
      </w:r>
    </w:p>
    <w:p w:rsidR="00B3444B" w:rsidRDefault="00062B06">
      <w:pPr>
        <w:pStyle w:val="Compact"/>
        <w:numPr>
          <w:ilvl w:val="0"/>
          <w:numId w:val="7"/>
        </w:numPr>
      </w:pPr>
      <w:r>
        <w:t>Métricas base.</w:t>
      </w:r>
    </w:p>
    <w:p w:rsidR="00B3444B" w:rsidRDefault="00062B06">
      <w:pPr>
        <w:pStyle w:val="Compact"/>
        <w:numPr>
          <w:ilvl w:val="0"/>
          <w:numId w:val="7"/>
        </w:numPr>
      </w:pPr>
      <w:r>
        <w:t>Convenciones de trazas.</w:t>
      </w:r>
    </w:p>
    <w:p w:rsidR="00B3444B" w:rsidRDefault="00062B06">
      <w:pPr>
        <w:pStyle w:val="Ttulo3"/>
      </w:pPr>
      <w:bookmarkStart w:id="20" w:name="modulescore-audit"/>
      <w:bookmarkEnd w:id="19"/>
      <w:r>
        <w:rPr>
          <w:rStyle w:val="VerbatimChar"/>
        </w:rPr>
        <w:t>modules/core-audit/</w:t>
      </w:r>
    </w:p>
    <w:p w:rsidR="00B3444B" w:rsidRDefault="00062B06">
      <w:pPr>
        <w:pStyle w:val="Compact"/>
        <w:numPr>
          <w:ilvl w:val="0"/>
          <w:numId w:val="8"/>
        </w:numPr>
      </w:pPr>
      <w:r>
        <w:t>Estándares de auditoría (evento, actor, recurso, tenant).</w:t>
      </w:r>
    </w:p>
    <w:p w:rsidR="00B3444B" w:rsidRDefault="00062B06">
      <w:pPr>
        <w:pStyle w:val="Compact"/>
        <w:numPr>
          <w:ilvl w:val="0"/>
          <w:numId w:val="8"/>
        </w:numPr>
      </w:pPr>
      <w:r>
        <w:t>Interfaces para publicar auditoría.</w:t>
      </w:r>
    </w:p>
    <w:p w:rsidR="00B3444B" w:rsidRDefault="00062B06">
      <w:pPr>
        <w:pStyle w:val="Ttulo3"/>
      </w:pPr>
      <w:bookmarkStart w:id="21" w:name="modulescore-commons"/>
      <w:bookmarkEnd w:id="20"/>
      <w:r>
        <w:rPr>
          <w:rStyle w:val="VerbatimChar"/>
        </w:rPr>
        <w:t>modules/core-commons/</w:t>
      </w:r>
    </w:p>
    <w:p w:rsidR="00B3444B" w:rsidRDefault="00062B06">
      <w:pPr>
        <w:pStyle w:val="Compact"/>
        <w:numPr>
          <w:ilvl w:val="0"/>
          <w:numId w:val="9"/>
        </w:numPr>
      </w:pPr>
      <w:r>
        <w:t>Utilidades genéricas y validaciones.</w:t>
      </w:r>
    </w:p>
    <w:p w:rsidR="00B3444B" w:rsidRDefault="00062B06">
      <w:pPr>
        <w:pStyle w:val="Ttulo3"/>
      </w:pPr>
      <w:bookmarkStart w:id="22" w:name="modulescore-test"/>
      <w:bookmarkEnd w:id="21"/>
      <w:r>
        <w:rPr>
          <w:rStyle w:val="VerbatimChar"/>
        </w:rPr>
        <w:t>modules/core-test/</w:t>
      </w:r>
    </w:p>
    <w:p w:rsidR="00B3444B" w:rsidRDefault="00062B06">
      <w:pPr>
        <w:pStyle w:val="Compact"/>
        <w:numPr>
          <w:ilvl w:val="0"/>
          <w:numId w:val="10"/>
        </w:numPr>
      </w:pPr>
      <w:r>
        <w:t>Fixtures, factories, utilidades para pruebas de contrato.</w:t>
      </w:r>
    </w:p>
    <w:p w:rsidR="00B3444B" w:rsidRDefault="00062B06">
      <w:r>
        <w:pict>
          <v:rect id="_x0000_i1030" style="width:0;height:1.5pt" o:hralign="center" o:hrstd="t" o:hr="t"/>
        </w:pict>
      </w:r>
    </w:p>
    <w:p w:rsidR="00B3444B" w:rsidRDefault="00062B06">
      <w:pPr>
        <w:pStyle w:val="Ttulo2"/>
      </w:pPr>
      <w:bookmarkStart w:id="23" w:name="X2577bc7c09047124eebf2f2638e65a6516acabd"/>
      <w:bookmarkEnd w:id="14"/>
      <w:bookmarkEnd w:id="22"/>
      <w:r>
        <w:t>Página A5 — Cómo core-pl</w:t>
      </w:r>
      <w:r>
        <w:t>atform se relaciona con iam-service y ai-service</w:t>
      </w:r>
    </w:p>
    <w:p w:rsidR="00B3444B" w:rsidRDefault="00062B06">
      <w:pPr>
        <w:pStyle w:val="Ttulo3"/>
      </w:pPr>
      <w:bookmarkStart w:id="24" w:name="relación-con-iam-service"/>
      <w:r>
        <w:t>Relación con iam-service</w:t>
      </w:r>
    </w:p>
    <w:p w:rsidR="00B3444B" w:rsidRDefault="00062B06">
      <w:pPr>
        <w:pStyle w:val="Compact"/>
        <w:numPr>
          <w:ilvl w:val="0"/>
          <w:numId w:val="11"/>
        </w:numPr>
      </w:pPr>
      <w:r>
        <w:t>IAM consume core-tenancy, core-web, core-observability, core-audit.</w:t>
      </w:r>
    </w:p>
    <w:p w:rsidR="00B3444B" w:rsidRDefault="00062B06">
      <w:pPr>
        <w:pStyle w:val="Compact"/>
        <w:numPr>
          <w:ilvl w:val="0"/>
          <w:numId w:val="11"/>
        </w:numPr>
      </w:pPr>
      <w:r>
        <w:t>IAM produce tokens con claims coherentes con core-security.</w:t>
      </w:r>
    </w:p>
    <w:p w:rsidR="00B3444B" w:rsidRDefault="00062B06">
      <w:pPr>
        <w:pStyle w:val="Ttulo3"/>
      </w:pPr>
      <w:bookmarkStart w:id="25" w:name="relación-con-ai-service"/>
      <w:bookmarkEnd w:id="24"/>
      <w:r>
        <w:t>Relación con ai-service</w:t>
      </w:r>
    </w:p>
    <w:p w:rsidR="00B3444B" w:rsidRDefault="00062B06">
      <w:pPr>
        <w:pStyle w:val="Compact"/>
        <w:numPr>
          <w:ilvl w:val="0"/>
          <w:numId w:val="12"/>
        </w:numPr>
      </w:pPr>
      <w:r>
        <w:t>AI consume core-tenancy y core</w:t>
      </w:r>
      <w:r>
        <w:t>-security para:</w:t>
      </w:r>
    </w:p>
    <w:p w:rsidR="00B3444B" w:rsidRDefault="00062B06">
      <w:pPr>
        <w:pStyle w:val="Compact"/>
        <w:numPr>
          <w:ilvl w:val="1"/>
          <w:numId w:val="13"/>
        </w:numPr>
      </w:pPr>
      <w:r>
        <w:t>aislar por tenant/empresa</w:t>
      </w:r>
    </w:p>
    <w:p w:rsidR="00B3444B" w:rsidRDefault="00062B06">
      <w:pPr>
        <w:pStyle w:val="Compact"/>
        <w:numPr>
          <w:ilvl w:val="1"/>
          <w:numId w:val="13"/>
        </w:numPr>
      </w:pPr>
      <w:r>
        <w:t>aplicar scopes</w:t>
      </w:r>
    </w:p>
    <w:p w:rsidR="00B3444B" w:rsidRDefault="00062B06">
      <w:pPr>
        <w:pStyle w:val="Compact"/>
        <w:numPr>
          <w:ilvl w:val="0"/>
          <w:numId w:val="12"/>
        </w:numPr>
      </w:pPr>
      <w:r>
        <w:t>AI consume core-audit para registrar:</w:t>
      </w:r>
    </w:p>
    <w:p w:rsidR="00B3444B" w:rsidRDefault="00062B06">
      <w:pPr>
        <w:pStyle w:val="Compact"/>
        <w:numPr>
          <w:ilvl w:val="1"/>
          <w:numId w:val="14"/>
        </w:numPr>
      </w:pPr>
      <w:r>
        <w:t>consultas RAG,</w:t>
      </w:r>
    </w:p>
    <w:p w:rsidR="00B3444B" w:rsidRDefault="00062B06">
      <w:pPr>
        <w:pStyle w:val="Compact"/>
        <w:numPr>
          <w:ilvl w:val="1"/>
          <w:numId w:val="14"/>
        </w:numPr>
      </w:pPr>
      <w:r>
        <w:t>invocaciones de herramientas,</w:t>
      </w:r>
    </w:p>
    <w:p w:rsidR="00B3444B" w:rsidRDefault="00062B06">
      <w:pPr>
        <w:pStyle w:val="Compact"/>
        <w:numPr>
          <w:ilvl w:val="1"/>
          <w:numId w:val="14"/>
        </w:numPr>
      </w:pPr>
      <w:r>
        <w:t>accesos a información sensible.</w:t>
      </w:r>
    </w:p>
    <w:p w:rsidR="00B3444B" w:rsidRDefault="00062B06">
      <w:pPr>
        <w:pStyle w:val="FirstParagraph"/>
      </w:pPr>
      <w:r>
        <w:t>La librería core-platform unifica el lenguaje técnico del ecosistema: mismos conceptos de tenant, audit, errores y observabilidad.</w:t>
      </w:r>
    </w:p>
    <w:p w:rsidR="00B3444B" w:rsidRDefault="00062B06">
      <w:r>
        <w:pict>
          <v:rect id="_x0000_i1031" style="width:0;height:1.5pt" o:hralign="center" o:hrstd="t" o:hr="t"/>
        </w:pict>
      </w:r>
    </w:p>
    <w:p w:rsidR="00B3444B" w:rsidRDefault="00062B06">
      <w:pPr>
        <w:pStyle w:val="Ttulo1"/>
      </w:pPr>
      <w:bookmarkStart w:id="26" w:name="parte-b-iam-service-5-páginas"/>
      <w:bookmarkEnd w:id="3"/>
      <w:bookmarkEnd w:id="23"/>
      <w:bookmarkEnd w:id="25"/>
      <w:r>
        <w:t>Parte B — iam-service (5 páginas)</w:t>
      </w:r>
    </w:p>
    <w:p w:rsidR="00B3444B" w:rsidRDefault="00062B06">
      <w:pPr>
        <w:pStyle w:val="Ttulo2"/>
      </w:pPr>
      <w:bookmarkStart w:id="27" w:name="Xc6d85130de96e7aeaf6b79bbcd011704da81a87"/>
      <w:r>
        <w:t>Página B1 — Por qué iam-service es un servicio separado</w:t>
      </w:r>
    </w:p>
    <w:p w:rsidR="00B3444B" w:rsidRDefault="00062B06">
      <w:pPr>
        <w:pStyle w:val="FirstParagraph"/>
      </w:pPr>
      <w:r>
        <w:t>IAM es un bounded context crítico: identidad y acceso. En enterprise, IAM debe evolucionar con independencia porque: - incorpora políticas de seguridad (MFA, rotación de claves, federación), - es objetivo de auditorías, - tiene riesgos y controles distinto</w:t>
      </w:r>
      <w:r>
        <w:t>s al resto.</w:t>
      </w:r>
    </w:p>
    <w:p w:rsidR="00B3444B" w:rsidRDefault="00062B06">
      <w:pPr>
        <w:pStyle w:val="Textoindependiente"/>
      </w:pPr>
      <w:r>
        <w:lastRenderedPageBreak/>
        <w:t>Separarlo reduce superficie de ataque y permite pipelines de seguridad más estrictos.</w:t>
      </w:r>
    </w:p>
    <w:p w:rsidR="00B3444B" w:rsidRDefault="00062B06">
      <w:r>
        <w:pict>
          <v:rect id="_x0000_i1032" style="width:0;height:1.5pt" o:hralign="center" o:hrstd="t" o:hr="t"/>
        </w:pict>
      </w:r>
    </w:p>
    <w:p w:rsidR="00B3444B" w:rsidRDefault="00062B06">
      <w:pPr>
        <w:pStyle w:val="Ttulo2"/>
      </w:pPr>
      <w:bookmarkStart w:id="28" w:name="X6d1d4383fc5f10147b9733d70960d520de6e8e6"/>
      <w:bookmarkEnd w:id="27"/>
      <w:r>
        <w:t>Página B2 — Raíz de iam-service: carpetas operativas y justificación</w:t>
      </w:r>
    </w:p>
    <w:p w:rsidR="00B3444B" w:rsidRDefault="00062B06">
      <w:pPr>
        <w:pStyle w:val="Ttulo3"/>
      </w:pPr>
      <w:bookmarkStart w:id="29" w:name="pom.xml-1"/>
      <w:r>
        <w:rPr>
          <w:rStyle w:val="VerbatimChar"/>
        </w:rPr>
        <w:t>pom.xml</w:t>
      </w:r>
    </w:p>
    <w:p w:rsidR="00B3444B" w:rsidRDefault="00062B06">
      <w:pPr>
        <w:pStyle w:val="FirstParagraph"/>
      </w:pPr>
      <w:r>
        <w:t>Agregador del servicio y control de dependencias.</w:t>
      </w:r>
    </w:p>
    <w:p w:rsidR="00B3444B" w:rsidRDefault="00062B06">
      <w:pPr>
        <w:pStyle w:val="Ttulo3"/>
      </w:pPr>
      <w:bookmarkStart w:id="30" w:name="mvn-mvnw"/>
      <w:bookmarkEnd w:id="29"/>
      <w:r>
        <w:rPr>
          <w:rStyle w:val="VerbatimChar"/>
        </w:rPr>
        <w:t>.mvn/</w:t>
      </w:r>
      <w:r>
        <w:t xml:space="preserve"> + </w:t>
      </w:r>
      <w:r>
        <w:rPr>
          <w:rStyle w:val="VerbatimChar"/>
        </w:rPr>
        <w:t>mvnw*</w:t>
      </w:r>
    </w:p>
    <w:p w:rsidR="00B3444B" w:rsidRDefault="00062B06">
      <w:pPr>
        <w:pStyle w:val="FirstParagraph"/>
      </w:pPr>
      <w:r>
        <w:t>Build determini</w:t>
      </w:r>
      <w:r>
        <w:t>sta para CI/estudiantes/equipos.</w:t>
      </w:r>
    </w:p>
    <w:p w:rsidR="00B3444B" w:rsidRDefault="00062B06">
      <w:pPr>
        <w:pStyle w:val="Ttulo3"/>
      </w:pPr>
      <w:bookmarkStart w:id="31" w:name="docs"/>
      <w:bookmarkEnd w:id="30"/>
      <w:r>
        <w:rPr>
          <w:rStyle w:val="VerbatimChar"/>
        </w:rPr>
        <w:t>docs/</w:t>
      </w:r>
    </w:p>
    <w:p w:rsidR="00B3444B" w:rsidRDefault="00062B06">
      <w:pPr>
        <w:pStyle w:val="FirstParagraph"/>
      </w:pPr>
      <w:r>
        <w:t>Debe contener: - especificación de tokens (claims), - políticas de password/lockout, - threat model, - ADRs de seguridad.</w:t>
      </w:r>
    </w:p>
    <w:p w:rsidR="00B3444B" w:rsidRDefault="00062B06">
      <w:pPr>
        <w:pStyle w:val="Ttulo3"/>
      </w:pPr>
      <w:bookmarkStart w:id="32" w:name="scripts"/>
      <w:bookmarkEnd w:id="31"/>
      <w:r>
        <w:rPr>
          <w:rStyle w:val="VerbatimChar"/>
        </w:rPr>
        <w:t>scripts/</w:t>
      </w:r>
    </w:p>
    <w:p w:rsidR="00B3444B" w:rsidRDefault="00062B06">
      <w:pPr>
        <w:pStyle w:val="FirstParagraph"/>
      </w:pPr>
      <w:r>
        <w:t>Automatiza: - seeds de usuarios/roles dev, - migraciones, - levantar dependencias (DB)</w:t>
      </w:r>
      <w:r>
        <w:t xml:space="preserve"> en local.</w:t>
      </w:r>
    </w:p>
    <w:p w:rsidR="00B3444B" w:rsidRDefault="00062B06">
      <w:pPr>
        <w:pStyle w:val="Ttulo3"/>
      </w:pPr>
      <w:bookmarkStart w:id="33" w:name="deploy-o-infra"/>
      <w:bookmarkEnd w:id="32"/>
      <w:r>
        <w:rPr>
          <w:rStyle w:val="VerbatimChar"/>
        </w:rPr>
        <w:t>deploy/</w:t>
      </w:r>
      <w:r>
        <w:t xml:space="preserve"> o </w:t>
      </w:r>
      <w:r>
        <w:rPr>
          <w:rStyle w:val="VerbatimChar"/>
        </w:rPr>
        <w:t>infra/</w:t>
      </w:r>
    </w:p>
    <w:p w:rsidR="00B3444B" w:rsidRDefault="00062B06">
      <w:pPr>
        <w:pStyle w:val="FirstParagraph"/>
      </w:pPr>
      <w:r>
        <w:t>Artefactos de despliegue: docker-compose/helm.</w:t>
      </w:r>
    </w:p>
    <w:p w:rsidR="00B3444B" w:rsidRDefault="00062B06">
      <w:r>
        <w:pict>
          <v:rect id="_x0000_i1033" style="width:0;height:1.5pt" o:hralign="center" o:hrstd="t" o:hr="t"/>
        </w:pict>
      </w:r>
    </w:p>
    <w:p w:rsidR="00B3444B" w:rsidRDefault="00062B06">
      <w:pPr>
        <w:pStyle w:val="Ttulo2"/>
      </w:pPr>
      <w:bookmarkStart w:id="34" w:name="Xc9695d85a625ac911cd74d48fb4ad09d4842976"/>
      <w:bookmarkEnd w:id="28"/>
      <w:bookmarkEnd w:id="33"/>
      <w:r>
        <w:t xml:space="preserve">Página B3 — </w:t>
      </w:r>
      <w:r>
        <w:rPr>
          <w:rStyle w:val="VerbatimChar"/>
        </w:rPr>
        <w:t>modules/iam-domain</w:t>
      </w:r>
      <w:r>
        <w:t>: por qué existe y qué contiene</w:t>
      </w:r>
    </w:p>
    <w:p w:rsidR="00B3444B" w:rsidRDefault="00062B06">
      <w:pPr>
        <w:pStyle w:val="FirstParagraph"/>
      </w:pPr>
      <w:r>
        <w:t xml:space="preserve">Contiene el modelo de identidad: -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Role</w:t>
      </w:r>
      <w:r>
        <w:t xml:space="preserve">, </w:t>
      </w:r>
      <w:r>
        <w:rPr>
          <w:rStyle w:val="VerbatimChar"/>
        </w:rPr>
        <w:t>Permission</w:t>
      </w:r>
      <w:r>
        <w:t xml:space="preserve">, </w:t>
      </w:r>
      <w:r>
        <w:rPr>
          <w:rStyle w:val="VerbatimChar"/>
        </w:rPr>
        <w:t>Tenant</w:t>
      </w:r>
      <w:r>
        <w:t xml:space="preserve">, </w:t>
      </w:r>
      <w:r>
        <w:rPr>
          <w:rStyle w:val="VerbatimChar"/>
        </w:rPr>
        <w:t>Client</w:t>
      </w:r>
      <w:r>
        <w:t>.</w:t>
      </w:r>
    </w:p>
    <w:p w:rsidR="00B3444B" w:rsidRDefault="00062B06">
      <w:pPr>
        <w:pStyle w:val="Textoindependiente"/>
      </w:pPr>
      <w:r>
        <w:t>Incluye políticas como: - password policy,</w:t>
      </w:r>
      <w:r>
        <w:t xml:space="preserve"> - token policy, - lockout policy.</w:t>
      </w:r>
    </w:p>
    <w:p w:rsidR="00B3444B" w:rsidRDefault="00062B06">
      <w:pPr>
        <w:pStyle w:val="Textoindependiente"/>
      </w:pPr>
      <w:r>
        <w:t>Regla académica: el dominio no depende de Spring; protege la pureza del modelo.</w:t>
      </w:r>
    </w:p>
    <w:p w:rsidR="00B3444B" w:rsidRDefault="00062B06">
      <w:r>
        <w:pict>
          <v:rect id="_x0000_i1034" style="width:0;height:1.5pt" o:hralign="center" o:hrstd="t" o:hr="t"/>
        </w:pict>
      </w:r>
    </w:p>
    <w:p w:rsidR="00B3444B" w:rsidRDefault="00062B06">
      <w:pPr>
        <w:pStyle w:val="Ttulo2"/>
      </w:pPr>
      <w:bookmarkStart w:id="35" w:name="X26bc4d4869644decd7621663a837cb6098dc19c"/>
      <w:bookmarkEnd w:id="34"/>
      <w:r>
        <w:t xml:space="preserve">Página B4 — </w:t>
      </w:r>
      <w:r>
        <w:rPr>
          <w:rStyle w:val="VerbatimChar"/>
        </w:rPr>
        <w:t>modules/iam-application</w:t>
      </w:r>
      <w:r>
        <w:t xml:space="preserve"> y </w:t>
      </w:r>
      <w:r>
        <w:rPr>
          <w:rStyle w:val="VerbatimChar"/>
        </w:rPr>
        <w:t>modules/iam-infrastructure</w:t>
      </w:r>
    </w:p>
    <w:p w:rsidR="00B3444B" w:rsidRDefault="00062B06">
      <w:pPr>
        <w:pStyle w:val="Ttulo3"/>
      </w:pPr>
      <w:bookmarkStart w:id="36" w:name="iam-application"/>
      <w:r>
        <w:rPr>
          <w:rStyle w:val="VerbatimChar"/>
        </w:rPr>
        <w:t>iam-application</w:t>
      </w:r>
    </w:p>
    <w:p w:rsidR="00B3444B" w:rsidRDefault="00062B06">
      <w:pPr>
        <w:pStyle w:val="Compact"/>
        <w:numPr>
          <w:ilvl w:val="0"/>
          <w:numId w:val="15"/>
        </w:numPr>
      </w:pPr>
      <w:r>
        <w:rPr>
          <w:rStyle w:val="VerbatimChar"/>
        </w:rPr>
        <w:t>port/in</w:t>
      </w:r>
      <w:r>
        <w:t>: casos de uso (login, refresh, asignación de roles</w:t>
      </w:r>
      <w:r>
        <w:t>).</w:t>
      </w:r>
    </w:p>
    <w:p w:rsidR="00B3444B" w:rsidRDefault="00062B06">
      <w:pPr>
        <w:pStyle w:val="Compact"/>
        <w:numPr>
          <w:ilvl w:val="0"/>
          <w:numId w:val="15"/>
        </w:numPr>
      </w:pPr>
      <w:r>
        <w:rPr>
          <w:rStyle w:val="VerbatimChar"/>
        </w:rPr>
        <w:t>port/out</w:t>
      </w:r>
      <w:r>
        <w:t>: repositorios, signer, email.</w:t>
      </w:r>
    </w:p>
    <w:p w:rsidR="00B3444B" w:rsidRDefault="00062B06">
      <w:pPr>
        <w:pStyle w:val="Compact"/>
        <w:numPr>
          <w:ilvl w:val="0"/>
          <w:numId w:val="15"/>
        </w:numPr>
      </w:pPr>
      <w:r>
        <w:rPr>
          <w:rStyle w:val="VerbatimChar"/>
        </w:rPr>
        <w:t>service</w:t>
      </w:r>
      <w:r>
        <w:t>: orquesta reglas y aplica políticas.</w:t>
      </w:r>
    </w:p>
    <w:p w:rsidR="00B3444B" w:rsidRDefault="00062B06">
      <w:pPr>
        <w:pStyle w:val="FirstParagraph"/>
      </w:pPr>
      <w:r>
        <w:t>Esta capa define el “comportamiento” y es la unidad principal de pruebas.</w:t>
      </w:r>
    </w:p>
    <w:p w:rsidR="00B3444B" w:rsidRDefault="00062B06">
      <w:pPr>
        <w:pStyle w:val="Ttulo3"/>
      </w:pPr>
      <w:bookmarkStart w:id="37" w:name="iam-infrastructure"/>
      <w:bookmarkEnd w:id="36"/>
      <w:r>
        <w:rPr>
          <w:rStyle w:val="VerbatimChar"/>
        </w:rPr>
        <w:t>iam-infrastructure</w:t>
      </w:r>
    </w:p>
    <w:p w:rsidR="00B3444B" w:rsidRDefault="00062B06">
      <w:pPr>
        <w:pStyle w:val="Compact"/>
        <w:numPr>
          <w:ilvl w:val="0"/>
          <w:numId w:val="16"/>
        </w:numPr>
      </w:pPr>
      <w:r>
        <w:t>adapters de persistencia (PostgreSQL/Mongo si aplica),</w:t>
      </w:r>
    </w:p>
    <w:p w:rsidR="00B3444B" w:rsidRDefault="00062B06">
      <w:pPr>
        <w:pStyle w:val="Compact"/>
        <w:numPr>
          <w:ilvl w:val="0"/>
          <w:numId w:val="16"/>
        </w:numPr>
      </w:pPr>
      <w:r>
        <w:t>crypto/key management (JWK),</w:t>
      </w:r>
    </w:p>
    <w:p w:rsidR="00B3444B" w:rsidRDefault="00062B06">
      <w:pPr>
        <w:pStyle w:val="Compact"/>
        <w:numPr>
          <w:ilvl w:val="0"/>
          <w:numId w:val="16"/>
        </w:numPr>
      </w:pPr>
      <w:r>
        <w:t>integración email/SMS,</w:t>
      </w:r>
    </w:p>
    <w:p w:rsidR="00B3444B" w:rsidRDefault="00062B06">
      <w:pPr>
        <w:pStyle w:val="Compact"/>
        <w:numPr>
          <w:ilvl w:val="0"/>
          <w:numId w:val="16"/>
        </w:numPr>
      </w:pPr>
      <w:r>
        <w:t>auditoría de eventos de seguridad.</w:t>
      </w:r>
    </w:p>
    <w:p w:rsidR="00B3444B" w:rsidRDefault="00062B06">
      <w:pPr>
        <w:pStyle w:val="FirstParagraph"/>
      </w:pPr>
      <w:r>
        <w:t>Aquí vive el detalle tecnológico y, por lo tanto, es reemplazable.</w:t>
      </w:r>
    </w:p>
    <w:p w:rsidR="00B3444B" w:rsidRDefault="00062B06">
      <w:r>
        <w:lastRenderedPageBreak/>
        <w:pict>
          <v:rect id="_x0000_i1035" style="width:0;height:1.5pt" o:hralign="center" o:hrstd="t" o:hr="t"/>
        </w:pict>
      </w:r>
    </w:p>
    <w:p w:rsidR="00B3444B" w:rsidRDefault="00062B06">
      <w:pPr>
        <w:pStyle w:val="Ttulo2"/>
      </w:pPr>
      <w:bookmarkStart w:id="38" w:name="X4787b39063d8e6353885425a8831027df84b485"/>
      <w:bookmarkEnd w:id="35"/>
      <w:bookmarkEnd w:id="37"/>
      <w:r>
        <w:t xml:space="preserve">Página B5 — </w:t>
      </w:r>
      <w:r>
        <w:rPr>
          <w:rStyle w:val="VerbatimChar"/>
        </w:rPr>
        <w:t>iam-api</w:t>
      </w:r>
      <w:r>
        <w:t xml:space="preserve"> y </w:t>
      </w:r>
      <w:r>
        <w:rPr>
          <w:rStyle w:val="VerbatimChar"/>
        </w:rPr>
        <w:t>iam-bootstrap</w:t>
      </w:r>
      <w:r>
        <w:t>: exposición y ensamblaje</w:t>
      </w:r>
    </w:p>
    <w:p w:rsidR="00B3444B" w:rsidRDefault="00062B06">
      <w:pPr>
        <w:pStyle w:val="Ttulo3"/>
      </w:pPr>
      <w:bookmarkStart w:id="39" w:name="iam-api"/>
      <w:r>
        <w:rPr>
          <w:rStyle w:val="VerbatimChar"/>
        </w:rPr>
        <w:t>iam-api</w:t>
      </w:r>
    </w:p>
    <w:p w:rsidR="00B3444B" w:rsidRDefault="00062B06">
      <w:pPr>
        <w:pStyle w:val="Compact"/>
        <w:numPr>
          <w:ilvl w:val="0"/>
          <w:numId w:val="17"/>
        </w:numPr>
      </w:pPr>
      <w:r>
        <w:t>controllers REST (Auth/Admin).</w:t>
      </w:r>
    </w:p>
    <w:p w:rsidR="00B3444B" w:rsidRDefault="00062B06">
      <w:pPr>
        <w:pStyle w:val="Compact"/>
        <w:numPr>
          <w:ilvl w:val="0"/>
          <w:numId w:val="17"/>
        </w:numPr>
      </w:pPr>
      <w:r>
        <w:t>validaciones.</w:t>
      </w:r>
    </w:p>
    <w:p w:rsidR="00B3444B" w:rsidRDefault="00062B06">
      <w:pPr>
        <w:pStyle w:val="Compact"/>
        <w:numPr>
          <w:ilvl w:val="0"/>
          <w:numId w:val="17"/>
        </w:numPr>
      </w:pPr>
      <w:r>
        <w:t>mapeo DTO.</w:t>
      </w:r>
    </w:p>
    <w:p w:rsidR="00B3444B" w:rsidRDefault="00062B06">
      <w:pPr>
        <w:pStyle w:val="Ttulo3"/>
      </w:pPr>
      <w:bookmarkStart w:id="40" w:name="iam-bootstrap"/>
      <w:bookmarkEnd w:id="39"/>
      <w:r>
        <w:rPr>
          <w:rStyle w:val="VerbatimChar"/>
        </w:rPr>
        <w:t>iam-bootstrap</w:t>
      </w:r>
    </w:p>
    <w:p w:rsidR="00B3444B" w:rsidRDefault="00062B06">
      <w:pPr>
        <w:pStyle w:val="Compact"/>
        <w:numPr>
          <w:ilvl w:val="0"/>
          <w:numId w:val="18"/>
        </w:numPr>
      </w:pPr>
      <w:r>
        <w:t>Spring Boot app.</w:t>
      </w:r>
    </w:p>
    <w:p w:rsidR="00B3444B" w:rsidRDefault="00062B06">
      <w:pPr>
        <w:pStyle w:val="Compact"/>
        <w:numPr>
          <w:ilvl w:val="0"/>
          <w:numId w:val="18"/>
        </w:numPr>
      </w:pPr>
      <w:r>
        <w:t>configuración de security.</w:t>
      </w:r>
    </w:p>
    <w:p w:rsidR="00B3444B" w:rsidRDefault="00062B06">
      <w:pPr>
        <w:pStyle w:val="Compact"/>
        <w:numPr>
          <w:ilvl w:val="0"/>
          <w:numId w:val="18"/>
        </w:numPr>
      </w:pPr>
      <w:r>
        <w:t>wiring de casos de uso.</w:t>
      </w:r>
    </w:p>
    <w:p w:rsidR="00B3444B" w:rsidRDefault="00062B06">
      <w:pPr>
        <w:pStyle w:val="Compact"/>
        <w:numPr>
          <w:ilvl w:val="0"/>
          <w:numId w:val="18"/>
        </w:numPr>
      </w:pPr>
      <w:r>
        <w:t>perfiles dev/test/prod.</w:t>
      </w:r>
    </w:p>
    <w:p w:rsidR="00B3444B" w:rsidRDefault="00062B06">
      <w:pPr>
        <w:pStyle w:val="FirstParagraph"/>
      </w:pPr>
      <w:r>
        <w:t>Relación con el ecosistema: - IAM emite JWT que consumen ai-service y verticales. - Define scopes/roles que se respetan en to</w:t>
      </w:r>
      <w:r>
        <w:t>da la plataforma.</w:t>
      </w:r>
    </w:p>
    <w:p w:rsidR="00B3444B" w:rsidRDefault="00062B06">
      <w:r>
        <w:pict>
          <v:rect id="_x0000_i1036" style="width:0;height:1.5pt" o:hralign="center" o:hrstd="t" o:hr="t"/>
        </w:pict>
      </w:r>
    </w:p>
    <w:p w:rsidR="00B3444B" w:rsidRDefault="00062B06">
      <w:pPr>
        <w:pStyle w:val="Ttulo1"/>
      </w:pPr>
      <w:bookmarkStart w:id="41" w:name="parte-c-ai-service-5-páginas"/>
      <w:bookmarkEnd w:id="26"/>
      <w:bookmarkEnd w:id="38"/>
      <w:bookmarkEnd w:id="40"/>
      <w:r>
        <w:t>Parte C — ai-service (5 páginas)</w:t>
      </w:r>
    </w:p>
    <w:p w:rsidR="00B3444B" w:rsidRDefault="00062B06">
      <w:pPr>
        <w:pStyle w:val="Ttulo2"/>
      </w:pPr>
      <w:bookmarkStart w:id="42" w:name="X6bb15a918c2b1f48c698d027a7474293619932c"/>
      <w:r>
        <w:t>Página C1 — Por qué ai-service es un servicio separado</w:t>
      </w:r>
    </w:p>
    <w:p w:rsidR="00B3444B" w:rsidRDefault="00062B06">
      <w:pPr>
        <w:pStyle w:val="FirstParagraph"/>
      </w:pPr>
      <w:r>
        <w:t>La IA no debe dispersarse en verticales por razones de: - gobernanza (prompts, guardrails), - observabilidad (tokens/costos), - seguridad (tool call</w:t>
      </w:r>
      <w:r>
        <w:t>ing), - reutilización (RAG/extracción común).</w:t>
      </w:r>
    </w:p>
    <w:p w:rsidR="00B3444B" w:rsidRDefault="00062B06">
      <w:pPr>
        <w:pStyle w:val="Textoindependiente"/>
      </w:pPr>
      <w:r>
        <w:t>ai-service concentra capacidades reutilizables, permitiendo iteración rápida sin comprometer el dominio de cada vertical.</w:t>
      </w:r>
    </w:p>
    <w:p w:rsidR="00B3444B" w:rsidRDefault="00062B06">
      <w:r>
        <w:pict>
          <v:rect id="_x0000_i1037" style="width:0;height:1.5pt" o:hralign="center" o:hrstd="t" o:hr="t"/>
        </w:pict>
      </w:r>
    </w:p>
    <w:p w:rsidR="00B3444B" w:rsidRDefault="00062B06">
      <w:pPr>
        <w:pStyle w:val="Ttulo2"/>
      </w:pPr>
      <w:bookmarkStart w:id="43" w:name="Xd6c45a568726eac7a5849551827256601bbe9c5"/>
      <w:bookmarkEnd w:id="42"/>
      <w:r>
        <w:t>Página C2 — Raíz de ai-service: carpetas operativas y justificación</w:t>
      </w:r>
    </w:p>
    <w:p w:rsidR="00B3444B" w:rsidRDefault="00062B06">
      <w:pPr>
        <w:pStyle w:val="Ttulo3"/>
      </w:pPr>
      <w:bookmarkStart w:id="44" w:name="pom.xml-2"/>
      <w:r>
        <w:rPr>
          <w:rStyle w:val="VerbatimChar"/>
        </w:rPr>
        <w:t>pom.xml</w:t>
      </w:r>
    </w:p>
    <w:p w:rsidR="00B3444B" w:rsidRDefault="00062B06">
      <w:pPr>
        <w:pStyle w:val="Compact"/>
        <w:numPr>
          <w:ilvl w:val="0"/>
          <w:numId w:val="19"/>
        </w:numPr>
      </w:pPr>
      <w:r>
        <w:t>Agregador multi-módulo.</w:t>
      </w:r>
    </w:p>
    <w:p w:rsidR="00B3444B" w:rsidRDefault="00062B06">
      <w:pPr>
        <w:pStyle w:val="Compact"/>
        <w:numPr>
          <w:ilvl w:val="0"/>
          <w:numId w:val="19"/>
        </w:numPr>
      </w:pPr>
      <w:r>
        <w:t>Importa BOM de Spring AI.</w:t>
      </w:r>
    </w:p>
    <w:p w:rsidR="00B3444B" w:rsidRDefault="00062B06">
      <w:pPr>
        <w:pStyle w:val="Compact"/>
        <w:numPr>
          <w:ilvl w:val="0"/>
          <w:numId w:val="19"/>
        </w:numPr>
      </w:pPr>
      <w:r>
        <w:t>Controla versiones alineadas con el stack.</w:t>
      </w:r>
    </w:p>
    <w:p w:rsidR="00B3444B" w:rsidRDefault="00062B06">
      <w:pPr>
        <w:pStyle w:val="Ttulo3"/>
      </w:pPr>
      <w:bookmarkStart w:id="45" w:name="docker-compose.yml"/>
      <w:bookmarkEnd w:id="44"/>
      <w:r>
        <w:rPr>
          <w:rStyle w:val="VerbatimChar"/>
        </w:rPr>
        <w:t>docker-compose.yml</w:t>
      </w:r>
    </w:p>
    <w:p w:rsidR="00B3444B" w:rsidRDefault="00062B06">
      <w:pPr>
        <w:pStyle w:val="Compact"/>
        <w:numPr>
          <w:ilvl w:val="0"/>
          <w:numId w:val="20"/>
        </w:numPr>
      </w:pPr>
      <w:r>
        <w:t>Entorno reproducible (Postgres + PGVector) para desarrollo.</w:t>
      </w:r>
    </w:p>
    <w:p w:rsidR="00B3444B" w:rsidRDefault="00062B06">
      <w:pPr>
        <w:pStyle w:val="Ttulo3"/>
      </w:pPr>
      <w:bookmarkStart w:id="46" w:name="scripts-1"/>
      <w:bookmarkEnd w:id="45"/>
      <w:r>
        <w:rPr>
          <w:rStyle w:val="VerbatimChar"/>
        </w:rPr>
        <w:t>scripts/</w:t>
      </w:r>
    </w:p>
    <w:p w:rsidR="00B3444B" w:rsidRDefault="00062B06">
      <w:pPr>
        <w:pStyle w:val="Compact"/>
        <w:numPr>
          <w:ilvl w:val="0"/>
          <w:numId w:val="21"/>
        </w:numPr>
      </w:pPr>
      <w:r>
        <w:t>automatización (dev-up, dev-down, test).</w:t>
      </w:r>
    </w:p>
    <w:p w:rsidR="00B3444B" w:rsidRDefault="00062B06">
      <w:pPr>
        <w:pStyle w:val="Ttulo3"/>
      </w:pPr>
      <w:bookmarkStart w:id="47" w:name="mvn-mvnw-1"/>
      <w:bookmarkEnd w:id="46"/>
      <w:r>
        <w:rPr>
          <w:rStyle w:val="VerbatimChar"/>
        </w:rPr>
        <w:t>.mvn/</w:t>
      </w:r>
      <w:r>
        <w:t xml:space="preserve"> + </w:t>
      </w:r>
      <w:r>
        <w:rPr>
          <w:rStyle w:val="VerbatimChar"/>
        </w:rPr>
        <w:t>mvnw*</w:t>
      </w:r>
    </w:p>
    <w:p w:rsidR="00B3444B" w:rsidRDefault="00062B06">
      <w:pPr>
        <w:pStyle w:val="FirstParagraph"/>
      </w:pPr>
      <w:r>
        <w:t>Build determinista.</w:t>
      </w:r>
    </w:p>
    <w:p w:rsidR="00B3444B" w:rsidRDefault="00062B06">
      <w:r>
        <w:pict>
          <v:rect id="_x0000_i1038" style="width:0;height:1.5pt" o:hralign="center" o:hrstd="t" o:hr="t"/>
        </w:pict>
      </w:r>
    </w:p>
    <w:p w:rsidR="00B3444B" w:rsidRDefault="00062B06">
      <w:pPr>
        <w:pStyle w:val="Ttulo2"/>
      </w:pPr>
      <w:bookmarkStart w:id="48" w:name="X7461a2f8c4542160b7eda8baf824132a9f4deb8"/>
      <w:bookmarkEnd w:id="43"/>
      <w:bookmarkEnd w:id="47"/>
      <w:r>
        <w:lastRenderedPageBreak/>
        <w:t xml:space="preserve">Página C3 — </w:t>
      </w:r>
      <w:r>
        <w:rPr>
          <w:rStyle w:val="VerbatimChar"/>
        </w:rPr>
        <w:t>ai-domain</w:t>
      </w:r>
      <w:r>
        <w:t>: modelo IA, policies y guardrails</w:t>
      </w:r>
    </w:p>
    <w:p w:rsidR="00B3444B" w:rsidRDefault="00062B06">
      <w:pPr>
        <w:pStyle w:val="FirstParagraph"/>
      </w:pPr>
      <w:r>
        <w:rPr>
          <w:rStyle w:val="VerbatimChar"/>
        </w:rPr>
        <w:t>ai-domain</w:t>
      </w:r>
      <w:r>
        <w:t xml:space="preserve"> contiene: - modelos de prompt/completion, - políticas de contenido, - conceptos como chunk/namespace.</w:t>
      </w:r>
    </w:p>
    <w:p w:rsidR="00B3444B" w:rsidRDefault="00062B06">
      <w:pPr>
        <w:pStyle w:val="Textoindependiente"/>
      </w:pPr>
      <w:r>
        <w:t xml:space="preserve">Propósito: que la IA tenga un </w:t>
      </w:r>
      <w:r>
        <w:rPr>
          <w:b/>
          <w:bCs/>
        </w:rPr>
        <w:t>lenguaje de dominio</w:t>
      </w:r>
      <w:r>
        <w:t xml:space="preserve"> y políticas formalizadas, evitando q</w:t>
      </w:r>
      <w:r>
        <w:t>ue la “inteligencia” sea solo prompts sueltos.</w:t>
      </w:r>
    </w:p>
    <w:p w:rsidR="00B3444B" w:rsidRDefault="00062B06">
      <w:r>
        <w:pict>
          <v:rect id="_x0000_i1039" style="width:0;height:1.5pt" o:hralign="center" o:hrstd="t" o:hr="t"/>
        </w:pict>
      </w:r>
    </w:p>
    <w:p w:rsidR="00B3444B" w:rsidRDefault="00062B06">
      <w:pPr>
        <w:pStyle w:val="Ttulo2"/>
      </w:pPr>
      <w:bookmarkStart w:id="49" w:name="Xff15adc6b954bd25fc6ff2ffade2a6d413fe540"/>
      <w:bookmarkEnd w:id="48"/>
      <w:r>
        <w:t xml:space="preserve">Página C4 — </w:t>
      </w:r>
      <w:r>
        <w:rPr>
          <w:rStyle w:val="VerbatimChar"/>
        </w:rPr>
        <w:t>ai-application</w:t>
      </w:r>
      <w:r>
        <w:t>: puertos, casos de uso y disciplina</w:t>
      </w:r>
    </w:p>
    <w:p w:rsidR="00B3444B" w:rsidRDefault="00062B06">
      <w:pPr>
        <w:pStyle w:val="Compact"/>
        <w:numPr>
          <w:ilvl w:val="0"/>
          <w:numId w:val="22"/>
        </w:numPr>
      </w:pPr>
      <w:r>
        <w:rPr>
          <w:rStyle w:val="VerbatimChar"/>
        </w:rPr>
        <w:t>port/in</w:t>
      </w:r>
      <w:r>
        <w:t>: RagQaUseCase, ExtractUseCase, CompleteUseCase.</w:t>
      </w:r>
    </w:p>
    <w:p w:rsidR="00B3444B" w:rsidRDefault="00062B06">
      <w:pPr>
        <w:pStyle w:val="Compact"/>
        <w:numPr>
          <w:ilvl w:val="0"/>
          <w:numId w:val="22"/>
        </w:numPr>
      </w:pPr>
      <w:r>
        <w:rPr>
          <w:rStyle w:val="VerbatimChar"/>
        </w:rPr>
        <w:t>port/out</w:t>
      </w:r>
      <w:r>
        <w:t>: LlmChatPort, VectorStorePort, TenantContextPort, AuditPort.</w:t>
      </w:r>
    </w:p>
    <w:p w:rsidR="00B3444B" w:rsidRDefault="00062B06">
      <w:pPr>
        <w:pStyle w:val="Compact"/>
        <w:numPr>
          <w:ilvl w:val="0"/>
          <w:numId w:val="22"/>
        </w:numPr>
      </w:pPr>
      <w:r>
        <w:rPr>
          <w:rStyle w:val="VerbatimChar"/>
        </w:rPr>
        <w:t>service</w:t>
      </w:r>
      <w:r>
        <w:t>: orquestación del pipeline (RAG) y auditoría.</w:t>
      </w:r>
    </w:p>
    <w:p w:rsidR="00B3444B" w:rsidRDefault="00062B06">
      <w:pPr>
        <w:pStyle w:val="FirstParagraph"/>
      </w:pPr>
      <w:r>
        <w:t>Esta capa es crucial porque: - separa el “qué” del “cómo”, - permite tests deterministas, - habilita portabilidad de proveedor LLM y vector store.</w:t>
      </w:r>
    </w:p>
    <w:p w:rsidR="00B3444B" w:rsidRDefault="00062B06">
      <w:r>
        <w:pict>
          <v:rect id="_x0000_i1040" style="width:0;height:1.5pt" o:hralign="center" o:hrstd="t" o:hr="t"/>
        </w:pict>
      </w:r>
    </w:p>
    <w:p w:rsidR="00B3444B" w:rsidRDefault="00062B06">
      <w:pPr>
        <w:pStyle w:val="Ttulo2"/>
      </w:pPr>
      <w:bookmarkStart w:id="50" w:name="X08888ef4434563e7432baeeae01ffdd0fa51a42"/>
      <w:bookmarkEnd w:id="49"/>
      <w:r>
        <w:t xml:space="preserve">Página C5 — </w:t>
      </w:r>
      <w:r>
        <w:rPr>
          <w:rStyle w:val="VerbatimChar"/>
        </w:rPr>
        <w:t>ai-infrastructure</w:t>
      </w:r>
      <w:r>
        <w:t xml:space="preserve">, </w:t>
      </w:r>
      <w:r>
        <w:rPr>
          <w:rStyle w:val="VerbatimChar"/>
        </w:rPr>
        <w:t>ai-api</w:t>
      </w:r>
      <w:r>
        <w:t xml:space="preserve">, </w:t>
      </w:r>
      <w:r>
        <w:rPr>
          <w:rStyle w:val="VerbatimChar"/>
        </w:rPr>
        <w:t>ai-bootstrap</w:t>
      </w:r>
      <w:r>
        <w:t xml:space="preserve">: Spring </w:t>
      </w:r>
      <w:r>
        <w:t>AI como potencia</w:t>
      </w:r>
    </w:p>
    <w:p w:rsidR="00B3444B" w:rsidRDefault="00062B06">
      <w:pPr>
        <w:pStyle w:val="Ttulo3"/>
      </w:pPr>
      <w:bookmarkStart w:id="51" w:name="ai-infrastructure"/>
      <w:r>
        <w:rPr>
          <w:rStyle w:val="VerbatimChar"/>
        </w:rPr>
        <w:t>ai-infrastructure</w:t>
      </w:r>
    </w:p>
    <w:p w:rsidR="00B3444B" w:rsidRDefault="00062B06">
      <w:pPr>
        <w:pStyle w:val="Compact"/>
        <w:numPr>
          <w:ilvl w:val="0"/>
          <w:numId w:val="23"/>
        </w:numPr>
      </w:pPr>
      <w:r>
        <w:t>Adapters:</w:t>
      </w:r>
    </w:p>
    <w:p w:rsidR="00B3444B" w:rsidRDefault="00062B06">
      <w:pPr>
        <w:pStyle w:val="Compact"/>
        <w:numPr>
          <w:ilvl w:val="1"/>
          <w:numId w:val="24"/>
        </w:numPr>
      </w:pPr>
      <w:r>
        <w:rPr>
          <w:rStyle w:val="VerbatimChar"/>
        </w:rPr>
        <w:t>SpringAiLlmChatAdapter</w:t>
      </w:r>
      <w:r>
        <w:t xml:space="preserve"> (ChatClient)</w:t>
      </w:r>
    </w:p>
    <w:p w:rsidR="00B3444B" w:rsidRDefault="00062B06">
      <w:pPr>
        <w:pStyle w:val="Compact"/>
        <w:numPr>
          <w:ilvl w:val="1"/>
          <w:numId w:val="24"/>
        </w:numPr>
      </w:pPr>
      <w:r>
        <w:rPr>
          <w:rStyle w:val="VerbatimChar"/>
        </w:rPr>
        <w:t>PgVectorStoreAdapter</w:t>
      </w:r>
      <w:r>
        <w:t xml:space="preserve"> (VectorStore)</w:t>
      </w:r>
    </w:p>
    <w:p w:rsidR="00B3444B" w:rsidRDefault="00062B06">
      <w:pPr>
        <w:pStyle w:val="Compact"/>
        <w:numPr>
          <w:ilvl w:val="1"/>
          <w:numId w:val="24"/>
        </w:numPr>
      </w:pPr>
      <w:r>
        <w:t>stubs por perfiles.</w:t>
      </w:r>
    </w:p>
    <w:p w:rsidR="00B3444B" w:rsidRDefault="00062B06">
      <w:pPr>
        <w:pStyle w:val="FirstParagraph"/>
      </w:pPr>
      <w:r>
        <w:rPr>
          <w:b/>
          <w:bCs/>
        </w:rPr>
        <w:t>Spring AI potencia</w:t>
      </w:r>
      <w:r>
        <w:t xml:space="preserve"> </w:t>
      </w:r>
      <w:r>
        <w:t>al proveer abstracciones y starters que reducen acoplamiento con vendors y mejoran la integración con el ecosistema Spring.</w:t>
      </w:r>
    </w:p>
    <w:p w:rsidR="00B3444B" w:rsidRDefault="00062B06">
      <w:pPr>
        <w:pStyle w:val="Ttulo3"/>
      </w:pPr>
      <w:bookmarkStart w:id="52" w:name="ai-api"/>
      <w:bookmarkEnd w:id="51"/>
      <w:r>
        <w:rPr>
          <w:rStyle w:val="VerbatimChar"/>
        </w:rPr>
        <w:t>ai-api</w:t>
      </w:r>
    </w:p>
    <w:p w:rsidR="00B3444B" w:rsidRDefault="00062B06">
      <w:pPr>
        <w:pStyle w:val="Compact"/>
        <w:numPr>
          <w:ilvl w:val="0"/>
          <w:numId w:val="25"/>
        </w:numPr>
      </w:pPr>
      <w:r>
        <w:t>Expone endpoints versionados para verticales.</w:t>
      </w:r>
    </w:p>
    <w:p w:rsidR="00B3444B" w:rsidRDefault="00062B06">
      <w:pPr>
        <w:pStyle w:val="Compact"/>
        <w:numPr>
          <w:ilvl w:val="0"/>
          <w:numId w:val="25"/>
        </w:numPr>
      </w:pPr>
      <w:r>
        <w:t>Mapea DTOs sin lógica de negocio.</w:t>
      </w:r>
    </w:p>
    <w:p w:rsidR="00B3444B" w:rsidRDefault="00062B06">
      <w:pPr>
        <w:pStyle w:val="Ttulo3"/>
      </w:pPr>
      <w:bookmarkStart w:id="53" w:name="ai-bootstrap"/>
      <w:bookmarkEnd w:id="52"/>
      <w:r>
        <w:rPr>
          <w:rStyle w:val="VerbatimChar"/>
        </w:rPr>
        <w:t>ai-bootstrap</w:t>
      </w:r>
    </w:p>
    <w:p w:rsidR="00B3444B" w:rsidRDefault="00062B06">
      <w:pPr>
        <w:pStyle w:val="Compact"/>
        <w:numPr>
          <w:ilvl w:val="0"/>
          <w:numId w:val="26"/>
        </w:numPr>
      </w:pPr>
      <w:r>
        <w:t>Ensambla todo.</w:t>
      </w:r>
    </w:p>
    <w:p w:rsidR="00B3444B" w:rsidRDefault="00062B06">
      <w:pPr>
        <w:pStyle w:val="Compact"/>
        <w:numPr>
          <w:ilvl w:val="0"/>
          <w:numId w:val="26"/>
        </w:numPr>
      </w:pPr>
      <w:r>
        <w:t>Configura securit</w:t>
      </w:r>
      <w:r>
        <w:t>y como Resource Server (JWT emitido por IAM).</w:t>
      </w:r>
    </w:p>
    <w:p w:rsidR="00B3444B" w:rsidRDefault="00062B06">
      <w:pPr>
        <w:pStyle w:val="Compact"/>
        <w:numPr>
          <w:ilvl w:val="0"/>
          <w:numId w:val="26"/>
        </w:numPr>
      </w:pPr>
      <w:r>
        <w:t>Activa perfiles dev/test.</w:t>
      </w:r>
    </w:p>
    <w:p w:rsidR="00B3444B" w:rsidRDefault="00062B06">
      <w:pPr>
        <w:pStyle w:val="FirstParagraph"/>
      </w:pPr>
      <w:r>
        <w:t>Relación con el ecosistema: - ai-service consume tokens y contexto (tenant/scopes) de IAM. - utiliza estándares de core-platform (tenancy/audit/errores). - sirve capacidades IA comunes</w:t>
      </w:r>
      <w:r>
        <w:t xml:space="preserve"> a todas las verticales.</w:t>
      </w:r>
    </w:p>
    <w:p w:rsidR="00B3444B" w:rsidRDefault="00062B06">
      <w:r>
        <w:pict>
          <v:rect id="_x0000_i1041" style="width:0;height:1.5pt" o:hralign="center" o:hrstd="t" o:hr="t"/>
        </w:pict>
      </w:r>
    </w:p>
    <w:p w:rsidR="00B3444B" w:rsidRDefault="00062B06">
      <w:pPr>
        <w:pStyle w:val="Ttulo2"/>
      </w:pPr>
      <w:bookmarkStart w:id="54" w:name="cierre"/>
      <w:bookmarkEnd w:id="50"/>
      <w:bookmarkEnd w:id="53"/>
      <w:r>
        <w:t>Cierre</w:t>
      </w:r>
    </w:p>
    <w:p w:rsidR="00B3444B" w:rsidRDefault="00062B06">
      <w:pPr>
        <w:pStyle w:val="FirstParagraph"/>
      </w:pPr>
      <w:r>
        <w:t>Esta arquitectura maximiza el potencial de plataforma porque: - core-platform garantiza consistencia y reutilización sin acoplamiento runtime, - iam-service centraliza seguridad y gobernanza, - ai-service centraliza capaci</w:t>
      </w:r>
      <w:r>
        <w:t>dades IA con disciplina, observabilidad y portabilidad.</w:t>
      </w:r>
    </w:p>
    <w:p w:rsidR="00B3444B" w:rsidRDefault="00062B06">
      <w:pPr>
        <w:pStyle w:val="Textoindependiente"/>
      </w:pPr>
      <w:r>
        <w:lastRenderedPageBreak/>
        <w:t>El resultado es un ecosistema preparado para crecer en verticales con calidad y control, sin duplicación ni caos técnico.</w:t>
      </w:r>
      <w:bookmarkEnd w:id="41"/>
      <w:bookmarkEnd w:id="54"/>
    </w:p>
    <w:sectPr w:rsidR="00B3444B" w:rsidSect="00062B06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942C04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40C4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1EE2279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4B"/>
    <w:rsid w:val="00062B06"/>
    <w:rsid w:val="00B3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F59211E-0C3C-4C42-AEA8-7163CB2D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1477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2</cp:revision>
  <dcterms:created xsi:type="dcterms:W3CDTF">2026-01-26T14:36:00Z</dcterms:created>
  <dcterms:modified xsi:type="dcterms:W3CDTF">2026-01-26T14:36:00Z</dcterms:modified>
</cp:coreProperties>
</file>