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9716" w14:textId="7755002E" w:rsidR="00C25943" w:rsidRDefault="00BF49AB">
      <w:pPr>
        <w:spacing w:after="100"/>
        <w:jc w:val="center"/>
      </w:pPr>
      <w:r>
        <w:rPr>
          <w:b/>
          <w:sz w:val="48"/>
        </w:rPr>
        <w:t xml:space="preserve">AI </w:t>
      </w:r>
      <w:r w:rsidR="00E305BF">
        <w:rPr>
          <w:b/>
          <w:sz w:val="48"/>
        </w:rPr>
        <w:t>TECHNOLOGY USE POLICY</w:t>
      </w:r>
    </w:p>
    <w:p w14:paraId="337D18CF" w14:textId="77777777" w:rsidR="00C25943" w:rsidRDefault="00E305BF">
      <w:pPr>
        <w:spacing w:after="200"/>
        <w:jc w:val="center"/>
      </w:pPr>
      <w:r>
        <w:rPr>
          <w:i/>
          <w:sz w:val="20"/>
        </w:rPr>
        <w:t>ICT-led institutional technology policy for responsible, secure and governed AI use</w:t>
      </w:r>
    </w:p>
    <w:tbl>
      <w:tblPr>
        <w:tblStyle w:val="TableGrid"/>
        <w:tblW w:w="0" w:type="auto"/>
        <w:jc w:val="center"/>
        <w:tblLook w:val="04A0" w:firstRow="1" w:lastRow="0" w:firstColumn="1" w:lastColumn="0" w:noHBand="0" w:noVBand="1"/>
      </w:tblPr>
      <w:tblGrid>
        <w:gridCol w:w="9016"/>
      </w:tblGrid>
      <w:tr w:rsidR="00C25943" w14:paraId="2C86D220" w14:textId="77777777">
        <w:trPr>
          <w:tblHeader/>
          <w:jc w:val="center"/>
        </w:trPr>
        <w:tc>
          <w:tcPr>
            <w:tcW w:w="9026" w:type="dxa"/>
            <w:shd w:val="clear" w:color="auto" w:fill="EAF3F8"/>
            <w:vAlign w:val="center"/>
          </w:tcPr>
          <w:p w14:paraId="612D93AA" w14:textId="77777777" w:rsidR="00C25943" w:rsidRDefault="00E305BF">
            <w:r>
              <w:rPr>
                <w:sz w:val="18"/>
              </w:rPr>
              <w:t>DOCUMENT PURPOSE: This is an ICT-owned POLICY governing the institutional use, acquisition, integration, security and lifecycle management of AI technologies at BUV. It is not the staff-facing AI Usage Guideline. The separate BUV AI Usage Guideline explains practical user pathways and examples and must operate under this Policy.</w:t>
            </w:r>
          </w:p>
        </w:tc>
      </w:tr>
    </w:tbl>
    <w:p w14:paraId="4B37E8A5" w14:textId="77777777" w:rsidR="00C25943" w:rsidRDefault="00C25943"/>
    <w:tbl>
      <w:tblPr>
        <w:tblStyle w:val="TableGrid"/>
        <w:tblW w:w="0" w:type="auto"/>
        <w:jc w:val="center"/>
        <w:tblLook w:val="04A0" w:firstRow="1" w:lastRow="0" w:firstColumn="1" w:lastColumn="0" w:noHBand="0" w:noVBand="1"/>
      </w:tblPr>
      <w:tblGrid>
        <w:gridCol w:w="2712"/>
        <w:gridCol w:w="6304"/>
      </w:tblGrid>
      <w:tr w:rsidR="00C25943" w14:paraId="484E5E79" w14:textId="77777777">
        <w:trPr>
          <w:tblHeader/>
          <w:jc w:val="center"/>
        </w:trPr>
        <w:tc>
          <w:tcPr>
            <w:tcW w:w="2880" w:type="dxa"/>
            <w:shd w:val="clear" w:color="auto" w:fill="D9EAF2"/>
            <w:vAlign w:val="center"/>
          </w:tcPr>
          <w:p w14:paraId="3AE4E5AC" w14:textId="77777777" w:rsidR="00C25943" w:rsidRDefault="00E305BF">
            <w:r>
              <w:rPr>
                <w:b/>
              </w:rPr>
              <w:t>Document Control</w:t>
            </w:r>
          </w:p>
        </w:tc>
        <w:tc>
          <w:tcPr>
            <w:tcW w:w="6768" w:type="dxa"/>
            <w:shd w:val="clear" w:color="auto" w:fill="D9EAF2"/>
            <w:vAlign w:val="center"/>
          </w:tcPr>
          <w:p w14:paraId="7A4BC841" w14:textId="77777777" w:rsidR="00C25943" w:rsidRDefault="00E305BF">
            <w:r>
              <w:rPr>
                <w:b/>
              </w:rPr>
              <w:t>Detail</w:t>
            </w:r>
          </w:p>
        </w:tc>
      </w:tr>
      <w:tr w:rsidR="00C25943" w14:paraId="619336B3" w14:textId="77777777">
        <w:trPr>
          <w:jc w:val="center"/>
        </w:trPr>
        <w:tc>
          <w:tcPr>
            <w:tcW w:w="2880" w:type="dxa"/>
            <w:vAlign w:val="center"/>
          </w:tcPr>
          <w:p w14:paraId="018B215A" w14:textId="77777777" w:rsidR="00C25943" w:rsidRDefault="00E305BF">
            <w:r>
              <w:t>Document title</w:t>
            </w:r>
          </w:p>
        </w:tc>
        <w:tc>
          <w:tcPr>
            <w:tcW w:w="6768" w:type="dxa"/>
            <w:vAlign w:val="center"/>
          </w:tcPr>
          <w:p w14:paraId="518B218E" w14:textId="77777777" w:rsidR="00C25943" w:rsidRDefault="00E305BF">
            <w:r>
              <w:t>Artificial Intelligence Technology Use Policy</w:t>
            </w:r>
          </w:p>
        </w:tc>
      </w:tr>
      <w:tr w:rsidR="00C25943" w14:paraId="7253C6B2" w14:textId="77777777">
        <w:trPr>
          <w:jc w:val="center"/>
        </w:trPr>
        <w:tc>
          <w:tcPr>
            <w:tcW w:w="2880" w:type="dxa"/>
            <w:vAlign w:val="center"/>
          </w:tcPr>
          <w:p w14:paraId="67A66ED4" w14:textId="77777777" w:rsidR="00C25943" w:rsidRDefault="00E305BF">
            <w:r>
              <w:t>Document type</w:t>
            </w:r>
          </w:p>
        </w:tc>
        <w:tc>
          <w:tcPr>
            <w:tcW w:w="6768" w:type="dxa"/>
            <w:vAlign w:val="center"/>
          </w:tcPr>
          <w:p w14:paraId="76F6BA3E" w14:textId="77777777" w:rsidR="00C25943" w:rsidRDefault="00E305BF">
            <w:r>
              <w:t>Institutional ICT Policy</w:t>
            </w:r>
          </w:p>
        </w:tc>
      </w:tr>
      <w:tr w:rsidR="00C25943" w14:paraId="60350961" w14:textId="77777777">
        <w:trPr>
          <w:jc w:val="center"/>
        </w:trPr>
        <w:tc>
          <w:tcPr>
            <w:tcW w:w="2880" w:type="dxa"/>
            <w:vAlign w:val="center"/>
          </w:tcPr>
          <w:p w14:paraId="12FA8358" w14:textId="77777777" w:rsidR="00C25943" w:rsidRDefault="00E305BF">
            <w:r>
              <w:t>Policy owner</w:t>
            </w:r>
          </w:p>
        </w:tc>
        <w:tc>
          <w:tcPr>
            <w:tcW w:w="6768" w:type="dxa"/>
            <w:vAlign w:val="center"/>
          </w:tcPr>
          <w:p w14:paraId="2F8D7101" w14:textId="77777777" w:rsidR="00C25943" w:rsidRDefault="00E305BF">
            <w:r>
              <w:t>Information &amp; Communications Technology (ICT) Department</w:t>
            </w:r>
          </w:p>
        </w:tc>
      </w:tr>
      <w:tr w:rsidR="00C25943" w14:paraId="532F236C" w14:textId="77777777">
        <w:trPr>
          <w:jc w:val="center"/>
        </w:trPr>
        <w:tc>
          <w:tcPr>
            <w:tcW w:w="2880" w:type="dxa"/>
            <w:vAlign w:val="center"/>
          </w:tcPr>
          <w:p w14:paraId="6DB5BC28" w14:textId="77777777" w:rsidR="00C25943" w:rsidRDefault="00E305BF">
            <w:r>
              <w:t>Policy approval authority</w:t>
            </w:r>
          </w:p>
        </w:tc>
        <w:tc>
          <w:tcPr>
            <w:tcW w:w="6768" w:type="dxa"/>
            <w:vAlign w:val="center"/>
          </w:tcPr>
          <w:p w14:paraId="70003647" w14:textId="77777777" w:rsidR="00C25943" w:rsidRDefault="00E305BF">
            <w:r>
              <w:t>BUV authorised institutional policy-governance authority (to be confirmed through BUV approval workflow)</w:t>
            </w:r>
          </w:p>
        </w:tc>
      </w:tr>
      <w:tr w:rsidR="00C25943" w14:paraId="677C54BE" w14:textId="77777777">
        <w:trPr>
          <w:jc w:val="center"/>
        </w:trPr>
        <w:tc>
          <w:tcPr>
            <w:tcW w:w="2880" w:type="dxa"/>
            <w:vAlign w:val="center"/>
          </w:tcPr>
          <w:p w14:paraId="526EDA26" w14:textId="77777777" w:rsidR="00C25943" w:rsidRDefault="00E305BF">
            <w:r>
              <w:t>Consulted stakeholders</w:t>
            </w:r>
          </w:p>
        </w:tc>
        <w:tc>
          <w:tcPr>
            <w:tcW w:w="6768" w:type="dxa"/>
            <w:vAlign w:val="center"/>
          </w:tcPr>
          <w:p w14:paraId="01B3BD93" w14:textId="77777777" w:rsidR="00C25943" w:rsidRDefault="00E305BF">
            <w:r>
              <w:t>AI Governance Committee; Academic Office; Research/Ethics; Privacy/Data Protection; Legal; Procurement; HR; relevant business and academic owners</w:t>
            </w:r>
          </w:p>
        </w:tc>
      </w:tr>
      <w:tr w:rsidR="00C25943" w14:paraId="51512655" w14:textId="77777777">
        <w:trPr>
          <w:jc w:val="center"/>
        </w:trPr>
        <w:tc>
          <w:tcPr>
            <w:tcW w:w="2880" w:type="dxa"/>
            <w:vAlign w:val="center"/>
          </w:tcPr>
          <w:p w14:paraId="27CBDA8A" w14:textId="77777777" w:rsidR="00C25943" w:rsidRDefault="00E305BF">
            <w:r>
              <w:t>Applies to</w:t>
            </w:r>
          </w:p>
        </w:tc>
        <w:tc>
          <w:tcPr>
            <w:tcW w:w="6768" w:type="dxa"/>
            <w:vAlign w:val="center"/>
          </w:tcPr>
          <w:p w14:paraId="528B9E9F" w14:textId="77777777" w:rsidR="00C25943" w:rsidRDefault="00E305BF">
            <w:r>
              <w:t>BUV staff, faculty, researchers, contractors, authorised third parties and institutional AI services used for BUV-related activity</w:t>
            </w:r>
          </w:p>
        </w:tc>
      </w:tr>
      <w:tr w:rsidR="00C25943" w14:paraId="5C87404C" w14:textId="77777777">
        <w:trPr>
          <w:jc w:val="center"/>
        </w:trPr>
        <w:tc>
          <w:tcPr>
            <w:tcW w:w="2880" w:type="dxa"/>
            <w:vAlign w:val="center"/>
          </w:tcPr>
          <w:p w14:paraId="31386C49" w14:textId="77777777" w:rsidR="00C25943" w:rsidRDefault="00E305BF">
            <w:r>
              <w:t>Status</w:t>
            </w:r>
          </w:p>
        </w:tc>
        <w:tc>
          <w:tcPr>
            <w:tcW w:w="6768" w:type="dxa"/>
            <w:vAlign w:val="center"/>
          </w:tcPr>
          <w:p w14:paraId="5C9F0B74" w14:textId="77777777" w:rsidR="00C25943" w:rsidRDefault="00E305BF">
            <w:r>
              <w:t>Final uplifted draft for institutional review and approval</w:t>
            </w:r>
          </w:p>
        </w:tc>
      </w:tr>
      <w:tr w:rsidR="00C25943" w14:paraId="15F0B8E7" w14:textId="77777777">
        <w:trPr>
          <w:jc w:val="center"/>
        </w:trPr>
        <w:tc>
          <w:tcPr>
            <w:tcW w:w="2880" w:type="dxa"/>
            <w:vAlign w:val="center"/>
          </w:tcPr>
          <w:p w14:paraId="4BBA97AC" w14:textId="77777777" w:rsidR="00C25943" w:rsidRDefault="00E305BF">
            <w:r>
              <w:t>Effective date</w:t>
            </w:r>
          </w:p>
        </w:tc>
        <w:tc>
          <w:tcPr>
            <w:tcW w:w="6768" w:type="dxa"/>
            <w:vAlign w:val="center"/>
          </w:tcPr>
          <w:p w14:paraId="5059892F" w14:textId="77777777" w:rsidR="00C25943" w:rsidRDefault="00E305BF">
            <w:r>
              <w:t>On formal approval</w:t>
            </w:r>
          </w:p>
        </w:tc>
      </w:tr>
      <w:tr w:rsidR="00C25943" w14:paraId="601C05B9" w14:textId="77777777">
        <w:trPr>
          <w:jc w:val="center"/>
        </w:trPr>
        <w:tc>
          <w:tcPr>
            <w:tcW w:w="2880" w:type="dxa"/>
            <w:vAlign w:val="center"/>
          </w:tcPr>
          <w:p w14:paraId="4EF22DD0" w14:textId="77777777" w:rsidR="00C25943" w:rsidRDefault="00E305BF">
            <w:r>
              <w:t>Review cycle</w:t>
            </w:r>
          </w:p>
        </w:tc>
        <w:tc>
          <w:tcPr>
            <w:tcW w:w="6768" w:type="dxa"/>
            <w:vAlign w:val="center"/>
          </w:tcPr>
          <w:p w14:paraId="3BD471BC" w14:textId="77777777" w:rsidR="00C25943" w:rsidRDefault="00E305BF">
            <w:r>
              <w:t>At least annually and earlier following material legal, regulatory, technology, supplier, risk or incident change</w:t>
            </w:r>
          </w:p>
        </w:tc>
      </w:tr>
      <w:tr w:rsidR="00C25943" w14:paraId="4129DEFD" w14:textId="77777777">
        <w:trPr>
          <w:jc w:val="center"/>
        </w:trPr>
        <w:tc>
          <w:tcPr>
            <w:tcW w:w="2880" w:type="dxa"/>
            <w:vAlign w:val="center"/>
          </w:tcPr>
          <w:p w14:paraId="2E146E8A" w14:textId="77777777" w:rsidR="00C25943" w:rsidRDefault="00E305BF">
            <w:r>
              <w:t>Document identifier</w:t>
            </w:r>
          </w:p>
        </w:tc>
        <w:tc>
          <w:tcPr>
            <w:tcW w:w="6768" w:type="dxa"/>
            <w:vAlign w:val="center"/>
          </w:tcPr>
          <w:p w14:paraId="60E15FED" w14:textId="77777777" w:rsidR="00C25943" w:rsidRDefault="00E305BF">
            <w:r>
              <w:t>TBC under BUV ICT document-control convention</w:t>
            </w:r>
          </w:p>
        </w:tc>
      </w:tr>
      <w:tr w:rsidR="00C25943" w14:paraId="23C9FB18" w14:textId="77777777">
        <w:trPr>
          <w:jc w:val="center"/>
        </w:trPr>
        <w:tc>
          <w:tcPr>
            <w:tcW w:w="2880" w:type="dxa"/>
            <w:vAlign w:val="center"/>
          </w:tcPr>
          <w:p w14:paraId="7E5C6C38" w14:textId="77777777" w:rsidR="00C25943" w:rsidRDefault="00E305BF">
            <w:r>
              <w:t>Supporting documents</w:t>
            </w:r>
          </w:p>
        </w:tc>
        <w:tc>
          <w:tcPr>
            <w:tcW w:w="6768" w:type="dxa"/>
            <w:vAlign w:val="center"/>
          </w:tcPr>
          <w:p w14:paraId="3AB09828" w14:textId="77777777" w:rsidR="00C25943" w:rsidRDefault="00E305BF">
            <w:r>
              <w:t>BUV AI Usage Guideline; ICT AI service assessment/onboarding procedure; ICT-FRM-001 AI Evaluation Form; Information Security, Privacy/Data Protection, Procurement, Records, Academic Integrity and Research Ethics requirements</w:t>
            </w:r>
          </w:p>
        </w:tc>
      </w:tr>
    </w:tbl>
    <w:p w14:paraId="16B282EA" w14:textId="77777777" w:rsidR="00C25943" w:rsidRDefault="00C25943">
      <w:pPr>
        <w:spacing w:after="20"/>
      </w:pPr>
    </w:p>
    <w:p w14:paraId="59551184" w14:textId="31519F5F" w:rsidR="00C25943" w:rsidRDefault="00BF49AB">
      <w:pPr>
        <w:pStyle w:val="Heading1"/>
        <w:spacing w:before="240" w:after="100"/>
      </w:pPr>
      <w:r>
        <w:t>OVERVIEW:</w:t>
      </w:r>
    </w:p>
    <w:p w14:paraId="2F8DCBDF" w14:textId="77777777" w:rsidR="00C25943" w:rsidRDefault="00E305BF">
      <w:pPr>
        <w:spacing w:after="100" w:line="252" w:lineRule="auto"/>
      </w:pPr>
      <w:r>
        <w:t>This Policy establishes the mandatory institutional rules and decision rights for the secure, lawful and responsible use of artificial intelligence technologies at British University Vietnam (BUV). It sets the policy boundary for AI technology acquisition, deployment, integration, data handling, technical assurance, human oversight, monitoring, incident response and lifecycle management.</w:t>
      </w:r>
    </w:p>
    <w:p w14:paraId="6DD2F876" w14:textId="77777777" w:rsidR="00C25943" w:rsidRDefault="00E305BF">
      <w:pPr>
        <w:spacing w:after="100" w:line="252" w:lineRule="auto"/>
      </w:pPr>
      <w:r>
        <w:t>The BUV AI Usage Guideline is a separate subordinate document. It should translate this Policy into practical staff-facing instructions, examples and decision pathways. It should not duplicate or override this Policy, create new institutional approval powers, or transfer academic, legal, privacy or research-ethics authority to ICT.</w:t>
      </w:r>
    </w:p>
    <w:tbl>
      <w:tblPr>
        <w:tblStyle w:val="TableGrid"/>
        <w:tblW w:w="0" w:type="auto"/>
        <w:jc w:val="center"/>
        <w:tblLook w:val="04A0" w:firstRow="1" w:lastRow="0" w:firstColumn="1" w:lastColumn="0" w:noHBand="0" w:noVBand="1"/>
      </w:tblPr>
      <w:tblGrid>
        <w:gridCol w:w="1973"/>
        <w:gridCol w:w="4083"/>
        <w:gridCol w:w="2960"/>
      </w:tblGrid>
      <w:tr w:rsidR="00C25943" w14:paraId="75741D5E" w14:textId="77777777">
        <w:trPr>
          <w:tblHeader/>
          <w:jc w:val="center"/>
        </w:trPr>
        <w:tc>
          <w:tcPr>
            <w:tcW w:w="2088" w:type="dxa"/>
            <w:shd w:val="clear" w:color="auto" w:fill="D9EAF2"/>
            <w:vAlign w:val="center"/>
          </w:tcPr>
          <w:p w14:paraId="5192A786" w14:textId="77777777" w:rsidR="00C25943" w:rsidRDefault="00E305BF">
            <w:r>
              <w:rPr>
                <w:b/>
              </w:rPr>
              <w:t>Document layer</w:t>
            </w:r>
          </w:p>
        </w:tc>
        <w:tc>
          <w:tcPr>
            <w:tcW w:w="4392" w:type="dxa"/>
            <w:shd w:val="clear" w:color="auto" w:fill="D9EAF2"/>
            <w:vAlign w:val="center"/>
          </w:tcPr>
          <w:p w14:paraId="0231A5D0" w14:textId="77777777" w:rsidR="00C25943" w:rsidRDefault="00E305BF">
            <w:r>
              <w:rPr>
                <w:b/>
              </w:rPr>
              <w:t>Primary purpose</w:t>
            </w:r>
          </w:p>
        </w:tc>
        <w:tc>
          <w:tcPr>
            <w:tcW w:w="3168" w:type="dxa"/>
            <w:shd w:val="clear" w:color="auto" w:fill="D9EAF2"/>
            <w:vAlign w:val="center"/>
          </w:tcPr>
          <w:p w14:paraId="45B2BFC7" w14:textId="77777777" w:rsidR="00C25943" w:rsidRDefault="00E305BF">
            <w:r>
              <w:rPr>
                <w:b/>
              </w:rPr>
              <w:t>Typical owner / custodian</w:t>
            </w:r>
          </w:p>
        </w:tc>
      </w:tr>
      <w:tr w:rsidR="00C25943" w14:paraId="2995DEB3" w14:textId="77777777">
        <w:trPr>
          <w:jc w:val="center"/>
        </w:trPr>
        <w:tc>
          <w:tcPr>
            <w:tcW w:w="2088" w:type="dxa"/>
            <w:vAlign w:val="center"/>
          </w:tcPr>
          <w:p w14:paraId="02979B75" w14:textId="77777777" w:rsidR="00C25943" w:rsidRDefault="00E305BF">
            <w:r>
              <w:t>Policy (this document)</w:t>
            </w:r>
          </w:p>
        </w:tc>
        <w:tc>
          <w:tcPr>
            <w:tcW w:w="4392" w:type="dxa"/>
            <w:vAlign w:val="center"/>
          </w:tcPr>
          <w:p w14:paraId="0D33982C" w14:textId="77777777" w:rsidR="00C25943" w:rsidRDefault="00E305BF">
            <w:r>
              <w:t>Institutional intent, mandatory principles, authority, non-negotiable controls and accountability.</w:t>
            </w:r>
          </w:p>
        </w:tc>
        <w:tc>
          <w:tcPr>
            <w:tcW w:w="3168" w:type="dxa"/>
            <w:vAlign w:val="center"/>
          </w:tcPr>
          <w:p w14:paraId="0F617A1A" w14:textId="77777777" w:rsidR="00C25943" w:rsidRDefault="00E305BF">
            <w:r>
              <w:t>ICT policy owner, approved through BUV institutional governance.</w:t>
            </w:r>
          </w:p>
        </w:tc>
      </w:tr>
      <w:tr w:rsidR="00C25943" w14:paraId="0FEEAB23" w14:textId="77777777">
        <w:trPr>
          <w:jc w:val="center"/>
        </w:trPr>
        <w:tc>
          <w:tcPr>
            <w:tcW w:w="2088" w:type="dxa"/>
            <w:vAlign w:val="center"/>
          </w:tcPr>
          <w:p w14:paraId="758D4A82" w14:textId="77777777" w:rsidR="00C25943" w:rsidRDefault="00E305BF">
            <w:r>
              <w:t>AI Usage Guideline</w:t>
            </w:r>
          </w:p>
        </w:tc>
        <w:tc>
          <w:tcPr>
            <w:tcW w:w="4392" w:type="dxa"/>
            <w:vAlign w:val="center"/>
          </w:tcPr>
          <w:p w14:paraId="48705EBD" w14:textId="77777777" w:rsidR="00C25943" w:rsidRDefault="00E305BF">
            <w:r>
              <w:t>Practical staff-facing guidance: examples, decision routes, prompt hygiene and day-to-day responsible use.</w:t>
            </w:r>
          </w:p>
        </w:tc>
        <w:tc>
          <w:tcPr>
            <w:tcW w:w="3168" w:type="dxa"/>
            <w:vAlign w:val="center"/>
          </w:tcPr>
          <w:p w14:paraId="19EF647C" w14:textId="77777777" w:rsidR="00C25943" w:rsidRDefault="00E305BF">
            <w:r>
              <w:t>AI Governance / academic governance with cross-functional input.</w:t>
            </w:r>
          </w:p>
        </w:tc>
      </w:tr>
      <w:tr w:rsidR="00C25943" w14:paraId="13600F0E" w14:textId="77777777">
        <w:trPr>
          <w:jc w:val="center"/>
        </w:trPr>
        <w:tc>
          <w:tcPr>
            <w:tcW w:w="2088" w:type="dxa"/>
            <w:vAlign w:val="center"/>
          </w:tcPr>
          <w:p w14:paraId="52281922" w14:textId="77777777" w:rsidR="00C25943" w:rsidRDefault="00E305BF">
            <w:r>
              <w:t>ICT procedures / standards</w:t>
            </w:r>
          </w:p>
        </w:tc>
        <w:tc>
          <w:tcPr>
            <w:tcW w:w="4392" w:type="dxa"/>
            <w:vAlign w:val="center"/>
          </w:tcPr>
          <w:p w14:paraId="675908C3" w14:textId="77777777" w:rsidR="00C25943" w:rsidRDefault="00E305BF">
            <w:r>
              <w:t>Technical assessment, onboarding, configuration, identity, integration, supplier assurance, security monitoring and decommissioning.</w:t>
            </w:r>
          </w:p>
        </w:tc>
        <w:tc>
          <w:tcPr>
            <w:tcW w:w="3168" w:type="dxa"/>
            <w:vAlign w:val="center"/>
          </w:tcPr>
          <w:p w14:paraId="5DB211C1" w14:textId="77777777" w:rsidR="00C25943" w:rsidRDefault="00E305BF">
            <w:r>
              <w:t>ICT / Cybersecurity.</w:t>
            </w:r>
          </w:p>
        </w:tc>
      </w:tr>
      <w:tr w:rsidR="00C25943" w14:paraId="7A854F59" w14:textId="77777777">
        <w:trPr>
          <w:jc w:val="center"/>
        </w:trPr>
        <w:tc>
          <w:tcPr>
            <w:tcW w:w="2088" w:type="dxa"/>
            <w:vAlign w:val="center"/>
          </w:tcPr>
          <w:p w14:paraId="672E3BD0" w14:textId="77777777" w:rsidR="00C25943" w:rsidRDefault="00E305BF">
            <w:r>
              <w:t>Forms / registers / records</w:t>
            </w:r>
          </w:p>
        </w:tc>
        <w:tc>
          <w:tcPr>
            <w:tcW w:w="4392" w:type="dxa"/>
            <w:vAlign w:val="center"/>
          </w:tcPr>
          <w:p w14:paraId="73B98F73" w14:textId="77777777" w:rsidR="00C25943" w:rsidRDefault="00E305BF">
            <w:r>
              <w:t>Evidence of assessment, approvals, conditions, incidents, risk acceptance and review.</w:t>
            </w:r>
          </w:p>
        </w:tc>
        <w:tc>
          <w:tcPr>
            <w:tcW w:w="3168" w:type="dxa"/>
            <w:vAlign w:val="center"/>
          </w:tcPr>
          <w:p w14:paraId="30C11668" w14:textId="77777777" w:rsidR="00C25943" w:rsidRDefault="00E305BF">
            <w:r>
              <w:t>Relevant accountable owner; operationally maintained by designated functions.</w:t>
            </w:r>
          </w:p>
        </w:tc>
      </w:tr>
    </w:tbl>
    <w:p w14:paraId="6741F2AE" w14:textId="77777777" w:rsidR="00C25943" w:rsidRDefault="00C25943">
      <w:pPr>
        <w:spacing w:after="20"/>
      </w:pPr>
    </w:p>
    <w:p w14:paraId="6807E609" w14:textId="235BC0DA" w:rsidR="00C25943" w:rsidRDefault="00E305BF">
      <w:pPr>
        <w:pStyle w:val="Heading1"/>
        <w:spacing w:before="240" w:after="100"/>
      </w:pPr>
      <w:r>
        <w:t>I. PURPOSE</w:t>
      </w:r>
      <w:r w:rsidR="00BF49AB">
        <w:t>:</w:t>
      </w:r>
    </w:p>
    <w:p w14:paraId="1210C588" w14:textId="77777777" w:rsidR="00C25943" w:rsidRDefault="00E305BF">
      <w:pPr>
        <w:spacing w:after="100" w:line="252" w:lineRule="auto"/>
      </w:pPr>
      <w:r>
        <w:t>BUV encourages the responsible use of artificial intelligence where it improves teaching, research, professional services, student support, decision quality, accessibility, innovation or operational productivity. This Policy ensures that such use is governed in a way that protects people, academic integrity, research confidentiality, intellectual property, institutional information, service security and BUV’s legal and contractual obligations.</w:t>
      </w:r>
    </w:p>
    <w:p w14:paraId="2876B937" w14:textId="77777777" w:rsidR="00C25943" w:rsidRDefault="00E305BF">
      <w:pPr>
        <w:spacing w:after="100" w:line="252" w:lineRule="auto"/>
      </w:pPr>
      <w:r>
        <w:t>The Policy is deliberately technology-neutral. It applies to current and future AI capabilities regardless of vendor, model family, interface or hosting method. Controls must be proportionate to the actual risk, data sensitivity, level of automation, system connectivity and potential impact on people or the University.</w:t>
      </w:r>
    </w:p>
    <w:p w14:paraId="6DAC3F68" w14:textId="12022DA9" w:rsidR="00C25943" w:rsidRDefault="00E305BF">
      <w:pPr>
        <w:pStyle w:val="Heading1"/>
        <w:spacing w:before="240" w:after="100"/>
      </w:pPr>
      <w:r>
        <w:lastRenderedPageBreak/>
        <w:t>II. SCOPE</w:t>
      </w:r>
      <w:r w:rsidR="00BF49AB">
        <w:t>:</w:t>
      </w:r>
    </w:p>
    <w:p w14:paraId="04095D1D" w14:textId="77777777" w:rsidR="00C25943" w:rsidRDefault="00E305BF">
      <w:pPr>
        <w:spacing w:after="100" w:line="252" w:lineRule="auto"/>
      </w:pPr>
      <w:r>
        <w:t>This Policy applies where AI is procured, licensed, configured, integrated, developed, deployed, recommended, materially relied upon or used for BUV-related activity. It covers generative AI, machine-learning systems, copilots, chatbots, coding assistants, image/audio/video generators, transcription and meeting assistants, AI-enabled SaaS features, browser extensions, APIs, local models, retrieval-augmented generation, autonomous or semi-autonomous agents, decision-support systems and AI embedded in other p</w:t>
      </w:r>
      <w:r>
        <w:t>roducts.</w:t>
      </w:r>
    </w:p>
    <w:p w14:paraId="7645DD66" w14:textId="77777777" w:rsidR="00C25943" w:rsidRDefault="00E305BF">
      <w:pPr>
        <w:spacing w:after="100" w:line="252" w:lineRule="auto"/>
      </w:pPr>
      <w:r>
        <w:t>The Policy applies to BUV-managed devices and systems and to permitted personal devices or external services where BUV information, accounts, work, research or responsibilities are involved. Purely personal, non-BUV use is outside scope, but BUV credentials, information and systems must not be used to circumvent this Policy.</w:t>
      </w:r>
    </w:p>
    <w:p w14:paraId="714B9746" w14:textId="77777777" w:rsidR="00C25943" w:rsidRDefault="00E305BF">
      <w:pPr>
        <w:spacing w:after="100" w:line="252" w:lineRule="auto"/>
      </w:pPr>
      <w:r>
        <w:t>Student use of AI for learning and assessment is governed primarily through the relevant academic and student requirements. This Policy applies when BUV selects, provides, integrates, mandates or technically operates AI services for students, or where those services process BUV information.</w:t>
      </w:r>
    </w:p>
    <w:p w14:paraId="7BF75721" w14:textId="789E644A" w:rsidR="00C25943" w:rsidRDefault="00E305BF">
      <w:pPr>
        <w:pStyle w:val="Heading1"/>
        <w:spacing w:before="240" w:after="100"/>
      </w:pPr>
      <w:r>
        <w:t>III. POLICY PRINCIPLES</w:t>
      </w:r>
      <w:r w:rsidR="00BF49AB">
        <w:t>:</w:t>
      </w:r>
    </w:p>
    <w:p w14:paraId="5AD6932F" w14:textId="77777777" w:rsidR="00C25943" w:rsidRDefault="00E305BF">
      <w:pPr>
        <w:pStyle w:val="ListParagraph"/>
        <w:spacing w:after="60"/>
        <w:ind w:left="360" w:hanging="230"/>
      </w:pPr>
      <w:r>
        <w:t>• Enable responsible adoption. BUV supports useful AI adoption; governance must facilitate legitimate use rather than create unnecessary barriers.</w:t>
      </w:r>
    </w:p>
    <w:p w14:paraId="74D95833" w14:textId="77777777" w:rsidR="00C25943" w:rsidRDefault="00E305BF">
      <w:pPr>
        <w:pStyle w:val="ListParagraph"/>
        <w:spacing w:after="60"/>
        <w:ind w:left="360" w:hanging="230"/>
      </w:pPr>
      <w:r>
        <w:t>• Risk-based control. Controls increase when information sensitivity, legal exposure, system connectivity, autonomy or impact on people increases.</w:t>
      </w:r>
    </w:p>
    <w:p w14:paraId="51198C78" w14:textId="77777777" w:rsidR="00C25943" w:rsidRDefault="00E305BF">
      <w:pPr>
        <w:pStyle w:val="ListParagraph"/>
        <w:spacing w:after="60"/>
        <w:ind w:left="360" w:hanging="230"/>
      </w:pPr>
      <w:r>
        <w:t>• Human accountability. AI may support work, but responsibility remains with the authorised human or BUV function. AI does not acquire institutional authority by being automated.</w:t>
      </w:r>
    </w:p>
    <w:p w14:paraId="5C2EBFD1" w14:textId="77777777" w:rsidR="00C25943" w:rsidRDefault="00E305BF">
      <w:pPr>
        <w:pStyle w:val="ListParagraph"/>
        <w:spacing w:after="60"/>
        <w:ind w:left="360" w:hanging="230"/>
      </w:pPr>
      <w:r>
        <w:t>• Purpose and data minimisation. Only the minimum information and permissions reasonably necessary for the approved purpose may be provided to an AI service.</w:t>
      </w:r>
    </w:p>
    <w:p w14:paraId="0881A82B" w14:textId="77777777" w:rsidR="00C25943" w:rsidRDefault="00E305BF">
      <w:pPr>
        <w:pStyle w:val="ListParagraph"/>
        <w:spacing w:after="60"/>
        <w:ind w:left="360" w:hanging="230"/>
      </w:pPr>
      <w:r>
        <w:t>• Security and privacy by design. Identity, access, data protection, supplier assurance, logging, retention and incident controls must be considered before material deployment.</w:t>
      </w:r>
    </w:p>
    <w:p w14:paraId="711D3B08" w14:textId="77777777" w:rsidR="00C25943" w:rsidRDefault="00E305BF">
      <w:pPr>
        <w:pStyle w:val="ListParagraph"/>
        <w:spacing w:after="60"/>
        <w:ind w:left="360" w:hanging="230"/>
      </w:pPr>
      <w:r>
        <w:t>• Transparency and traceability. Material AI use, conditions, approvals, incidents and high-impact decisions must be documented where required by law, BUV policy, contract or good governance.</w:t>
      </w:r>
    </w:p>
    <w:p w14:paraId="096E91B4" w14:textId="77777777" w:rsidR="00C25943" w:rsidRDefault="00E305BF">
      <w:pPr>
        <w:pStyle w:val="ListParagraph"/>
        <w:spacing w:after="60"/>
        <w:ind w:left="360" w:hanging="230"/>
      </w:pPr>
      <w:r>
        <w:t>• Lifecycle governance. Approval is not permanent. Material model, feature, vendor, data, integration or purpose changes may trigger reassessment.</w:t>
      </w:r>
    </w:p>
    <w:p w14:paraId="71D85A2A" w14:textId="77777777" w:rsidR="00C25943" w:rsidRDefault="00E305BF">
      <w:pPr>
        <w:pStyle w:val="ListParagraph"/>
        <w:spacing w:after="60"/>
        <w:ind w:left="360" w:hanging="230"/>
      </w:pPr>
      <w:r>
        <w:t>• Academic and professional autonomy within governance. ICT determines technical/security suitability and operates institutional technology controls; academic, research, legal, privacy and business owners retain decision authority within their respective domains.</w:t>
      </w:r>
    </w:p>
    <w:p w14:paraId="1407EACE" w14:textId="6F7A580D" w:rsidR="00C25943" w:rsidRDefault="00E305BF">
      <w:pPr>
        <w:pStyle w:val="Heading1"/>
        <w:spacing w:before="240" w:after="100"/>
      </w:pPr>
      <w:r>
        <w:t>IV. GOVERNANCE, AUTHORITY AND ACCOUNTABILITY</w:t>
      </w:r>
      <w:r w:rsidR="00BF49AB">
        <w:t>:</w:t>
      </w:r>
    </w:p>
    <w:p w14:paraId="0EC7A9E5" w14:textId="77777777" w:rsidR="00C25943" w:rsidRDefault="00E305BF">
      <w:pPr>
        <w:spacing w:after="100" w:line="252" w:lineRule="auto"/>
      </w:pPr>
      <w:r>
        <w:t>No single operational function should act as the sole decision-maker for every dimension of AI use. Decisions must be made by the function with the relevant institutional authority, supported by evidence from other required reviewers.</w:t>
      </w:r>
    </w:p>
    <w:tbl>
      <w:tblPr>
        <w:tblStyle w:val="TableGrid"/>
        <w:tblW w:w="0" w:type="auto"/>
        <w:jc w:val="center"/>
        <w:tblLook w:val="04A0" w:firstRow="1" w:lastRow="0" w:firstColumn="1" w:lastColumn="0" w:noHBand="0" w:noVBand="1"/>
      </w:tblPr>
      <w:tblGrid>
        <w:gridCol w:w="2724"/>
        <w:gridCol w:w="6292"/>
      </w:tblGrid>
      <w:tr w:rsidR="00C25943" w14:paraId="3FBBDB8F" w14:textId="77777777">
        <w:trPr>
          <w:tblHeader/>
          <w:jc w:val="center"/>
        </w:trPr>
        <w:tc>
          <w:tcPr>
            <w:tcW w:w="2880" w:type="dxa"/>
            <w:shd w:val="clear" w:color="auto" w:fill="D9EAF2"/>
            <w:vAlign w:val="center"/>
          </w:tcPr>
          <w:p w14:paraId="1CCD6D7E" w14:textId="77777777" w:rsidR="00C25943" w:rsidRDefault="00E305BF">
            <w:r>
              <w:rPr>
                <w:b/>
              </w:rPr>
              <w:t>Role / function</w:t>
            </w:r>
          </w:p>
        </w:tc>
        <w:tc>
          <w:tcPr>
            <w:tcW w:w="6768" w:type="dxa"/>
            <w:shd w:val="clear" w:color="auto" w:fill="D9EAF2"/>
            <w:vAlign w:val="center"/>
          </w:tcPr>
          <w:p w14:paraId="0FEE3033" w14:textId="77777777" w:rsidR="00C25943" w:rsidRDefault="00E305BF">
            <w:r>
              <w:rPr>
                <w:b/>
              </w:rPr>
              <w:t>Policy accountability</w:t>
            </w:r>
          </w:p>
        </w:tc>
      </w:tr>
      <w:tr w:rsidR="00C25943" w14:paraId="0AB9B08C" w14:textId="77777777">
        <w:trPr>
          <w:jc w:val="center"/>
        </w:trPr>
        <w:tc>
          <w:tcPr>
            <w:tcW w:w="2880" w:type="dxa"/>
            <w:vAlign w:val="center"/>
          </w:tcPr>
          <w:p w14:paraId="24E2DE48" w14:textId="77777777" w:rsidR="00C25943" w:rsidRDefault="00E305BF">
            <w:r>
              <w:t>ICT Department / Cybersecurity</w:t>
            </w:r>
          </w:p>
        </w:tc>
        <w:tc>
          <w:tcPr>
            <w:tcW w:w="6768" w:type="dxa"/>
            <w:vAlign w:val="center"/>
          </w:tcPr>
          <w:p w14:paraId="2E764820" w14:textId="77777777" w:rsidR="00C25943" w:rsidRDefault="00E305BF">
            <w:r>
              <w:t>Own and maintain this ICT Policy; provide technical and security assurance; operate identity, access, integration, logging, technical monitoring and service-management controls; maintain technical service records; coordinate technical containment of incidents.</w:t>
            </w:r>
          </w:p>
        </w:tc>
      </w:tr>
      <w:tr w:rsidR="00C25943" w14:paraId="285748A9" w14:textId="77777777">
        <w:trPr>
          <w:jc w:val="center"/>
        </w:trPr>
        <w:tc>
          <w:tcPr>
            <w:tcW w:w="2880" w:type="dxa"/>
            <w:vAlign w:val="center"/>
          </w:tcPr>
          <w:p w14:paraId="10B691D3" w14:textId="77777777" w:rsidR="00C25943" w:rsidRDefault="00E305BF">
            <w:r>
              <w:t>AI Governance Committee / institutional AI governance function</w:t>
            </w:r>
          </w:p>
        </w:tc>
        <w:tc>
          <w:tcPr>
            <w:tcW w:w="6768" w:type="dxa"/>
            <w:vAlign w:val="center"/>
          </w:tcPr>
          <w:p w14:paraId="47051083" w14:textId="77777777" w:rsidR="00C25943" w:rsidRDefault="00E305BF">
            <w:r>
              <w:t>Coordinate institution-wide AI governance and cross-functional alignment; maintain or sponsor the staff-facing AI Usage Guideline; review material institutional AI matters within its delegated mandate.</w:t>
            </w:r>
          </w:p>
        </w:tc>
      </w:tr>
      <w:tr w:rsidR="00C25943" w14:paraId="2C720D3F" w14:textId="77777777">
        <w:trPr>
          <w:jc w:val="center"/>
        </w:trPr>
        <w:tc>
          <w:tcPr>
            <w:tcW w:w="2880" w:type="dxa"/>
            <w:vAlign w:val="center"/>
          </w:tcPr>
          <w:p w14:paraId="378B316B" w14:textId="77777777" w:rsidR="00C25943" w:rsidRDefault="00E305BF">
            <w:r>
              <w:t>Academic Office / Schools / Programme and Module leadership</w:t>
            </w:r>
          </w:p>
        </w:tc>
        <w:tc>
          <w:tcPr>
            <w:tcW w:w="6768" w:type="dxa"/>
            <w:vAlign w:val="center"/>
          </w:tcPr>
          <w:p w14:paraId="71F3AE49" w14:textId="77777777" w:rsidR="00C25943" w:rsidRDefault="00E305BF">
            <w:r>
              <w:t>Determine academic purpose, pedagogical suitability, assessment and academic-integrity requirements. ICT does not determine academic merit.</w:t>
            </w:r>
          </w:p>
        </w:tc>
      </w:tr>
      <w:tr w:rsidR="00C25943" w14:paraId="060F6A2B" w14:textId="77777777">
        <w:trPr>
          <w:jc w:val="center"/>
        </w:trPr>
        <w:tc>
          <w:tcPr>
            <w:tcW w:w="2880" w:type="dxa"/>
            <w:vAlign w:val="center"/>
          </w:tcPr>
          <w:p w14:paraId="2E7304ED" w14:textId="77777777" w:rsidR="00C25943" w:rsidRDefault="00E305BF">
            <w:r>
              <w:t>Research / Ethics</w:t>
            </w:r>
          </w:p>
        </w:tc>
        <w:tc>
          <w:tcPr>
            <w:tcW w:w="6768" w:type="dxa"/>
            <w:vAlign w:val="center"/>
          </w:tcPr>
          <w:p w14:paraId="0D90C62D" w14:textId="77777777" w:rsidR="00C25943" w:rsidRDefault="00E305BF">
            <w:r>
              <w:t>Determine research ethics, participant protection, research-integrity and related approval requirements.</w:t>
            </w:r>
          </w:p>
        </w:tc>
      </w:tr>
      <w:tr w:rsidR="00C25943" w14:paraId="1D632EB5" w14:textId="77777777">
        <w:trPr>
          <w:jc w:val="center"/>
        </w:trPr>
        <w:tc>
          <w:tcPr>
            <w:tcW w:w="2880" w:type="dxa"/>
            <w:vAlign w:val="center"/>
          </w:tcPr>
          <w:p w14:paraId="1868A17B" w14:textId="77777777" w:rsidR="00C25943" w:rsidRDefault="00E305BF">
            <w:r>
              <w:t>Privacy / Data Protection and Legal</w:t>
            </w:r>
          </w:p>
        </w:tc>
        <w:tc>
          <w:tcPr>
            <w:tcW w:w="6768" w:type="dxa"/>
            <w:vAlign w:val="center"/>
          </w:tcPr>
          <w:p w14:paraId="0107A575" w14:textId="77777777" w:rsidR="00C25943" w:rsidRDefault="00E305BF">
            <w:r>
              <w:t>Determine privacy, personal-data, statutory, contractual and legal requirements and required assessments.</w:t>
            </w:r>
          </w:p>
        </w:tc>
      </w:tr>
      <w:tr w:rsidR="00C25943" w14:paraId="08B6A552" w14:textId="77777777">
        <w:trPr>
          <w:jc w:val="center"/>
        </w:trPr>
        <w:tc>
          <w:tcPr>
            <w:tcW w:w="2880" w:type="dxa"/>
            <w:vAlign w:val="center"/>
          </w:tcPr>
          <w:p w14:paraId="010387E3" w14:textId="77777777" w:rsidR="00C25943" w:rsidRDefault="00E305BF">
            <w:r>
              <w:t>Procurement / Finance / Contract owner</w:t>
            </w:r>
          </w:p>
        </w:tc>
        <w:tc>
          <w:tcPr>
            <w:tcW w:w="6768" w:type="dxa"/>
            <w:vAlign w:val="center"/>
          </w:tcPr>
          <w:p w14:paraId="7F80BBEE" w14:textId="77777777" w:rsidR="00C25943" w:rsidRDefault="00E305BF">
            <w:r>
              <w:t>Apply procurement, commercial, supplier, contract, licensing and financial controls.</w:t>
            </w:r>
          </w:p>
        </w:tc>
      </w:tr>
      <w:tr w:rsidR="00C25943" w14:paraId="28FC41AB" w14:textId="77777777">
        <w:trPr>
          <w:jc w:val="center"/>
        </w:trPr>
        <w:tc>
          <w:tcPr>
            <w:tcW w:w="2880" w:type="dxa"/>
            <w:vAlign w:val="center"/>
          </w:tcPr>
          <w:p w14:paraId="61F0E7D2" w14:textId="77777777" w:rsidR="00C25943" w:rsidRDefault="00E305BF">
            <w:r>
              <w:t>Business / Academic sponsor or AI System Owner</w:t>
            </w:r>
          </w:p>
        </w:tc>
        <w:tc>
          <w:tcPr>
            <w:tcW w:w="6768" w:type="dxa"/>
            <w:vAlign w:val="center"/>
          </w:tcPr>
          <w:p w14:paraId="71FA437F" w14:textId="77777777" w:rsidR="00C25943" w:rsidRDefault="00E305BF">
            <w:r>
              <w:t>Own the use case, benefits, operational controls, authorised users, ongoing suitability and business/academic residual risk within delegated authority.</w:t>
            </w:r>
          </w:p>
        </w:tc>
      </w:tr>
      <w:tr w:rsidR="00C25943" w14:paraId="4A866A0B" w14:textId="77777777">
        <w:trPr>
          <w:jc w:val="center"/>
        </w:trPr>
        <w:tc>
          <w:tcPr>
            <w:tcW w:w="2880" w:type="dxa"/>
            <w:vAlign w:val="center"/>
          </w:tcPr>
          <w:p w14:paraId="70701190" w14:textId="77777777" w:rsidR="00C25943" w:rsidRDefault="00E305BF">
            <w:r>
              <w:t>Users</w:t>
            </w:r>
          </w:p>
        </w:tc>
        <w:tc>
          <w:tcPr>
            <w:tcW w:w="6768" w:type="dxa"/>
            <w:vAlign w:val="center"/>
          </w:tcPr>
          <w:p w14:paraId="165EB65A" w14:textId="77777777" w:rsidR="00C25943" w:rsidRDefault="00E305BF">
            <w:r>
              <w:t>Use AI only within approved conditions; protect information; verify outputs; maintain human accountability; report suspected incidents promptly.</w:t>
            </w:r>
          </w:p>
        </w:tc>
      </w:tr>
    </w:tbl>
    <w:p w14:paraId="219F0F8D" w14:textId="77777777" w:rsidR="00C25943" w:rsidRDefault="00C25943">
      <w:pPr>
        <w:spacing w:after="20"/>
      </w:pPr>
    </w:p>
    <w:p w14:paraId="6E2448BF" w14:textId="77777777" w:rsidR="00C25943" w:rsidRDefault="00E305BF">
      <w:pPr>
        <w:spacing w:after="100" w:line="252" w:lineRule="auto"/>
      </w:pPr>
      <w:r>
        <w:t>Formal residual-risk acceptance must be made only by an appropriately delegated BUV risk owner. ICT may recommend technical controls or identify unacceptable technical risk but must not unilaterally accept academic, legal, privacy or enterprise risk outside its authority.</w:t>
      </w:r>
    </w:p>
    <w:p w14:paraId="0107ADE5" w14:textId="4390DD96" w:rsidR="00C25943" w:rsidRDefault="00E305BF">
      <w:pPr>
        <w:pStyle w:val="Heading1"/>
        <w:spacing w:before="240" w:after="100"/>
      </w:pPr>
      <w:r>
        <w:lastRenderedPageBreak/>
        <w:t>V. AI SERVICE AUTHORISATION AND INSTITUTIONAL REGISTER</w:t>
      </w:r>
      <w:r w:rsidR="00BF49AB">
        <w:t>:</w:t>
      </w:r>
    </w:p>
    <w:p w14:paraId="1EA6C9E3" w14:textId="77777777" w:rsidR="00C25943" w:rsidRDefault="00E305BF">
      <w:pPr>
        <w:spacing w:after="100" w:line="252" w:lineRule="auto"/>
      </w:pPr>
      <w:r>
        <w:t>BUV shall maintain an institutional record of AI services and material AI use cases that have been formally assessed, conditionally permitted, rejected, suspended or retired. ICT may maintain the technical register operationally, but the register must clearly distinguish technical assurance from broader institutional approval.</w:t>
      </w:r>
    </w:p>
    <w:p w14:paraId="7F9BDCEF" w14:textId="77777777" w:rsidR="00C25943" w:rsidRDefault="00E305BF">
      <w:pPr>
        <w:spacing w:after="100" w:line="252" w:lineRule="auto"/>
      </w:pPr>
      <w:r>
        <w:t>Authorisation is specific to the combination of service, account/tenant, features, integrations, purpose, user group and permitted information classes. Approval of a vendor or brand name does not automatically approve every product, feature, consumer account, plugin, model or future configuration from that vendor.</w:t>
      </w:r>
    </w:p>
    <w:p w14:paraId="1977AF81" w14:textId="77777777" w:rsidR="00C25943" w:rsidRDefault="00E305BF">
      <w:pPr>
        <w:spacing w:after="100" w:line="252" w:lineRule="auto"/>
      </w:pPr>
      <w:r>
        <w:t>Unassessed does not automatically mean permanently prohibited. Low-risk exploration using public, user-owned non-confidential or synthetic data may be permitted under a defined safe-exploration route where there is no BUV system integration, privileged action, restricted data, material personal impact or procurement commitment. The supporting ICT procedure should define that route.</w:t>
      </w:r>
    </w:p>
    <w:p w14:paraId="1F94AEAC" w14:textId="358C8CAE" w:rsidR="00C25943" w:rsidRDefault="00E305BF">
      <w:pPr>
        <w:pStyle w:val="Heading1"/>
        <w:spacing w:before="240" w:after="100"/>
      </w:pPr>
      <w:r>
        <w:t>VI. INFORMATION, PRIVACY AND SECURITY REQUIREMENTS</w:t>
      </w:r>
      <w:r w:rsidR="00BF49AB">
        <w:t>:</w:t>
      </w:r>
    </w:p>
    <w:p w14:paraId="25FDC8EA" w14:textId="77777777" w:rsidR="00C25943" w:rsidRDefault="00E305BF">
      <w:pPr>
        <w:pStyle w:val="ListParagraph"/>
        <w:spacing w:after="60"/>
        <w:ind w:left="360" w:hanging="230"/>
      </w:pPr>
      <w:r>
        <w:t>• BUV information must be handled according to the University’s authoritative information-classification and data-protection requirements. AI-specific documents must not invent a competing classification scheme.</w:t>
      </w:r>
    </w:p>
    <w:p w14:paraId="141176FA" w14:textId="77777777" w:rsidR="00C25943" w:rsidRDefault="00E305BF">
      <w:pPr>
        <w:pStyle w:val="ListParagraph"/>
        <w:spacing w:after="60"/>
        <w:ind w:left="360" w:hanging="230"/>
      </w:pPr>
      <w:r>
        <w:t>• Personal data must only be processed in an AI service where the service, purpose, lawful basis, data handling, contractual safeguards and any required privacy assessment have been authorised.</w:t>
      </w:r>
    </w:p>
    <w:p w14:paraId="7D0E109C" w14:textId="77777777" w:rsidR="00C25943" w:rsidRDefault="00E305BF">
      <w:pPr>
        <w:pStyle w:val="ListParagraph"/>
        <w:spacing w:after="60"/>
        <w:ind w:left="360" w:hanging="230"/>
      </w:pPr>
      <w:r>
        <w:t>• Confidential, Restricted, sensitive, examination, unpublished research, commercially sensitive, credential, financial, HR, health or identity information must not be entered into consumer or unassessed AI services unless explicitly authorised through an appropriate controlled environment.</w:t>
      </w:r>
    </w:p>
    <w:p w14:paraId="1FA02EEE" w14:textId="77777777" w:rsidR="00C25943" w:rsidRDefault="00E305BF">
      <w:pPr>
        <w:pStyle w:val="ListParagraph"/>
        <w:spacing w:after="60"/>
        <w:ind w:left="360" w:hanging="230"/>
      </w:pPr>
      <w:r>
        <w:t>• Authentication, role-based access, least privilege, multi-factor authentication, single sign-on and privileged administration must be used where proportionate and technically available for institutional AI services.</w:t>
      </w:r>
    </w:p>
    <w:p w14:paraId="5F35167C" w14:textId="77777777" w:rsidR="00C25943" w:rsidRDefault="00E305BF">
      <w:pPr>
        <w:pStyle w:val="ListParagraph"/>
        <w:spacing w:after="60"/>
        <w:ind w:left="360" w:hanging="230"/>
      </w:pPr>
      <w:r>
        <w:t>• AI integrations with BUV systems, APIs, repositories, email, learning platforms, student systems, HR/finance systems or other institutional data sources require technical assessment before production connection.</w:t>
      </w:r>
    </w:p>
    <w:p w14:paraId="12AC6B77" w14:textId="77777777" w:rsidR="00C25943" w:rsidRDefault="00E305BF">
      <w:pPr>
        <w:pStyle w:val="ListParagraph"/>
        <w:spacing w:after="60"/>
        <w:ind w:left="360" w:hanging="230"/>
      </w:pPr>
      <w:r>
        <w:t>• AI agents or automations capable of sending, changing, deleting, approving, publishing, purchasing, granting access or otherwise acting in BUV systems require explicit authorisation, scoped permissions, logging, human control and a tested rollback/containment mechanism.</w:t>
      </w:r>
    </w:p>
    <w:p w14:paraId="7BA37497" w14:textId="77777777" w:rsidR="00C25943" w:rsidRDefault="00E305BF">
      <w:pPr>
        <w:pStyle w:val="ListParagraph"/>
        <w:spacing w:after="60"/>
        <w:ind w:left="360" w:hanging="230"/>
      </w:pPr>
      <w:r>
        <w:t>• Prompts, uploaded files, model outputs and AI-generated logs must be retained only in accordance with BUV records, legal, contractual, academic and research requirements. This Policy does not impose an arbitrary universal retention period.</w:t>
      </w:r>
    </w:p>
    <w:p w14:paraId="48BCC62E" w14:textId="6BFDC3F4" w:rsidR="00C25943" w:rsidRDefault="00E305BF">
      <w:pPr>
        <w:pStyle w:val="Heading1"/>
        <w:spacing w:before="240" w:after="100"/>
      </w:pPr>
      <w:r>
        <w:t>VII. HUMAN OVERSIGHT AND HIGH-IMPACT USE</w:t>
      </w:r>
      <w:r w:rsidR="00BF49AB">
        <w:t>:</w:t>
      </w:r>
    </w:p>
    <w:p w14:paraId="0D0BC056" w14:textId="77777777" w:rsidR="00C25943" w:rsidRDefault="00E305BF">
      <w:pPr>
        <w:spacing w:after="100" w:line="252" w:lineRule="auto"/>
      </w:pPr>
      <w:r>
        <w:t>AI must not be treated as the sole final authority for decisions that materially affect the rights, opportunities, academic outcomes, employment, safety, financial position or access of an individual. Meaningful human review must be real, informed and able to change or stop the outcome.</w:t>
      </w:r>
    </w:p>
    <w:p w14:paraId="16DE4CC1" w14:textId="77777777" w:rsidR="00C25943" w:rsidRDefault="00E305BF">
      <w:pPr>
        <w:spacing w:after="100" w:line="252" w:lineRule="auto"/>
      </w:pPr>
      <w:r>
        <w:t>Use cases involving admissions, grading, progression, academic misconduct, discipline, recruitment, performance management, termination, financial eligibility, identity verification, sensitive profiling, learner monitoring, or other consequential decisions must be escalated for the applicable academic/business, privacy/legal, ethics and technical assessments before deployment.</w:t>
      </w:r>
    </w:p>
    <w:p w14:paraId="693353B7" w14:textId="77777777" w:rsidR="00C25943" w:rsidRDefault="00E305BF">
      <w:pPr>
        <w:spacing w:after="100" w:line="252" w:lineRule="auto"/>
      </w:pPr>
      <w:r>
        <w:t>Vietnam’s current AI regulatory framework includes a statutory risk-based regime. Where a proposed BUV use may fall within a regulated or high-risk category, Legal/Privacy and the appropriate institutional owner must determine the applicable statutory route; an internal BUV label must not be treated as a substitute for legal classification.</w:t>
      </w:r>
    </w:p>
    <w:p w14:paraId="711F77E2" w14:textId="01535231" w:rsidR="00C25943" w:rsidRDefault="00E305BF">
      <w:pPr>
        <w:pStyle w:val="Heading1"/>
        <w:spacing w:before="240" w:after="100"/>
      </w:pPr>
      <w:r>
        <w:t>VIII. PROCUREMENT, SUPPLIER, INTEGRATION AND LIFECYCLE CONTROLS</w:t>
      </w:r>
      <w:r w:rsidR="00BF49AB">
        <w:t>:</w:t>
      </w:r>
    </w:p>
    <w:p w14:paraId="5F470239" w14:textId="77777777" w:rsidR="00C25943" w:rsidRDefault="00E305BF">
      <w:pPr>
        <w:spacing w:after="100" w:line="252" w:lineRule="auto"/>
      </w:pPr>
      <w:r>
        <w:t>Paid procurement, enterprise licensing, institutional deployment or material integration of AI must follow BUV procurement, information-security, privacy/data-protection, legal and service-management requirements. Assessment should be proportionate but evidence-based.</w:t>
      </w:r>
    </w:p>
    <w:p w14:paraId="422D3EEA" w14:textId="77777777" w:rsidR="00C25943" w:rsidRDefault="00E305BF">
      <w:pPr>
        <w:pStyle w:val="ListParagraph"/>
        <w:spacing w:after="60"/>
        <w:ind w:left="360" w:hanging="230"/>
      </w:pPr>
      <w:r>
        <w:t>• Supplier assessment should consider terms of service, training/reuse of inputs, data locations and transfers, subprocessors, deletion/retention, incident obligations, intellectual-property terms, security controls, audit/assurance evidence, model-change practices, service continuity and exit arrangements.</w:t>
      </w:r>
    </w:p>
    <w:p w14:paraId="5CD37AA9" w14:textId="77777777" w:rsidR="00C25943" w:rsidRDefault="00E305BF">
      <w:pPr>
        <w:pStyle w:val="ListParagraph"/>
        <w:spacing w:after="60"/>
        <w:ind w:left="360" w:hanging="230"/>
      </w:pPr>
      <w:r>
        <w:t>• Production AI services must have a named owner, defined purpose, authorised users, permitted data, support route, review date and change triggers.</w:t>
      </w:r>
    </w:p>
    <w:p w14:paraId="38159590" w14:textId="77777777" w:rsidR="00C25943" w:rsidRDefault="00E305BF">
      <w:pPr>
        <w:pStyle w:val="ListParagraph"/>
        <w:spacing w:after="60"/>
        <w:ind w:left="360" w:hanging="230"/>
      </w:pPr>
      <w:r>
        <w:t>• Material changes to model capability, autonomous functions, integrations, data sources, vendor terms or intended purpose may require reassessment before continued use.</w:t>
      </w:r>
    </w:p>
    <w:p w14:paraId="2F178BEE" w14:textId="77777777" w:rsidR="00C25943" w:rsidRDefault="00E305BF">
      <w:pPr>
        <w:pStyle w:val="ListParagraph"/>
        <w:spacing w:after="60"/>
        <w:ind w:left="360" w:hanging="230"/>
      </w:pPr>
      <w:r>
        <w:lastRenderedPageBreak/>
        <w:t>• Decommissioning must address access removal, data export/deletion where required, contract closure, integration removal, record retention and user communication.</w:t>
      </w:r>
    </w:p>
    <w:p w14:paraId="35600267" w14:textId="7484E0AA" w:rsidR="00C25943" w:rsidRDefault="00E305BF">
      <w:pPr>
        <w:pStyle w:val="Heading1"/>
        <w:spacing w:before="240" w:after="100"/>
      </w:pPr>
      <w:r>
        <w:t>IX. ACCEPTABLE USE REQUIREMENTS</w:t>
      </w:r>
      <w:r w:rsidR="00BF49AB">
        <w:t>:</w:t>
      </w:r>
    </w:p>
    <w:p w14:paraId="3F48F432" w14:textId="77777777" w:rsidR="00C25943" w:rsidRDefault="00E305BF">
      <w:pPr>
        <w:spacing w:after="100" w:line="252" w:lineRule="auto"/>
      </w:pPr>
      <w:r>
        <w:t>Subject to the controls above and any more specific BUV rules, staff may use authorised AI services to support legitimate teaching, research and professional work. Typical permitted activities include drafting, summarising, translation, brainstorming, coding assistance, data analysis, administrative support, content preparation and research assistance where the information and use case are permitted for that service.</w:t>
      </w:r>
    </w:p>
    <w:p w14:paraId="6CCD06A4" w14:textId="77777777" w:rsidR="00C25943" w:rsidRDefault="00E305BF">
      <w:pPr>
        <w:spacing w:after="100" w:line="252" w:lineRule="auto"/>
      </w:pPr>
      <w:r>
        <w:t>Users remain responsible for checking factual accuracy, citations, calculations, bias, confidentiality, intellectual property, accessibility and appropriateness before relying on or sharing AI-generated material. Material outputs must be reviewed to the level appropriate to their impact.</w:t>
      </w:r>
    </w:p>
    <w:p w14:paraId="1084B1AD" w14:textId="28ABC2CF" w:rsidR="00C25943" w:rsidRDefault="00E305BF">
      <w:pPr>
        <w:pStyle w:val="Heading1"/>
        <w:spacing w:before="240" w:after="100"/>
      </w:pPr>
      <w:r>
        <w:t>X. PROHIBITED OR UNACCEPTABLE USE</w:t>
      </w:r>
      <w:r w:rsidR="00BF49AB">
        <w:t>:</w:t>
      </w:r>
    </w:p>
    <w:p w14:paraId="4DA0E322" w14:textId="77777777" w:rsidR="00C25943" w:rsidRDefault="00E305BF">
      <w:pPr>
        <w:spacing w:after="100" w:line="252" w:lineRule="auto"/>
      </w:pPr>
      <w:r>
        <w:t>The following are prohibited unless an applicable law or formally approved BUV control explicitly permits the activity under a defined institutional process:</w:t>
      </w:r>
    </w:p>
    <w:p w14:paraId="30366C6A" w14:textId="77777777" w:rsidR="00C25943" w:rsidRDefault="00E305BF">
      <w:pPr>
        <w:pStyle w:val="ListParagraph"/>
        <w:spacing w:after="60"/>
        <w:ind w:left="360" w:hanging="230"/>
      </w:pPr>
      <w:r>
        <w:t>• Using AI to bypass BUV security, privacy, procurement, assessment, research-ethics, academic-integrity, records or access-control requirements.</w:t>
      </w:r>
    </w:p>
    <w:p w14:paraId="32E9E8EA" w14:textId="77777777" w:rsidR="00C25943" w:rsidRDefault="00E305BF">
      <w:pPr>
        <w:pStyle w:val="ListParagraph"/>
        <w:spacing w:after="60"/>
        <w:ind w:left="360" w:hanging="230"/>
      </w:pPr>
      <w:r>
        <w:t>• Entering credentials, secrets, security keys, restricted examination materials, or other information into an AI service that is not expressly approved to process it.</w:t>
      </w:r>
    </w:p>
    <w:p w14:paraId="52991AA5" w14:textId="77777777" w:rsidR="00C25943" w:rsidRDefault="00E305BF">
      <w:pPr>
        <w:pStyle w:val="ListParagraph"/>
        <w:spacing w:after="60"/>
        <w:ind w:left="360" w:hanging="230"/>
      </w:pPr>
      <w:r>
        <w:t>• Using consumer/unassessed AI services to process sensitive personal data, restricted institutional information or confidential research where no approved secure route exists.</w:t>
      </w:r>
    </w:p>
    <w:p w14:paraId="56A00A46" w14:textId="77777777" w:rsidR="00C25943" w:rsidRDefault="00E305BF">
      <w:pPr>
        <w:pStyle w:val="ListParagraph"/>
        <w:spacing w:after="60"/>
        <w:ind w:left="360" w:hanging="230"/>
      </w:pPr>
      <w:r>
        <w:t>• Deploying an AI system to make a consequential decision about a person without the required human review and institutional approval.</w:t>
      </w:r>
    </w:p>
    <w:p w14:paraId="54B71391" w14:textId="77777777" w:rsidR="00C25943" w:rsidRDefault="00E305BF">
      <w:pPr>
        <w:pStyle w:val="ListParagraph"/>
        <w:spacing w:after="60"/>
        <w:ind w:left="360" w:hanging="230"/>
      </w:pPr>
      <w:r>
        <w:t>• Connecting an unassessed AI agent, plugin, extension or API to BUV systems, repositories, mailboxes or privileged accounts.</w:t>
      </w:r>
    </w:p>
    <w:p w14:paraId="0E769059" w14:textId="77777777" w:rsidR="00C25943" w:rsidRDefault="00E305BF">
      <w:pPr>
        <w:pStyle w:val="ListParagraph"/>
        <w:spacing w:after="60"/>
        <w:ind w:left="360" w:hanging="230"/>
      </w:pPr>
      <w:r>
        <w:t>• Allowing autonomous AI to send, approve, delete, modify, publish, purchase or change access in BUV systems without approved controls and accountability.</w:t>
      </w:r>
    </w:p>
    <w:p w14:paraId="758C64AB" w14:textId="77777777" w:rsidR="00C25943" w:rsidRDefault="00E305BF">
      <w:pPr>
        <w:pStyle w:val="ListParagraph"/>
        <w:spacing w:after="60"/>
        <w:ind w:left="360" w:hanging="230"/>
      </w:pPr>
      <w:r>
        <w:t>• Intentionally using AI to generate unlawful, deceptive, discriminatory, harassing, malicious or rights-infringing content for BUV activity.</w:t>
      </w:r>
    </w:p>
    <w:p w14:paraId="25FEF91F" w14:textId="77777777" w:rsidR="00C25943" w:rsidRDefault="00E305BF">
      <w:pPr>
        <w:pStyle w:val="ListParagraph"/>
        <w:spacing w:after="60"/>
        <w:ind w:left="360" w:hanging="230"/>
      </w:pPr>
      <w:r>
        <w:t>• Attempting to conceal an AI-related incident, circumvent monitoring or defeat safeguards implemented under this Policy.</w:t>
      </w:r>
    </w:p>
    <w:p w14:paraId="41A7DD9F" w14:textId="605D578A" w:rsidR="00C25943" w:rsidRDefault="00E305BF">
      <w:pPr>
        <w:pStyle w:val="Heading1"/>
        <w:spacing w:before="240" w:after="100"/>
      </w:pPr>
      <w:r>
        <w:t>XI. INCIDENT REPORTING AND RESPONSE</w:t>
      </w:r>
      <w:r w:rsidR="00BF49AB">
        <w:t>:</w:t>
      </w:r>
    </w:p>
    <w:p w14:paraId="5FEE01EA" w14:textId="77777777" w:rsidR="00C25943" w:rsidRDefault="00E305BF">
      <w:pPr>
        <w:spacing w:after="100" w:line="252" w:lineRule="auto"/>
      </w:pPr>
      <w:r>
        <w:t>Actual or suspected AI-related information disclosure, unauthorised use, credential exposure, harmful autonomous action, significant incorrect output, vendor breach, policy violation or other material incident must be reported promptly through BUV’s established incident channel. ICT may take immediate technical containment action where necessary to protect systems, data or users.</w:t>
      </w:r>
    </w:p>
    <w:p w14:paraId="48CC5017" w14:textId="77777777" w:rsidR="00C25943" w:rsidRDefault="00E305BF">
      <w:pPr>
        <w:spacing w:after="100" w:line="252" w:lineRule="auto"/>
      </w:pPr>
      <w:r>
        <w:t>Technical containment does not replace required privacy, legal, academic, research, HR or business assessment. The relevant specialist functions must determine notification, investigation, academic continuity, disciplinary, contractual or regulatory actions within their authority. Good-faith reporting should be encouraged and handled through existing BUV procedures.</w:t>
      </w:r>
    </w:p>
    <w:p w14:paraId="61295347" w14:textId="77F428E3" w:rsidR="00C25943" w:rsidRDefault="00E305BF">
      <w:pPr>
        <w:pStyle w:val="Heading1"/>
        <w:spacing w:before="240" w:after="100"/>
      </w:pPr>
      <w:r>
        <w:t>XII. RECORDS, MONITORING AND ASSURANCE</w:t>
      </w:r>
      <w:r w:rsidR="00BF49AB">
        <w:t>:</w:t>
      </w:r>
    </w:p>
    <w:p w14:paraId="096CAB3B" w14:textId="77777777" w:rsidR="00C25943" w:rsidRDefault="00E305BF">
      <w:pPr>
        <w:spacing w:after="100" w:line="252" w:lineRule="auto"/>
      </w:pPr>
      <w:r>
        <w:t>BUV shall maintain sufficient evidence to demonstrate that material AI services and use cases have been appropriately assessed, authorised, configured, reviewed and, where necessary, suspended or retired. Records should be proportionate to risk and may include the service owner, purpose, users, provider/model, account type, integrations, permitted data, assessments, conditions, approvals, contract references, review dates, incidents and material changes.</w:t>
      </w:r>
    </w:p>
    <w:p w14:paraId="28F1A125" w14:textId="77777777" w:rsidR="00C25943" w:rsidRDefault="00E305BF">
      <w:pPr>
        <w:spacing w:after="100" w:line="252" w:lineRule="auto"/>
      </w:pPr>
      <w:r>
        <w:t>Monitoring must be proportionate, lawful and transparent. ICT monitoring of institutional AI services should focus on service security, availability, configuration, access and incident indicators. Routine technical administration must not create an unnecessary entitlement to inspect confidential academic or research content. Where content-level access is required, it must have a defined legal/operational basis and appropriate authorisation.</w:t>
      </w:r>
    </w:p>
    <w:p w14:paraId="58BFD072" w14:textId="6CD191E9" w:rsidR="00C25943" w:rsidRDefault="00E305BF">
      <w:pPr>
        <w:pStyle w:val="Heading1"/>
        <w:spacing w:before="240" w:after="100"/>
      </w:pPr>
      <w:r>
        <w:t>XIII. EXCEPTIONS AND RISK ACCEPTANCE</w:t>
      </w:r>
      <w:r w:rsidR="00BF49AB">
        <w:t>:</w:t>
      </w:r>
    </w:p>
    <w:p w14:paraId="51AC949B" w14:textId="77777777" w:rsidR="00C25943" w:rsidRDefault="00E305BF">
      <w:pPr>
        <w:spacing w:after="100" w:line="252" w:lineRule="auto"/>
      </w:pPr>
      <w:r>
        <w:t>Exceptions to mandatory technical or security controls must be documented, time-limited and approved by the function authorised to accept the relevant risk. An exception must state the reason, scope, compensating controls, owner, expiry/review date and conditions for withdrawal. No internal exception can waive law, regulation, contractual obligation or an authority that BUV does not possess.</w:t>
      </w:r>
    </w:p>
    <w:p w14:paraId="64CDED6D" w14:textId="43D3A394" w:rsidR="00C25943" w:rsidRDefault="00E305BF">
      <w:pPr>
        <w:pStyle w:val="Heading1"/>
        <w:spacing w:before="240" w:after="100"/>
      </w:pPr>
      <w:r>
        <w:lastRenderedPageBreak/>
        <w:t>XIV. TRAINING, AWARENESS AND COMPLIANCE</w:t>
      </w:r>
      <w:r w:rsidR="00556587">
        <w:t>:</w:t>
      </w:r>
    </w:p>
    <w:p w14:paraId="4B1A56BF" w14:textId="77777777" w:rsidR="00C25943" w:rsidRDefault="00E305BF">
      <w:pPr>
        <w:spacing w:after="100" w:line="252" w:lineRule="auto"/>
      </w:pPr>
      <w:r>
        <w:t>BUV shall provide role-appropriate AI awareness and training. ICT should provide technical/security guidance and support; academic and research functions should provide teaching, assessment, scholarly and research guidance; Privacy/Legal should provide specialist requirements where needed. Users are expected to complete mandatory training assigned to their role and to follow published conditions for institutional AI services.</w:t>
      </w:r>
    </w:p>
    <w:p w14:paraId="4C7EC9A8" w14:textId="77777777" w:rsidR="00C25943" w:rsidRDefault="00E305BF">
      <w:pPr>
        <w:spacing w:after="100" w:line="252" w:lineRule="auto"/>
      </w:pPr>
      <w:r>
        <w:t>Non-compliance will be managed through existing BUV governance, HR, academic, contractual and disciplinary processes as applicable. Responses should consider intent, impact, repeated behaviour, cooperation, and whether the person promptly reported and assisted with containment.</w:t>
      </w:r>
    </w:p>
    <w:p w14:paraId="370B1DEE" w14:textId="293735FD" w:rsidR="00C25943" w:rsidRDefault="00E305BF">
      <w:pPr>
        <w:pStyle w:val="Heading1"/>
        <w:spacing w:before="240" w:after="100"/>
      </w:pPr>
      <w:r>
        <w:t>XV. POLICY REVIEW AND CHANGE CONTROL</w:t>
      </w:r>
      <w:r w:rsidR="00556587">
        <w:t>:</w:t>
      </w:r>
    </w:p>
    <w:p w14:paraId="4087FC84" w14:textId="77777777" w:rsidR="00C25943" w:rsidRDefault="00E305BF">
      <w:pPr>
        <w:spacing w:after="100" w:line="252" w:lineRule="auto"/>
      </w:pPr>
      <w:r>
        <w:t>ICT shall coordinate review of this Policy at least annually, and earlier where there is material change in Vietnamese law, AI regulation, BUV governance, technology capability, supplier terms, security risk or a significant incident. Material amendments must identify the affected section, rationale, approving authority, approval date and effective date.</w:t>
      </w:r>
    </w:p>
    <w:p w14:paraId="3BEF319D" w14:textId="77777777" w:rsidR="00C25943" w:rsidRDefault="00E305BF">
      <w:pPr>
        <w:spacing w:after="100" w:line="252" w:lineRule="auto"/>
      </w:pPr>
      <w:r>
        <w:t>Supporting guidance and procedures may be updated more frequently to reflect operational changes, provided they remain consistent with this Policy and do not create new institutional powers or reduce mandatory controls without proper approval.</w:t>
      </w:r>
    </w:p>
    <w:p w14:paraId="624F2FD2" w14:textId="461F00DA" w:rsidR="00C25943" w:rsidRDefault="00E305BF">
      <w:pPr>
        <w:pStyle w:val="Heading1"/>
        <w:spacing w:before="240" w:after="100"/>
      </w:pPr>
      <w:r>
        <w:t>XVI. LEGAL AND STANDARDS BASIS — VERIFIED SEPTEMBER 2026</w:t>
      </w:r>
      <w:r w:rsidR="00556587">
        <w:t>:</w:t>
      </w:r>
    </w:p>
    <w:p w14:paraId="12EA78B0" w14:textId="77777777" w:rsidR="00C25943" w:rsidRDefault="00E305BF">
      <w:pPr>
        <w:spacing w:after="100" w:line="252" w:lineRule="auto"/>
      </w:pPr>
      <w:r>
        <w:t>This Policy should be applied consistently with applicable Vietnamese law and BUV policy. The following references were re-checked for this draft as at 24 September 2026. Formal institutional approval should include confirmation by BUV Legal/Privacy of applicability to BUV’s specific activities.</w:t>
      </w:r>
    </w:p>
    <w:p w14:paraId="4824B2E8" w14:textId="77777777" w:rsidR="00C25943" w:rsidRDefault="00E305BF">
      <w:pPr>
        <w:pStyle w:val="ListParagraph"/>
        <w:spacing w:after="60"/>
        <w:ind w:left="360" w:hanging="230"/>
      </w:pPr>
      <w:r>
        <w:t>• Law No. 134/2025/QH15 on Artificial Intelligence, effective 1 March 2026.</w:t>
      </w:r>
    </w:p>
    <w:p w14:paraId="42F0463F" w14:textId="77777777" w:rsidR="00C25943" w:rsidRDefault="00E305BF">
      <w:pPr>
        <w:pStyle w:val="ListParagraph"/>
        <w:spacing w:after="60"/>
        <w:ind w:left="360" w:hanging="230"/>
      </w:pPr>
      <w:r>
        <w:t>• Decree No. 142/2026/NĐ-CP detailing and implementing provisions of the Law on Artificial Intelligence, issued 30 April 2026.</w:t>
      </w:r>
    </w:p>
    <w:p w14:paraId="16C3C22B" w14:textId="77777777" w:rsidR="00C25943" w:rsidRDefault="00E305BF">
      <w:pPr>
        <w:pStyle w:val="ListParagraph"/>
        <w:spacing w:after="60"/>
        <w:ind w:left="360" w:hanging="230"/>
      </w:pPr>
      <w:r>
        <w:t>• Decision No. 33/2026/QĐ-TTg issuing the List of high-risk AI systems, effective 15 August 2026.</w:t>
      </w:r>
    </w:p>
    <w:p w14:paraId="6EFCB8F2" w14:textId="77777777" w:rsidR="00C25943" w:rsidRDefault="00E305BF">
      <w:pPr>
        <w:pStyle w:val="ListParagraph"/>
        <w:spacing w:after="60"/>
        <w:ind w:left="360" w:hanging="230"/>
      </w:pPr>
      <w:r>
        <w:t>• Law No. 91/2025/QH15 on Personal Data Protection, effective 1 January 2026, and Decree No. 356/2025/NĐ-CP implementing the Law.</w:t>
      </w:r>
    </w:p>
    <w:p w14:paraId="70500722" w14:textId="77777777" w:rsidR="00C25943" w:rsidRDefault="00E305BF">
      <w:pPr>
        <w:pStyle w:val="ListParagraph"/>
        <w:spacing w:after="60"/>
        <w:ind w:left="360" w:hanging="230"/>
      </w:pPr>
      <w:r>
        <w:t>• Law No. 116/2025/QH15 on Cybersecurity, effective 1 July 2026.</w:t>
      </w:r>
    </w:p>
    <w:p w14:paraId="492EA0DB" w14:textId="77777777" w:rsidR="00C25943" w:rsidRDefault="00E305BF">
      <w:pPr>
        <w:pStyle w:val="ListParagraph"/>
        <w:spacing w:after="60"/>
        <w:ind w:left="360" w:hanging="230"/>
      </w:pPr>
      <w:r>
        <w:t>• Other applicable education, employment, research, intellectual-property, consumer, records, contract and sector requirements.</w:t>
      </w:r>
    </w:p>
    <w:p w14:paraId="1CDDD4FE" w14:textId="77777777" w:rsidR="00C25943" w:rsidRDefault="00E305BF">
      <w:pPr>
        <w:spacing w:after="100" w:line="252" w:lineRule="auto"/>
      </w:pPr>
      <w:r>
        <w:t>Standards used as governance and control references (without implying certification): ISO/IEC 42001:2023 (AI management systems); ISO/IEC 42005:2025 (AI system impact assessment); ISO/IEC 23894:2023 (AI risk management); ISO/IEC 38507:2022 (governance implications of AI); ISO/IEC 27001:2022 (information security) and applicable privacy/cloud security standards.</w:t>
      </w:r>
    </w:p>
    <w:p w14:paraId="0540C92D" w14:textId="77777777" w:rsidR="00C25943" w:rsidRDefault="00E305BF">
      <w:pPr>
        <w:pStyle w:val="Heading1"/>
        <w:spacing w:before="240" w:after="100"/>
      </w:pPr>
      <w:r>
        <w:t>XVII. RELATED AND SUPPORTING DOCUMENTS</w:t>
      </w:r>
    </w:p>
    <w:tbl>
      <w:tblPr>
        <w:tblStyle w:val="TableGrid"/>
        <w:tblW w:w="0" w:type="auto"/>
        <w:jc w:val="center"/>
        <w:tblLook w:val="04A0" w:firstRow="1" w:lastRow="0" w:firstColumn="1" w:lastColumn="0" w:noHBand="0" w:noVBand="1"/>
      </w:tblPr>
      <w:tblGrid>
        <w:gridCol w:w="3038"/>
        <w:gridCol w:w="5978"/>
      </w:tblGrid>
      <w:tr w:rsidR="00C25943" w14:paraId="6E691633" w14:textId="77777777">
        <w:trPr>
          <w:tblHeader/>
          <w:jc w:val="center"/>
        </w:trPr>
        <w:tc>
          <w:tcPr>
            <w:tcW w:w="3168" w:type="dxa"/>
            <w:shd w:val="clear" w:color="auto" w:fill="D9EAF2"/>
            <w:vAlign w:val="center"/>
          </w:tcPr>
          <w:p w14:paraId="21727FF8" w14:textId="77777777" w:rsidR="00C25943" w:rsidRDefault="00E305BF">
            <w:r>
              <w:rPr>
                <w:b/>
              </w:rPr>
              <w:t>Document / control</w:t>
            </w:r>
          </w:p>
        </w:tc>
        <w:tc>
          <w:tcPr>
            <w:tcW w:w="6480" w:type="dxa"/>
            <w:shd w:val="clear" w:color="auto" w:fill="D9EAF2"/>
            <w:vAlign w:val="center"/>
          </w:tcPr>
          <w:p w14:paraId="40A3FE8C" w14:textId="77777777" w:rsidR="00C25943" w:rsidRDefault="00E305BF">
            <w:r>
              <w:rPr>
                <w:b/>
              </w:rPr>
              <w:t>Relationship to this Policy</w:t>
            </w:r>
          </w:p>
        </w:tc>
      </w:tr>
      <w:tr w:rsidR="00C25943" w14:paraId="3AC28CAC" w14:textId="77777777">
        <w:trPr>
          <w:jc w:val="center"/>
        </w:trPr>
        <w:tc>
          <w:tcPr>
            <w:tcW w:w="3168" w:type="dxa"/>
            <w:vAlign w:val="center"/>
          </w:tcPr>
          <w:p w14:paraId="50859E75" w14:textId="77777777" w:rsidR="00C25943" w:rsidRDefault="00E305BF">
            <w:r>
              <w:t>BUV AI Usage Guideline</w:t>
            </w:r>
          </w:p>
        </w:tc>
        <w:tc>
          <w:tcPr>
            <w:tcW w:w="6480" w:type="dxa"/>
            <w:vAlign w:val="center"/>
          </w:tcPr>
          <w:p w14:paraId="311CD921" w14:textId="77777777" w:rsidR="00C25943" w:rsidRDefault="00E305BF">
            <w:r>
              <w:t>Subordinate staff-facing guidance explaining practical responsible-use routes and examples. Must remain consistent with this Policy.</w:t>
            </w:r>
          </w:p>
        </w:tc>
      </w:tr>
      <w:tr w:rsidR="00C25943" w14:paraId="112BB933" w14:textId="77777777">
        <w:trPr>
          <w:jc w:val="center"/>
        </w:trPr>
        <w:tc>
          <w:tcPr>
            <w:tcW w:w="3168" w:type="dxa"/>
            <w:vAlign w:val="center"/>
          </w:tcPr>
          <w:p w14:paraId="549B797A" w14:textId="77777777" w:rsidR="00C25943" w:rsidRDefault="00E305BF">
            <w:r>
              <w:t>ICT AI service assessment/onboarding procedure</w:t>
            </w:r>
          </w:p>
        </w:tc>
        <w:tc>
          <w:tcPr>
            <w:tcW w:w="6480" w:type="dxa"/>
            <w:vAlign w:val="center"/>
          </w:tcPr>
          <w:p w14:paraId="6B9012BC" w14:textId="77777777" w:rsidR="00C25943" w:rsidRDefault="00E305BF">
            <w:r>
              <w:t>Operational technical/security procedure for service evaluation, configuration, integration, piloting, review and decommissioning.</w:t>
            </w:r>
          </w:p>
        </w:tc>
      </w:tr>
      <w:tr w:rsidR="00C25943" w14:paraId="231D7D4B" w14:textId="77777777">
        <w:trPr>
          <w:jc w:val="center"/>
        </w:trPr>
        <w:tc>
          <w:tcPr>
            <w:tcW w:w="3168" w:type="dxa"/>
            <w:vAlign w:val="center"/>
          </w:tcPr>
          <w:p w14:paraId="556C9997" w14:textId="77777777" w:rsidR="00C25943" w:rsidRDefault="00E305BF">
            <w:r>
              <w:t>ICT-FRM-001 AI Evaluation Form</w:t>
            </w:r>
          </w:p>
        </w:tc>
        <w:tc>
          <w:tcPr>
            <w:tcW w:w="6480" w:type="dxa"/>
            <w:vAlign w:val="center"/>
          </w:tcPr>
          <w:p w14:paraId="424D1B4F" w14:textId="77777777" w:rsidR="00C25943" w:rsidRDefault="00E305BF">
            <w:r>
              <w:t>Evidence-based assessment record supporting technical, privacy, impact and institutional review.</w:t>
            </w:r>
          </w:p>
        </w:tc>
      </w:tr>
      <w:tr w:rsidR="00C25943" w14:paraId="45312336" w14:textId="77777777">
        <w:trPr>
          <w:jc w:val="center"/>
        </w:trPr>
        <w:tc>
          <w:tcPr>
            <w:tcW w:w="3168" w:type="dxa"/>
            <w:vAlign w:val="center"/>
          </w:tcPr>
          <w:p w14:paraId="3D5C66AF" w14:textId="77777777" w:rsidR="00C25943" w:rsidRDefault="00E305BF">
            <w:r>
              <w:t>BUV Information Classification Policy / Standard</w:t>
            </w:r>
          </w:p>
        </w:tc>
        <w:tc>
          <w:tcPr>
            <w:tcW w:w="6480" w:type="dxa"/>
            <w:vAlign w:val="center"/>
          </w:tcPr>
          <w:p w14:paraId="1CDC2982" w14:textId="77777777" w:rsidR="00C25943" w:rsidRDefault="00E305BF">
            <w:r>
              <w:t>Authoritative classification of BUV information.</w:t>
            </w:r>
          </w:p>
        </w:tc>
      </w:tr>
      <w:tr w:rsidR="00C25943" w14:paraId="5F981816" w14:textId="77777777">
        <w:trPr>
          <w:jc w:val="center"/>
        </w:trPr>
        <w:tc>
          <w:tcPr>
            <w:tcW w:w="3168" w:type="dxa"/>
            <w:vAlign w:val="center"/>
          </w:tcPr>
          <w:p w14:paraId="0920B74C" w14:textId="77777777" w:rsidR="00C25943" w:rsidRDefault="00E305BF">
            <w:r>
              <w:t>Privacy / Personal Data Protection arrangements</w:t>
            </w:r>
          </w:p>
        </w:tc>
        <w:tc>
          <w:tcPr>
            <w:tcW w:w="6480" w:type="dxa"/>
            <w:vAlign w:val="center"/>
          </w:tcPr>
          <w:p w14:paraId="47248892" w14:textId="77777777" w:rsidR="00C25943" w:rsidRDefault="00E305BF">
            <w:r>
              <w:t>Lawful processing, privacy assessment, rights, cross-border processing and breach obligations.</w:t>
            </w:r>
          </w:p>
        </w:tc>
      </w:tr>
      <w:tr w:rsidR="00C25943" w14:paraId="7FEB94CB" w14:textId="77777777">
        <w:trPr>
          <w:jc w:val="center"/>
        </w:trPr>
        <w:tc>
          <w:tcPr>
            <w:tcW w:w="3168" w:type="dxa"/>
            <w:vAlign w:val="center"/>
          </w:tcPr>
          <w:p w14:paraId="68E0F608" w14:textId="77777777" w:rsidR="00C25943" w:rsidRDefault="00E305BF">
            <w:r>
              <w:t>Academic Integrity / Assessment requirements</w:t>
            </w:r>
          </w:p>
        </w:tc>
        <w:tc>
          <w:tcPr>
            <w:tcW w:w="6480" w:type="dxa"/>
            <w:vAlign w:val="center"/>
          </w:tcPr>
          <w:p w14:paraId="194B7C48" w14:textId="77777777" w:rsidR="00C25943" w:rsidRDefault="00E305BF">
            <w:r>
              <w:t>Permitted student AI use, assessment design, academic integrity and scholarly disclosure.</w:t>
            </w:r>
          </w:p>
        </w:tc>
      </w:tr>
      <w:tr w:rsidR="00C25943" w14:paraId="4D4109D9" w14:textId="77777777">
        <w:trPr>
          <w:jc w:val="center"/>
        </w:trPr>
        <w:tc>
          <w:tcPr>
            <w:tcW w:w="3168" w:type="dxa"/>
            <w:vAlign w:val="center"/>
          </w:tcPr>
          <w:p w14:paraId="0BB82A42" w14:textId="77777777" w:rsidR="00C25943" w:rsidRDefault="00E305BF">
            <w:r>
              <w:t>Research Ethics / Research Integrity requirements</w:t>
            </w:r>
          </w:p>
        </w:tc>
        <w:tc>
          <w:tcPr>
            <w:tcW w:w="6480" w:type="dxa"/>
            <w:vAlign w:val="center"/>
          </w:tcPr>
          <w:p w14:paraId="3339D8DB" w14:textId="77777777" w:rsidR="00C25943" w:rsidRDefault="00E305BF">
            <w:r>
              <w:t>Research confidentiality, participant protection, research ethics and integrity.</w:t>
            </w:r>
          </w:p>
        </w:tc>
      </w:tr>
      <w:tr w:rsidR="00C25943" w14:paraId="4C85C773" w14:textId="77777777">
        <w:trPr>
          <w:jc w:val="center"/>
        </w:trPr>
        <w:tc>
          <w:tcPr>
            <w:tcW w:w="3168" w:type="dxa"/>
            <w:vAlign w:val="center"/>
          </w:tcPr>
          <w:p w14:paraId="53239DD3" w14:textId="77777777" w:rsidR="00C25943" w:rsidRDefault="00E305BF">
            <w:r>
              <w:t>Information Security / Incident Management</w:t>
            </w:r>
          </w:p>
        </w:tc>
        <w:tc>
          <w:tcPr>
            <w:tcW w:w="6480" w:type="dxa"/>
            <w:vAlign w:val="center"/>
          </w:tcPr>
          <w:p w14:paraId="186A993F" w14:textId="77777777" w:rsidR="00C25943" w:rsidRDefault="00E305BF">
            <w:r>
              <w:t>Identity, access, endpoints, integrations, logging, monitoring, vulnerability and incident response.</w:t>
            </w:r>
          </w:p>
        </w:tc>
      </w:tr>
      <w:tr w:rsidR="00C25943" w14:paraId="5D4C6889" w14:textId="77777777">
        <w:trPr>
          <w:jc w:val="center"/>
        </w:trPr>
        <w:tc>
          <w:tcPr>
            <w:tcW w:w="3168" w:type="dxa"/>
            <w:vAlign w:val="center"/>
          </w:tcPr>
          <w:p w14:paraId="43415E25" w14:textId="77777777" w:rsidR="00C25943" w:rsidRDefault="00E305BF">
            <w:r>
              <w:t>Procurement / Supplier Risk Management</w:t>
            </w:r>
          </w:p>
        </w:tc>
        <w:tc>
          <w:tcPr>
            <w:tcW w:w="6480" w:type="dxa"/>
            <w:vAlign w:val="center"/>
          </w:tcPr>
          <w:p w14:paraId="3DC58357" w14:textId="77777777" w:rsidR="00C25943" w:rsidRDefault="00E305BF">
            <w:r>
              <w:t>Commercial approval, contract, licensing, supplier due diligence and third-party risk.</w:t>
            </w:r>
          </w:p>
        </w:tc>
      </w:tr>
      <w:tr w:rsidR="00C25943" w14:paraId="180BCF5E" w14:textId="77777777">
        <w:trPr>
          <w:jc w:val="center"/>
        </w:trPr>
        <w:tc>
          <w:tcPr>
            <w:tcW w:w="3168" w:type="dxa"/>
            <w:vAlign w:val="center"/>
          </w:tcPr>
          <w:p w14:paraId="575337FE" w14:textId="77777777" w:rsidR="00C25943" w:rsidRDefault="00E305BF">
            <w:r>
              <w:t>Records Retention Schedule</w:t>
            </w:r>
          </w:p>
        </w:tc>
        <w:tc>
          <w:tcPr>
            <w:tcW w:w="6480" w:type="dxa"/>
            <w:vAlign w:val="center"/>
          </w:tcPr>
          <w:p w14:paraId="2E97FE84" w14:textId="77777777" w:rsidR="00C25943" w:rsidRDefault="00E305BF">
            <w:r>
              <w:t>Retention, legal hold and disposal requirements.</w:t>
            </w:r>
          </w:p>
        </w:tc>
      </w:tr>
      <w:tr w:rsidR="00C25943" w14:paraId="78A23876" w14:textId="77777777">
        <w:trPr>
          <w:jc w:val="center"/>
        </w:trPr>
        <w:tc>
          <w:tcPr>
            <w:tcW w:w="3168" w:type="dxa"/>
            <w:vAlign w:val="center"/>
          </w:tcPr>
          <w:p w14:paraId="181F1295" w14:textId="77777777" w:rsidR="00C25943" w:rsidRDefault="00E305BF">
            <w:r>
              <w:t>Intellectual Property Policy</w:t>
            </w:r>
          </w:p>
        </w:tc>
        <w:tc>
          <w:tcPr>
            <w:tcW w:w="6480" w:type="dxa"/>
            <w:vAlign w:val="center"/>
          </w:tcPr>
          <w:p w14:paraId="7B1891E7" w14:textId="77777777" w:rsidR="00C25943" w:rsidRDefault="00E305BF">
            <w:r>
              <w:t>Ownership, licensing, confidentiality, authorship and commercialisation.</w:t>
            </w:r>
          </w:p>
        </w:tc>
      </w:tr>
    </w:tbl>
    <w:p w14:paraId="025CF64A" w14:textId="77777777" w:rsidR="00C25943" w:rsidRDefault="00C25943">
      <w:pPr>
        <w:spacing w:after="20"/>
      </w:pPr>
    </w:p>
    <w:p w14:paraId="43612C41" w14:textId="2F3E08CF" w:rsidR="00C25943" w:rsidRDefault="00E305BF">
      <w:pPr>
        <w:pStyle w:val="Heading1"/>
        <w:spacing w:before="240" w:after="100"/>
      </w:pPr>
      <w:r>
        <w:lastRenderedPageBreak/>
        <w:t>APPENDIX A — POLICY DECISION RIGHTS AT A GLANCE</w:t>
      </w:r>
      <w:r w:rsidR="00556587">
        <w:t>:</w:t>
      </w:r>
    </w:p>
    <w:tbl>
      <w:tblPr>
        <w:tblStyle w:val="TableGrid"/>
        <w:tblW w:w="0" w:type="auto"/>
        <w:jc w:val="center"/>
        <w:tblLook w:val="04A0" w:firstRow="1" w:lastRow="0" w:firstColumn="1" w:lastColumn="0" w:noHBand="0" w:noVBand="1"/>
      </w:tblPr>
      <w:tblGrid>
        <w:gridCol w:w="3176"/>
        <w:gridCol w:w="2669"/>
        <w:gridCol w:w="3171"/>
      </w:tblGrid>
      <w:tr w:rsidR="00C25943" w14:paraId="2A80186F" w14:textId="77777777">
        <w:trPr>
          <w:tblHeader/>
          <w:jc w:val="center"/>
        </w:trPr>
        <w:tc>
          <w:tcPr>
            <w:tcW w:w="3456" w:type="dxa"/>
            <w:shd w:val="clear" w:color="auto" w:fill="D9EAF2"/>
            <w:vAlign w:val="center"/>
          </w:tcPr>
          <w:p w14:paraId="01EB9C60" w14:textId="77777777" w:rsidR="00C25943" w:rsidRDefault="00E305BF">
            <w:r>
              <w:rPr>
                <w:b/>
              </w:rPr>
              <w:t>Question</w:t>
            </w:r>
          </w:p>
        </w:tc>
        <w:tc>
          <w:tcPr>
            <w:tcW w:w="2880" w:type="dxa"/>
            <w:shd w:val="clear" w:color="auto" w:fill="D9EAF2"/>
            <w:vAlign w:val="center"/>
          </w:tcPr>
          <w:p w14:paraId="46DAC26D" w14:textId="77777777" w:rsidR="00C25943" w:rsidRDefault="00E305BF">
            <w:r>
              <w:rPr>
                <w:b/>
              </w:rPr>
              <w:t>Primary decision owner</w:t>
            </w:r>
          </w:p>
        </w:tc>
        <w:tc>
          <w:tcPr>
            <w:tcW w:w="3312" w:type="dxa"/>
            <w:shd w:val="clear" w:color="auto" w:fill="D9EAF2"/>
            <w:vAlign w:val="center"/>
          </w:tcPr>
          <w:p w14:paraId="5161A83D" w14:textId="77777777" w:rsidR="00C25943" w:rsidRDefault="00E305BF">
            <w:r>
              <w:rPr>
                <w:b/>
              </w:rPr>
              <w:t>Required support where triggered</w:t>
            </w:r>
          </w:p>
        </w:tc>
      </w:tr>
      <w:tr w:rsidR="00C25943" w14:paraId="73D22978" w14:textId="77777777">
        <w:trPr>
          <w:jc w:val="center"/>
        </w:trPr>
        <w:tc>
          <w:tcPr>
            <w:tcW w:w="3456" w:type="dxa"/>
            <w:vAlign w:val="center"/>
          </w:tcPr>
          <w:p w14:paraId="0F361FDC" w14:textId="77777777" w:rsidR="00C25943" w:rsidRDefault="00E305BF">
            <w:r>
              <w:t>Is the use educationally or professionally worthwhile?</w:t>
            </w:r>
          </w:p>
        </w:tc>
        <w:tc>
          <w:tcPr>
            <w:tcW w:w="2880" w:type="dxa"/>
            <w:vAlign w:val="center"/>
          </w:tcPr>
          <w:p w14:paraId="2A7103FB" w14:textId="77777777" w:rsidR="00C25943" w:rsidRDefault="00E305BF">
            <w:r>
              <w:t>Academic / business owner</w:t>
            </w:r>
          </w:p>
        </w:tc>
        <w:tc>
          <w:tcPr>
            <w:tcW w:w="3312" w:type="dxa"/>
            <w:vAlign w:val="center"/>
          </w:tcPr>
          <w:p w14:paraId="4CB26B7B" w14:textId="77777777" w:rsidR="00C25943" w:rsidRDefault="00E305BF">
            <w:r>
              <w:t>AI governance, users and other stakeholders as appropriate</w:t>
            </w:r>
          </w:p>
        </w:tc>
      </w:tr>
      <w:tr w:rsidR="00C25943" w14:paraId="2CE35CB1" w14:textId="77777777">
        <w:trPr>
          <w:jc w:val="center"/>
        </w:trPr>
        <w:tc>
          <w:tcPr>
            <w:tcW w:w="3456" w:type="dxa"/>
            <w:vAlign w:val="center"/>
          </w:tcPr>
          <w:p w14:paraId="608DCDFD" w14:textId="77777777" w:rsidR="00C25943" w:rsidRDefault="00E305BF">
            <w:r>
              <w:t>Is the technology technically secure and supportable?</w:t>
            </w:r>
          </w:p>
        </w:tc>
        <w:tc>
          <w:tcPr>
            <w:tcW w:w="2880" w:type="dxa"/>
            <w:vAlign w:val="center"/>
          </w:tcPr>
          <w:p w14:paraId="3B24443E" w14:textId="77777777" w:rsidR="00C25943" w:rsidRDefault="00E305BF">
            <w:r>
              <w:t>ICT / Cybersecurity</w:t>
            </w:r>
          </w:p>
        </w:tc>
        <w:tc>
          <w:tcPr>
            <w:tcW w:w="3312" w:type="dxa"/>
            <w:vAlign w:val="center"/>
          </w:tcPr>
          <w:p w14:paraId="795AD67C" w14:textId="77777777" w:rsidR="00C25943" w:rsidRDefault="00E305BF">
            <w:r>
              <w:t>Supplier, service owner, Procurement</w:t>
            </w:r>
          </w:p>
        </w:tc>
      </w:tr>
      <w:tr w:rsidR="00C25943" w14:paraId="0AE056A6" w14:textId="77777777">
        <w:trPr>
          <w:jc w:val="center"/>
        </w:trPr>
        <w:tc>
          <w:tcPr>
            <w:tcW w:w="3456" w:type="dxa"/>
            <w:vAlign w:val="center"/>
          </w:tcPr>
          <w:p w14:paraId="2967BFB4" w14:textId="77777777" w:rsidR="00C25943" w:rsidRDefault="00E305BF">
            <w:r>
              <w:t>May the intended personal data be processed?</w:t>
            </w:r>
          </w:p>
        </w:tc>
        <w:tc>
          <w:tcPr>
            <w:tcW w:w="2880" w:type="dxa"/>
            <w:vAlign w:val="center"/>
          </w:tcPr>
          <w:p w14:paraId="0C322839" w14:textId="77777777" w:rsidR="00C25943" w:rsidRDefault="00E305BF">
            <w:r>
              <w:t>Privacy / Data Protection / Legal</w:t>
            </w:r>
          </w:p>
        </w:tc>
        <w:tc>
          <w:tcPr>
            <w:tcW w:w="3312" w:type="dxa"/>
            <w:vAlign w:val="center"/>
          </w:tcPr>
          <w:p w14:paraId="7B3DBF49" w14:textId="77777777" w:rsidR="00C25943" w:rsidRDefault="00E305BF">
            <w:r>
              <w:t>ICT, data owner, business/academic sponsor</w:t>
            </w:r>
          </w:p>
        </w:tc>
      </w:tr>
      <w:tr w:rsidR="00C25943" w14:paraId="77E18787" w14:textId="77777777">
        <w:trPr>
          <w:jc w:val="center"/>
        </w:trPr>
        <w:tc>
          <w:tcPr>
            <w:tcW w:w="3456" w:type="dxa"/>
            <w:vAlign w:val="center"/>
          </w:tcPr>
          <w:p w14:paraId="5B68CCFC" w14:textId="77777777" w:rsidR="00C25943" w:rsidRDefault="00E305BF">
            <w:r>
              <w:t>Is research ethics approval required?</w:t>
            </w:r>
          </w:p>
        </w:tc>
        <w:tc>
          <w:tcPr>
            <w:tcW w:w="2880" w:type="dxa"/>
            <w:vAlign w:val="center"/>
          </w:tcPr>
          <w:p w14:paraId="5E8CBF9A" w14:textId="77777777" w:rsidR="00C25943" w:rsidRDefault="00E305BF">
            <w:r>
              <w:t>Research / Ethics</w:t>
            </w:r>
          </w:p>
        </w:tc>
        <w:tc>
          <w:tcPr>
            <w:tcW w:w="3312" w:type="dxa"/>
            <w:vAlign w:val="center"/>
          </w:tcPr>
          <w:p w14:paraId="589F71E7" w14:textId="77777777" w:rsidR="00C25943" w:rsidRDefault="00E305BF">
            <w:r>
              <w:t>Research sponsor, Privacy/Legal, ICT where technology is involved</w:t>
            </w:r>
          </w:p>
        </w:tc>
      </w:tr>
      <w:tr w:rsidR="00C25943" w14:paraId="48A149A0" w14:textId="77777777">
        <w:trPr>
          <w:jc w:val="center"/>
        </w:trPr>
        <w:tc>
          <w:tcPr>
            <w:tcW w:w="3456" w:type="dxa"/>
            <w:vAlign w:val="center"/>
          </w:tcPr>
          <w:p w14:paraId="2219335E" w14:textId="77777777" w:rsidR="00C25943" w:rsidRDefault="00E305BF">
            <w:r>
              <w:t>May a paid institutional service be procured?</w:t>
            </w:r>
          </w:p>
        </w:tc>
        <w:tc>
          <w:tcPr>
            <w:tcW w:w="2880" w:type="dxa"/>
            <w:vAlign w:val="center"/>
          </w:tcPr>
          <w:p w14:paraId="3BD45139" w14:textId="77777777" w:rsidR="00C25943" w:rsidRDefault="00E305BF">
            <w:r>
              <w:t>Delegated procurement / budget authority</w:t>
            </w:r>
          </w:p>
        </w:tc>
        <w:tc>
          <w:tcPr>
            <w:tcW w:w="3312" w:type="dxa"/>
            <w:vAlign w:val="center"/>
          </w:tcPr>
          <w:p w14:paraId="5B3CDAC3" w14:textId="77777777" w:rsidR="00C25943" w:rsidRDefault="00E305BF">
            <w:r>
              <w:t>ICT technical assurance, Legal/Privacy, business/academic sponsor</w:t>
            </w:r>
          </w:p>
        </w:tc>
      </w:tr>
      <w:tr w:rsidR="00C25943" w14:paraId="40D9C90D" w14:textId="77777777">
        <w:trPr>
          <w:jc w:val="center"/>
        </w:trPr>
        <w:tc>
          <w:tcPr>
            <w:tcW w:w="3456" w:type="dxa"/>
            <w:vAlign w:val="center"/>
          </w:tcPr>
          <w:p w14:paraId="6E925058" w14:textId="77777777" w:rsidR="00C25943" w:rsidRDefault="00E305BF">
            <w:r>
              <w:t>Who accepts residual institutional risk?</w:t>
            </w:r>
          </w:p>
        </w:tc>
        <w:tc>
          <w:tcPr>
            <w:tcW w:w="2880" w:type="dxa"/>
            <w:vAlign w:val="center"/>
          </w:tcPr>
          <w:p w14:paraId="7E213C45" w14:textId="77777777" w:rsidR="00C25943" w:rsidRDefault="00E305BF">
            <w:r>
              <w:t>Appropriately delegated BUV risk owner</w:t>
            </w:r>
          </w:p>
        </w:tc>
        <w:tc>
          <w:tcPr>
            <w:tcW w:w="3312" w:type="dxa"/>
            <w:vAlign w:val="center"/>
          </w:tcPr>
          <w:p w14:paraId="5C123074" w14:textId="77777777" w:rsidR="00C25943" w:rsidRDefault="00E305BF">
            <w:r>
              <w:t>Evidence/recommendations from relevant specialist functions</w:t>
            </w:r>
          </w:p>
        </w:tc>
      </w:tr>
      <w:tr w:rsidR="00C25943" w14:paraId="36E4FEA8" w14:textId="77777777">
        <w:trPr>
          <w:jc w:val="center"/>
        </w:trPr>
        <w:tc>
          <w:tcPr>
            <w:tcW w:w="3456" w:type="dxa"/>
            <w:vAlign w:val="center"/>
          </w:tcPr>
          <w:p w14:paraId="7E02DBAC" w14:textId="77777777" w:rsidR="00C25943" w:rsidRDefault="00E305BF">
            <w:r>
              <w:t>Who performs urgent technical containment?</w:t>
            </w:r>
          </w:p>
        </w:tc>
        <w:tc>
          <w:tcPr>
            <w:tcW w:w="2880" w:type="dxa"/>
            <w:vAlign w:val="center"/>
          </w:tcPr>
          <w:p w14:paraId="4EB26186" w14:textId="77777777" w:rsidR="00C25943" w:rsidRDefault="00E305BF">
            <w:r>
              <w:t>ICT / Cybersecurity</w:t>
            </w:r>
          </w:p>
        </w:tc>
        <w:tc>
          <w:tcPr>
            <w:tcW w:w="3312" w:type="dxa"/>
            <w:vAlign w:val="center"/>
          </w:tcPr>
          <w:p w14:paraId="2C543E41" w14:textId="77777777" w:rsidR="00C25943" w:rsidRDefault="00E305BF">
            <w:r>
              <w:t>Incident owner, Privacy/Legal, Academic/Research/HR as relevant</w:t>
            </w:r>
          </w:p>
        </w:tc>
      </w:tr>
    </w:tbl>
    <w:p w14:paraId="0A0A51F8" w14:textId="77777777" w:rsidR="00C25943" w:rsidRDefault="00C25943">
      <w:pPr>
        <w:spacing w:after="20"/>
      </w:pPr>
    </w:p>
    <w:p w14:paraId="48F74FE4" w14:textId="2FA38550" w:rsidR="00C25943" w:rsidRDefault="00E305BF">
      <w:pPr>
        <w:pStyle w:val="Heading1"/>
        <w:spacing w:before="240" w:after="100"/>
      </w:pPr>
      <w:r>
        <w:t>APPENDIX B — MINIMUM ASSURANCE TRIGGERS</w:t>
      </w:r>
      <w:r w:rsidR="00556587">
        <w:t>:</w:t>
      </w:r>
    </w:p>
    <w:p w14:paraId="52C0AB87" w14:textId="77777777" w:rsidR="00C25943" w:rsidRDefault="00E305BF">
      <w:pPr>
        <w:spacing w:after="100" w:line="252" w:lineRule="auto"/>
      </w:pPr>
      <w:r>
        <w:t>A formal assessment or reassessment is normally required where one or more of the following applies:</w:t>
      </w:r>
    </w:p>
    <w:p w14:paraId="448141BE" w14:textId="77777777" w:rsidR="00C25943" w:rsidRDefault="00E305BF">
      <w:pPr>
        <w:pStyle w:val="ListParagraph"/>
        <w:spacing w:after="60"/>
        <w:ind w:left="360" w:hanging="230"/>
      </w:pPr>
      <w:r>
        <w:t>• Confidential, Restricted, sensitive personal or regulated information will be processed.</w:t>
      </w:r>
    </w:p>
    <w:p w14:paraId="2DC3FED9" w14:textId="77777777" w:rsidR="00C25943" w:rsidRDefault="00E305BF">
      <w:pPr>
        <w:pStyle w:val="ListParagraph"/>
        <w:spacing w:after="60"/>
        <w:ind w:left="360" w:hanging="230"/>
      </w:pPr>
      <w:r>
        <w:t>• The AI service connects to BUV systems, data stores, APIs, email, learning platforms or privileged accounts.</w:t>
      </w:r>
    </w:p>
    <w:p w14:paraId="5314A917" w14:textId="77777777" w:rsidR="00C25943" w:rsidRDefault="00E305BF">
      <w:pPr>
        <w:pStyle w:val="ListParagraph"/>
        <w:spacing w:after="60"/>
        <w:ind w:left="360" w:hanging="230"/>
      </w:pPr>
      <w:r>
        <w:t>• The AI output materially affects a student, applicant, staff member or other individual.</w:t>
      </w:r>
    </w:p>
    <w:p w14:paraId="5AA7C486" w14:textId="77777777" w:rsidR="00C25943" w:rsidRDefault="00E305BF">
      <w:pPr>
        <w:pStyle w:val="ListParagraph"/>
        <w:spacing w:after="60"/>
        <w:ind w:left="360" w:hanging="230"/>
      </w:pPr>
      <w:r>
        <w:t>• The system can act autonomously or semi-autonomously in BUV systems.</w:t>
      </w:r>
    </w:p>
    <w:p w14:paraId="712B3B78" w14:textId="77777777" w:rsidR="00C25943" w:rsidRDefault="00E305BF">
      <w:pPr>
        <w:pStyle w:val="ListParagraph"/>
        <w:spacing w:after="60"/>
        <w:ind w:left="360" w:hanging="230"/>
      </w:pPr>
      <w:r>
        <w:t>• The service is procured institutionally, deployed to a group, embedded in a business process or relied upon for a material function.</w:t>
      </w:r>
    </w:p>
    <w:p w14:paraId="22954EED" w14:textId="77777777" w:rsidR="00C25943" w:rsidRDefault="00E305BF">
      <w:pPr>
        <w:pStyle w:val="ListParagraph"/>
        <w:spacing w:after="60"/>
        <w:ind w:left="360" w:hanging="230"/>
      </w:pPr>
      <w:r>
        <w:t>• The use may fall within a statutory high-risk category or otherwise trigger an impact/privacy/ethics assessment.</w:t>
      </w:r>
    </w:p>
    <w:p w14:paraId="550195F7" w14:textId="77777777" w:rsidR="00C25943" w:rsidRDefault="00E305BF">
      <w:pPr>
        <w:pStyle w:val="ListParagraph"/>
        <w:spacing w:after="60"/>
        <w:ind w:left="360" w:hanging="230"/>
      </w:pPr>
      <w:r>
        <w:t>• The vendor, model, feature, data flow, integration or intended purpose changes materially after approval.</w:t>
      </w:r>
    </w:p>
    <w:p w14:paraId="38E30397" w14:textId="2E709226" w:rsidR="00C25943" w:rsidRDefault="00E305BF">
      <w:pPr>
        <w:pStyle w:val="Heading1"/>
        <w:spacing w:before="240" w:after="100"/>
      </w:pPr>
      <w:r>
        <w:t>APPENDIX C — WHY THIS IS A POLICY, NOT ANOTHER GUIDELINE</w:t>
      </w:r>
      <w:r w:rsidR="00556587">
        <w:t>:</w:t>
      </w:r>
    </w:p>
    <w:tbl>
      <w:tblPr>
        <w:tblStyle w:val="TableGrid"/>
        <w:tblW w:w="0" w:type="auto"/>
        <w:jc w:val="center"/>
        <w:tblLook w:val="04A0" w:firstRow="1" w:lastRow="0" w:firstColumn="1" w:lastColumn="0" w:noHBand="0" w:noVBand="1"/>
      </w:tblPr>
      <w:tblGrid>
        <w:gridCol w:w="2890"/>
        <w:gridCol w:w="6126"/>
      </w:tblGrid>
      <w:tr w:rsidR="00C25943" w14:paraId="50CD4209" w14:textId="77777777">
        <w:trPr>
          <w:tblHeader/>
          <w:jc w:val="center"/>
        </w:trPr>
        <w:tc>
          <w:tcPr>
            <w:tcW w:w="3024" w:type="dxa"/>
            <w:shd w:val="clear" w:color="auto" w:fill="D9EAF2"/>
            <w:vAlign w:val="center"/>
          </w:tcPr>
          <w:p w14:paraId="780D900B" w14:textId="77777777" w:rsidR="00C25943" w:rsidRDefault="00E305BF">
            <w:r>
              <w:rPr>
                <w:b/>
              </w:rPr>
              <w:t>Policy characteristic</w:t>
            </w:r>
          </w:p>
        </w:tc>
        <w:tc>
          <w:tcPr>
            <w:tcW w:w="6624" w:type="dxa"/>
            <w:shd w:val="clear" w:color="auto" w:fill="D9EAF2"/>
            <w:vAlign w:val="center"/>
          </w:tcPr>
          <w:p w14:paraId="3B5BEE2F" w14:textId="77777777" w:rsidR="00C25943" w:rsidRDefault="00E305BF">
            <w:r>
              <w:rPr>
                <w:b/>
              </w:rPr>
              <w:t>How this document addresses it</w:t>
            </w:r>
          </w:p>
        </w:tc>
      </w:tr>
      <w:tr w:rsidR="00C25943" w14:paraId="791CCEEC" w14:textId="77777777">
        <w:trPr>
          <w:jc w:val="center"/>
        </w:trPr>
        <w:tc>
          <w:tcPr>
            <w:tcW w:w="3024" w:type="dxa"/>
            <w:vAlign w:val="center"/>
          </w:tcPr>
          <w:p w14:paraId="6D6B3F9D" w14:textId="77777777" w:rsidR="00C25943" w:rsidRDefault="00E305BF">
            <w:r>
              <w:t>Sets authority and accountability</w:t>
            </w:r>
          </w:p>
        </w:tc>
        <w:tc>
          <w:tcPr>
            <w:tcW w:w="6624" w:type="dxa"/>
            <w:vAlign w:val="center"/>
          </w:tcPr>
          <w:p w14:paraId="46745CE6" w14:textId="77777777" w:rsidR="00C25943" w:rsidRDefault="00E305BF">
            <w:r>
              <w:t>Defines ICT ownership, institutional approval, specialist decision rights and residual-risk accountability.</w:t>
            </w:r>
          </w:p>
        </w:tc>
      </w:tr>
      <w:tr w:rsidR="00C25943" w14:paraId="01B42606" w14:textId="77777777">
        <w:trPr>
          <w:jc w:val="center"/>
        </w:trPr>
        <w:tc>
          <w:tcPr>
            <w:tcW w:w="3024" w:type="dxa"/>
            <w:vAlign w:val="center"/>
          </w:tcPr>
          <w:p w14:paraId="613B3F19" w14:textId="77777777" w:rsidR="00C25943" w:rsidRDefault="00E305BF">
            <w:r>
              <w:t>Uses mandatory institutional rules</w:t>
            </w:r>
          </w:p>
        </w:tc>
        <w:tc>
          <w:tcPr>
            <w:tcW w:w="6624" w:type="dxa"/>
            <w:vAlign w:val="center"/>
          </w:tcPr>
          <w:p w14:paraId="38F09C97" w14:textId="77777777" w:rsidR="00C25943" w:rsidRDefault="00E305BF">
            <w:r>
              <w:t>States what BUV shall/must require for security, data, high-impact use, procurement, incidents and lifecycle governance.</w:t>
            </w:r>
          </w:p>
        </w:tc>
      </w:tr>
      <w:tr w:rsidR="00C25943" w14:paraId="3BF45255" w14:textId="77777777">
        <w:trPr>
          <w:jc w:val="center"/>
        </w:trPr>
        <w:tc>
          <w:tcPr>
            <w:tcW w:w="3024" w:type="dxa"/>
            <w:vAlign w:val="center"/>
          </w:tcPr>
          <w:p w14:paraId="77236D7F" w14:textId="77777777" w:rsidR="00C25943" w:rsidRDefault="00E305BF">
            <w:r>
              <w:t>Sets non-negotiable boundaries</w:t>
            </w:r>
          </w:p>
        </w:tc>
        <w:tc>
          <w:tcPr>
            <w:tcW w:w="6624" w:type="dxa"/>
            <w:vAlign w:val="center"/>
          </w:tcPr>
          <w:p w14:paraId="252C9F9F" w14:textId="77777777" w:rsidR="00C25943" w:rsidRDefault="00E305BF">
            <w:r>
              <w:t>Defines prohibited/unacceptable uses and when formal assessment is required.</w:t>
            </w:r>
          </w:p>
        </w:tc>
      </w:tr>
      <w:tr w:rsidR="00C25943" w14:paraId="4C6B2CB1" w14:textId="77777777">
        <w:trPr>
          <w:jc w:val="center"/>
        </w:trPr>
        <w:tc>
          <w:tcPr>
            <w:tcW w:w="3024" w:type="dxa"/>
            <w:vAlign w:val="center"/>
          </w:tcPr>
          <w:p w14:paraId="270749DE" w14:textId="77777777" w:rsidR="00C25943" w:rsidRDefault="00E305BF">
            <w:r>
              <w:t>Avoids day-to-day user workflow duplication</w:t>
            </w:r>
          </w:p>
        </w:tc>
        <w:tc>
          <w:tcPr>
            <w:tcW w:w="6624" w:type="dxa"/>
            <w:vAlign w:val="center"/>
          </w:tcPr>
          <w:p w14:paraId="5DA98BF5" w14:textId="77777777" w:rsidR="00C25943" w:rsidRDefault="00E305BF">
            <w:r>
              <w:t>Leaves traffic-light examples, prompt hygiene and practical “what do I do?” instructions to the separate AI Usage Guideline.</w:t>
            </w:r>
          </w:p>
        </w:tc>
      </w:tr>
      <w:tr w:rsidR="00C25943" w14:paraId="1D71E8E3" w14:textId="77777777">
        <w:trPr>
          <w:jc w:val="center"/>
        </w:trPr>
        <w:tc>
          <w:tcPr>
            <w:tcW w:w="3024" w:type="dxa"/>
            <w:vAlign w:val="center"/>
          </w:tcPr>
          <w:p w14:paraId="469E515A" w14:textId="77777777" w:rsidR="00C25943" w:rsidRDefault="00E305BF">
            <w:r>
              <w:t>Supports subordinate standards/procedures</w:t>
            </w:r>
          </w:p>
        </w:tc>
        <w:tc>
          <w:tcPr>
            <w:tcW w:w="6624" w:type="dxa"/>
            <w:vAlign w:val="center"/>
          </w:tcPr>
          <w:p w14:paraId="42A3B560" w14:textId="77777777" w:rsidR="00C25943" w:rsidRDefault="00E305BF">
            <w:r>
              <w:t>Requires technical assessment/onboarding procedures, forms, registers and operational controls underneath the Policy.</w:t>
            </w:r>
          </w:p>
        </w:tc>
      </w:tr>
    </w:tbl>
    <w:p w14:paraId="36000B1B" w14:textId="77777777" w:rsidR="00C25943" w:rsidRDefault="00C25943">
      <w:pPr>
        <w:spacing w:after="20"/>
      </w:pPr>
    </w:p>
    <w:p w14:paraId="3AB6DEF4" w14:textId="77777777" w:rsidR="00C25943" w:rsidRPr="00556587" w:rsidRDefault="00E305BF">
      <w:pPr>
        <w:jc w:val="center"/>
        <w:rPr>
          <w:b/>
          <w:bCs/>
          <w:sz w:val="20"/>
          <w:szCs w:val="28"/>
        </w:rPr>
      </w:pPr>
      <w:r w:rsidRPr="00556587">
        <w:rPr>
          <w:b/>
          <w:bCs/>
          <w:i/>
          <w:sz w:val="20"/>
          <w:szCs w:val="28"/>
        </w:rPr>
        <w:t>--------- End of Policy ---------</w:t>
      </w:r>
    </w:p>
    <w:sectPr w:rsidR="00C25943" w:rsidRPr="00556587" w:rsidSect="006403EE">
      <w:headerReference w:type="default" r:id="rId11"/>
      <w:footerReference w:type="default" r:id="rId12"/>
      <w:pgSz w:w="11906" w:h="16838" w:code="9"/>
      <w:pgMar w:top="1440" w:right="1440" w:bottom="108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6C706" w14:textId="77777777" w:rsidR="00E305BF" w:rsidRDefault="00E305BF" w:rsidP="000F6E71">
      <w:r>
        <w:separator/>
      </w:r>
    </w:p>
  </w:endnote>
  <w:endnote w:type="continuationSeparator" w:id="0">
    <w:p w14:paraId="4DA2A213" w14:textId="77777777" w:rsidR="00E305BF" w:rsidRDefault="00E305BF" w:rsidP="000F6E71">
      <w:r>
        <w:continuationSeparator/>
      </w:r>
    </w:p>
  </w:endnote>
  <w:endnote w:type="continuationNotice" w:id="1">
    <w:p w14:paraId="2C03BF20" w14:textId="77777777" w:rsidR="00E305BF" w:rsidRDefault="00E305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Brandon Grotesque Bold">
    <w:altName w:val="Calibri"/>
    <w:panose1 w:val="00000000000000000000"/>
    <w:charset w:val="00"/>
    <w:family w:val="swiss"/>
    <w:notTrueType/>
    <w:pitch w:val="variable"/>
    <w:sig w:usb0="A00000AF" w:usb1="5000205B" w:usb2="00000000" w:usb3="00000000" w:csb0="0000009B" w:csb1="00000000"/>
  </w:font>
  <w:font w:name="Avenir Next LT Pro">
    <w:charset w:val="00"/>
    <w:family w:val="swiss"/>
    <w:pitch w:val="variable"/>
    <w:sig w:usb0="800000EF" w:usb1="5000204A" w:usb2="00000000" w:usb3="00000000" w:csb0="00000093" w:csb1="00000000"/>
  </w:font>
  <w:font w:name="SVN-Brandon Grotesque Medium">
    <w:altName w:val="Calibri"/>
    <w:charset w:val="00"/>
    <w:family w:val="swiss"/>
    <w:pitch w:val="variable"/>
    <w:sig w:usb0="00000087" w:usb1="00000000" w:usb2="00000000" w:usb3="00000000" w:csb0="0000009B"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745278"/>
      <w:docPartObj>
        <w:docPartGallery w:val="Page Numbers (Bottom of Page)"/>
        <w:docPartUnique/>
      </w:docPartObj>
    </w:sdtPr>
    <w:sdtEndPr>
      <w:rPr>
        <w:noProof/>
      </w:rPr>
    </w:sdtEndPr>
    <w:sdtContent>
      <w:p w14:paraId="53B15FE2" w14:textId="77777777" w:rsidR="000F6E71" w:rsidRDefault="00D64586">
        <w:pPr>
          <w:pStyle w:val="Footer"/>
          <w:jc w:val="right"/>
        </w:pPr>
        <w:r>
          <w:rPr>
            <w:rFonts w:ascii="SVN-Brandon Grotesque Medium"/>
            <w:noProof/>
            <w:sz w:val="20"/>
          </w:rPr>
          <mc:AlternateContent>
            <mc:Choice Requires="wps">
              <w:drawing>
                <wp:anchor distT="0" distB="0" distL="0" distR="0" simplePos="0" relativeHeight="251658242" behindDoc="0" locked="0" layoutInCell="1" allowOverlap="1" wp14:anchorId="2D19A0DB" wp14:editId="4B53B1A5">
                  <wp:simplePos x="0" y="0"/>
                  <wp:positionH relativeFrom="page">
                    <wp:posOffset>475615</wp:posOffset>
                  </wp:positionH>
                  <wp:positionV relativeFrom="paragraph">
                    <wp:posOffset>147955</wp:posOffset>
                  </wp:positionV>
                  <wp:extent cx="671512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5125" cy="1270"/>
                          </a:xfrm>
                          <a:custGeom>
                            <a:avLst/>
                            <a:gdLst/>
                            <a:ahLst/>
                            <a:cxnLst/>
                            <a:rect l="l" t="t" r="r" b="b"/>
                            <a:pathLst>
                              <a:path w="6715125">
                                <a:moveTo>
                                  <a:pt x="0" y="0"/>
                                </a:moveTo>
                                <a:lnTo>
                                  <a:pt x="6715054"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8B1404" id="Graphic 1" o:spid="_x0000_s1026" style="position:absolute;margin-left:37.45pt;margin-top:11.65pt;width:528.75pt;height:.1pt;z-index:251658242;visibility:visible;mso-wrap-style:square;mso-wrap-distance-left:0;mso-wrap-distance-top:0;mso-wrap-distance-right:0;mso-wrap-distance-bottom:0;mso-position-horizontal:absolute;mso-position-horizontal-relative:page;mso-position-vertical:absolute;mso-position-vertical-relative:text;v-text-anchor:top" coordsize="6715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aFeFAIAAFsEAAAOAAAAZHJzL2Uyb0RvYy54bWysVE1v2zAMvQ/YfxB0X2xnS1sYcYqhQYcB&#10;RVegGXZWZDk2JouaqMTOvx8lfyTrbsN8ECjxiXzko7y+71vNTsphA6bg2SLlTBkJZWMOBf++e/xw&#10;xxl6YUqhwaiCnxXy+837d+vO5moJNehSOUZBDOadLXjtvc2TBGWtWoELsMqQswLXCk9bd0hKJzqK&#10;3upkmaY3SQeutA6kQqTT7eDkmxi/qpT036oKlWe64MTNx9XFdR/WZLMW+cEJWzdypCH+gUUrGkNJ&#10;51Bb4QU7uuavUG0jHSBUfiGhTaCqGqliDVRNlr6p5rUWVsVaqDlo5zbh/wsrn0+v9sUF6mifQP5E&#10;6kjSWcxnT9jgiOkr1wYsEWd97OJ57qLqPZN0eHObrbLlijNJvmx5G5uciHy6K4/ovyiIccTpCf2g&#10;QTlZop4s2ZvJdKRk0FBHDT1npKHjjDTcDxpa4cO9QC6YrLsQCWctnNQOote/YU7ULl5trlGhlHT1&#10;ibOpSsIOCDJCGurVYMTUZF8Xp01g8TFdZXE0EHRTPjZaBxboDvsH7dhJhMGMX6iDIvwBsw79VmA9&#10;4KJrhGkz6jRIE0TaQ3l+cayjaS44/joKpzjTXw2NSxj9yXCTsZ8M5/UDxAcSG0Q5d/0P4SwL6Qvu&#10;SdlnmIZR5JNoofQZG24a+Hz0UDVB0ThDA6NxQxMcCxxfW3gi1/uIuvwTNr8BAAD//wMAUEsDBBQA&#10;BgAIAAAAIQBci9YE3wAAAAkBAAAPAAAAZHJzL2Rvd25yZXYueG1sTI/BTsMwEETvSPyDtUjcqNMk&#10;hTZkU1UgKnGp0tIPcOMliYjXIXbb8Pc4JzjOzmjmbb4eTScuNLjWMsJ8FoEgrqxuuUY4frw9LEE4&#10;r1irzjIh/JCDdXF7k6tM2yvv6XLwtQgl7DKF0HjfZ1K6qiGj3Mz2xMH7tINRPsihlnpQ11BuOhlH&#10;0aM0quWw0KieXhqqvg5ngxDZdLkt/evifbs77lfuezOWskS8vxs3zyA8jf4vDBN+QIciMJ3smbUT&#10;HcJTugpJhDhJQEz+PIlTEKfpsgBZ5PL/B8UvAAAA//8DAFBLAQItABQABgAIAAAAIQC2gziS/gAA&#10;AOEBAAATAAAAAAAAAAAAAAAAAAAAAABbQ29udGVudF9UeXBlc10ueG1sUEsBAi0AFAAGAAgAAAAh&#10;ADj9If/WAAAAlAEAAAsAAAAAAAAAAAAAAAAALwEAAF9yZWxzLy5yZWxzUEsBAi0AFAAGAAgAAAAh&#10;ADMtoV4UAgAAWwQAAA4AAAAAAAAAAAAAAAAALgIAAGRycy9lMm9Eb2MueG1sUEsBAi0AFAAGAAgA&#10;AAAhAFyL1gTfAAAACQEAAA8AAAAAAAAAAAAAAAAAbgQAAGRycy9kb3ducmV2LnhtbFBLBQYAAAAA&#10;BAAEAPMAAAB6BQAAAAA=&#10;" path="m,l6715054,e" filled="f" strokeweight=".08475mm">
                  <v:path arrowok="t"/>
                  <w10:wrap anchorx="page"/>
                </v:shape>
              </w:pict>
            </mc:Fallback>
          </mc:AlternateContent>
        </w:r>
        <w:r w:rsidR="000F6E71">
          <w:fldChar w:fldCharType="begin"/>
        </w:r>
        <w:r w:rsidR="000F6E71">
          <w:instrText xml:space="preserve"> PAGE   \* MERGEFORMAT </w:instrText>
        </w:r>
        <w:r w:rsidR="000F6E71">
          <w:fldChar w:fldCharType="separate"/>
        </w:r>
        <w:r w:rsidR="000F6E71">
          <w:rPr>
            <w:noProof/>
          </w:rPr>
          <w:t>2</w:t>
        </w:r>
        <w:r w:rsidR="000F6E71">
          <w:rPr>
            <w:noProof/>
          </w:rPr>
          <w:fldChar w:fldCharType="end"/>
        </w:r>
      </w:p>
    </w:sdtContent>
  </w:sdt>
  <w:p w14:paraId="56B848F3" w14:textId="77777777" w:rsidR="00D64586" w:rsidRPr="00BF49AB" w:rsidRDefault="00D64586" w:rsidP="00D64586">
    <w:pPr>
      <w:pStyle w:val="BodyText"/>
      <w:spacing w:before="133"/>
      <w:ind w:right="46"/>
      <w:rPr>
        <w:sz w:val="12"/>
        <w:szCs w:val="12"/>
      </w:rPr>
    </w:pPr>
    <w:bookmarkStart w:id="0" w:name="V._PERSONNEL_RECORDS"/>
    <w:bookmarkStart w:id="1" w:name="VI._CONFIDENTIALITY"/>
    <w:bookmarkStart w:id="2" w:name="VII._APPENDICES"/>
    <w:bookmarkStart w:id="3" w:name="_bookmark0"/>
    <w:bookmarkStart w:id="4" w:name="_bookmark1"/>
    <w:bookmarkStart w:id="5" w:name="_bookmark2"/>
    <w:bookmarkEnd w:id="0"/>
    <w:bookmarkEnd w:id="1"/>
    <w:bookmarkEnd w:id="2"/>
    <w:bookmarkEnd w:id="3"/>
    <w:bookmarkEnd w:id="4"/>
    <w:bookmarkEnd w:id="5"/>
    <w:r w:rsidRPr="00BF49AB">
      <w:rPr>
        <w:rFonts w:ascii="SVN-Brandon Grotesque Medium"/>
        <w:color w:val="FF0000"/>
        <w:szCs w:val="12"/>
      </w:rPr>
      <w:t>*</w:t>
    </w:r>
    <w:r w:rsidRPr="00BF49AB">
      <w:rPr>
        <w:rFonts w:ascii="SVN-Brandon Grotesque Medium"/>
        <w:color w:val="FF0000"/>
        <w:spacing w:val="26"/>
        <w:szCs w:val="12"/>
      </w:rPr>
      <w:t xml:space="preserve"> </w:t>
    </w:r>
    <w:r w:rsidRPr="00BF49AB">
      <w:rPr>
        <w:rFonts w:ascii="SVN-Brandon Grotesque Medium"/>
        <w:color w:val="585858"/>
        <w:szCs w:val="12"/>
      </w:rPr>
      <w:t xml:space="preserve">ICT </w:t>
    </w:r>
    <w:r w:rsidR="00C011C8" w:rsidRPr="00BF49AB">
      <w:rPr>
        <w:rFonts w:ascii="SVN-Brandon Grotesque Medium"/>
        <w:color w:val="585858"/>
        <w:szCs w:val="12"/>
      </w:rPr>
      <w:t>AI Technology Use Policy</w:t>
    </w:r>
    <w:r w:rsidRPr="00BF49AB">
      <w:rPr>
        <w:rFonts w:ascii="SVN-Brandon Grotesque Medium"/>
        <w:color w:val="585858"/>
        <w:szCs w:val="12"/>
      </w:rPr>
      <w:tab/>
    </w:r>
    <w:r w:rsidRPr="00BF49AB">
      <w:rPr>
        <w:rFonts w:ascii="SVN-Brandon Grotesque Medium"/>
        <w:color w:val="585858"/>
        <w:szCs w:val="12"/>
      </w:rPr>
      <w:tab/>
    </w:r>
    <w:r w:rsidRPr="00BF49AB">
      <w:rPr>
        <w:rFonts w:ascii="SVN-Brandon Grotesque Medium"/>
        <w:color w:val="585858"/>
        <w:szCs w:val="12"/>
      </w:rPr>
      <w:tab/>
    </w:r>
    <w:r w:rsidR="00C52CC1" w:rsidRPr="00BF49AB">
      <w:rPr>
        <w:rFonts w:ascii="SVN-Brandon Grotesque Medium"/>
        <w:color w:val="585858"/>
        <w:szCs w:val="12"/>
      </w:rPr>
      <w:t xml:space="preserve">             </w:t>
    </w:r>
    <w:r w:rsidRPr="00BF49AB">
      <w:rPr>
        <w:color w:val="707072"/>
        <w:sz w:val="12"/>
        <w:szCs w:val="12"/>
      </w:rPr>
      <w:t>BUV</w:t>
    </w:r>
    <w:r w:rsidRPr="00BF49AB">
      <w:rPr>
        <w:color w:val="707072"/>
        <w:spacing w:val="16"/>
        <w:sz w:val="12"/>
        <w:szCs w:val="12"/>
      </w:rPr>
      <w:t xml:space="preserve"> </w:t>
    </w:r>
    <w:proofErr w:type="spellStart"/>
    <w:r w:rsidRPr="00BF49AB">
      <w:rPr>
        <w:color w:val="707072"/>
        <w:sz w:val="12"/>
        <w:szCs w:val="12"/>
      </w:rPr>
      <w:t>Ecopark</w:t>
    </w:r>
    <w:proofErr w:type="spellEnd"/>
    <w:r w:rsidRPr="00BF49AB">
      <w:rPr>
        <w:color w:val="707072"/>
        <w:spacing w:val="26"/>
        <w:sz w:val="12"/>
        <w:szCs w:val="12"/>
      </w:rPr>
      <w:t xml:space="preserve"> </w:t>
    </w:r>
    <w:r w:rsidRPr="00BF49AB">
      <w:rPr>
        <w:color w:val="707072"/>
        <w:sz w:val="12"/>
        <w:szCs w:val="12"/>
      </w:rPr>
      <w:t>Campus,</w:t>
    </w:r>
    <w:r w:rsidRPr="00BF49AB">
      <w:rPr>
        <w:color w:val="707072"/>
        <w:spacing w:val="14"/>
        <w:sz w:val="12"/>
        <w:szCs w:val="12"/>
      </w:rPr>
      <w:t xml:space="preserve"> </w:t>
    </w:r>
    <w:proofErr w:type="spellStart"/>
    <w:r w:rsidRPr="00BF49AB">
      <w:rPr>
        <w:color w:val="707072"/>
        <w:sz w:val="12"/>
        <w:szCs w:val="12"/>
      </w:rPr>
      <w:t>Ecopark</w:t>
    </w:r>
    <w:proofErr w:type="spellEnd"/>
    <w:r w:rsidRPr="00BF49AB">
      <w:rPr>
        <w:color w:val="707072"/>
        <w:spacing w:val="24"/>
        <w:sz w:val="12"/>
        <w:szCs w:val="12"/>
      </w:rPr>
      <w:t xml:space="preserve"> </w:t>
    </w:r>
    <w:r w:rsidRPr="00BF49AB">
      <w:rPr>
        <w:color w:val="707072"/>
        <w:sz w:val="12"/>
        <w:szCs w:val="12"/>
      </w:rPr>
      <w:t>Township,</w:t>
    </w:r>
    <w:r w:rsidRPr="00BF49AB">
      <w:rPr>
        <w:color w:val="707072"/>
        <w:spacing w:val="25"/>
        <w:sz w:val="12"/>
        <w:szCs w:val="12"/>
      </w:rPr>
      <w:t xml:space="preserve"> </w:t>
    </w:r>
    <w:r w:rsidRPr="00BF49AB">
      <w:rPr>
        <w:color w:val="707072"/>
        <w:sz w:val="12"/>
        <w:szCs w:val="12"/>
      </w:rPr>
      <w:t>Van</w:t>
    </w:r>
    <w:r w:rsidRPr="00BF49AB">
      <w:rPr>
        <w:color w:val="707072"/>
        <w:spacing w:val="15"/>
        <w:sz w:val="12"/>
        <w:szCs w:val="12"/>
      </w:rPr>
      <w:t xml:space="preserve"> </w:t>
    </w:r>
    <w:r w:rsidRPr="00BF49AB">
      <w:rPr>
        <w:color w:val="707072"/>
        <w:sz w:val="12"/>
        <w:szCs w:val="12"/>
      </w:rPr>
      <w:t>Giang,</w:t>
    </w:r>
    <w:r w:rsidRPr="00BF49AB">
      <w:rPr>
        <w:color w:val="707072"/>
        <w:spacing w:val="20"/>
        <w:sz w:val="12"/>
        <w:szCs w:val="12"/>
      </w:rPr>
      <w:t xml:space="preserve"> </w:t>
    </w:r>
    <w:r w:rsidRPr="00BF49AB">
      <w:rPr>
        <w:color w:val="707072"/>
        <w:sz w:val="12"/>
        <w:szCs w:val="12"/>
      </w:rPr>
      <w:t>Hung</w:t>
    </w:r>
    <w:r w:rsidRPr="00BF49AB">
      <w:rPr>
        <w:color w:val="707072"/>
        <w:spacing w:val="14"/>
        <w:sz w:val="12"/>
        <w:szCs w:val="12"/>
      </w:rPr>
      <w:t xml:space="preserve"> </w:t>
    </w:r>
    <w:r w:rsidRPr="00BF49AB">
      <w:rPr>
        <w:color w:val="707072"/>
        <w:spacing w:val="-5"/>
        <w:sz w:val="12"/>
        <w:szCs w:val="12"/>
      </w:rPr>
      <w:t>Yen</w:t>
    </w:r>
  </w:p>
  <w:p w14:paraId="76D38909" w14:textId="77777777" w:rsidR="000F6E71" w:rsidRPr="00BF49AB" w:rsidRDefault="00D64586" w:rsidP="00D64586">
    <w:pPr>
      <w:tabs>
        <w:tab w:val="left" w:pos="2276"/>
      </w:tabs>
      <w:spacing w:before="70"/>
      <w:ind w:right="56"/>
      <w:jc w:val="center"/>
      <w:rPr>
        <w:b/>
        <w:sz w:val="13"/>
        <w:szCs w:val="20"/>
      </w:rPr>
    </w:pPr>
    <w:r w:rsidRPr="00BF49AB">
      <w:rPr>
        <w:sz w:val="8"/>
        <w:szCs w:val="16"/>
      </w:rPr>
      <w:tab/>
    </w:r>
    <w:r w:rsidRPr="00BF49AB">
      <w:rPr>
        <w:sz w:val="12"/>
        <w:szCs w:val="20"/>
      </w:rPr>
      <w:tab/>
      <w:t xml:space="preserve">  </w:t>
    </w:r>
    <w:r w:rsidRPr="00BF49AB">
      <w:rPr>
        <w:sz w:val="12"/>
        <w:szCs w:val="20"/>
      </w:rPr>
      <w:tab/>
      <w:t xml:space="preserve">                    </w:t>
    </w:r>
    <w:hyperlink r:id="rId1" w:history="1">
      <w:r w:rsidRPr="00BF49AB">
        <w:rPr>
          <w:rStyle w:val="Hyperlink"/>
          <w:b/>
          <w:spacing w:val="-2"/>
          <w:w w:val="110"/>
          <w:sz w:val="13"/>
          <w:szCs w:val="20"/>
        </w:rPr>
        <w:t>www.buv.edu.vn</w:t>
      </w:r>
    </w:hyperlink>
    <w:r w:rsidRPr="00BF49AB">
      <w:rPr>
        <w:b/>
        <w:color w:val="D41F26"/>
        <w:sz w:val="13"/>
        <w:szCs w:val="20"/>
      </w:rPr>
      <w:tab/>
      <w:t xml:space="preserve">           </w:t>
    </w:r>
    <w:r w:rsidRPr="00BF49AB">
      <w:rPr>
        <w:b/>
        <w:color w:val="D41F26"/>
        <w:sz w:val="13"/>
        <w:szCs w:val="20"/>
      </w:rPr>
      <w:tab/>
    </w:r>
    <w:hyperlink r:id="rId2" w:history="1">
      <w:r w:rsidRPr="00BF49AB">
        <w:rPr>
          <w:rStyle w:val="Hyperlink"/>
          <w:b/>
          <w:spacing w:val="-2"/>
          <w:w w:val="110"/>
          <w:sz w:val="13"/>
          <w:szCs w:val="20"/>
        </w:rPr>
        <w:t>info@buv.edu.vn</w:t>
      </w:r>
    </w:hyperlink>
    <w:r w:rsidRPr="00BF49AB">
      <w:rPr>
        <w:sz w:val="12"/>
        <w:szCs w:val="20"/>
      </w:rPr>
      <w:tab/>
    </w:r>
    <w:r w:rsidRPr="00BF49AB">
      <w:rPr>
        <w:b/>
        <w:sz w:val="13"/>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38BC5" w14:textId="77777777" w:rsidR="00E305BF" w:rsidRDefault="00E305BF" w:rsidP="000F6E71">
      <w:r>
        <w:separator/>
      </w:r>
    </w:p>
  </w:footnote>
  <w:footnote w:type="continuationSeparator" w:id="0">
    <w:p w14:paraId="1F2D1C29" w14:textId="77777777" w:rsidR="00E305BF" w:rsidRDefault="00E305BF" w:rsidP="000F6E71">
      <w:r>
        <w:continuationSeparator/>
      </w:r>
    </w:p>
  </w:footnote>
  <w:footnote w:type="continuationNotice" w:id="1">
    <w:p w14:paraId="68F803BC" w14:textId="77777777" w:rsidR="00E305BF" w:rsidRDefault="00E305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CBD6" w14:textId="77777777" w:rsidR="004A57A0" w:rsidRDefault="0028120C" w:rsidP="00736E84">
    <w:pPr>
      <w:pStyle w:val="Header"/>
      <w:tabs>
        <w:tab w:val="clear" w:pos="4680"/>
        <w:tab w:val="clear" w:pos="9360"/>
        <w:tab w:val="left" w:pos="1650"/>
        <w:tab w:val="left" w:pos="2175"/>
        <w:tab w:val="left" w:pos="3525"/>
        <w:tab w:val="left" w:pos="6405"/>
      </w:tabs>
    </w:pPr>
    <w:r w:rsidRPr="00813141">
      <w:rPr>
        <w:rFonts w:ascii="Brandon Grotesque Bold" w:hAnsi="Brandon Grotesque Bold"/>
        <w:b/>
        <w:bCs/>
        <w:noProof/>
        <w:sz w:val="40"/>
        <w:szCs w:val="40"/>
      </w:rPr>
      <mc:AlternateContent>
        <mc:Choice Requires="wps">
          <w:drawing>
            <wp:anchor distT="45720" distB="45720" distL="114300" distR="114300" simplePos="0" relativeHeight="251658241" behindDoc="1" locked="0" layoutInCell="1" allowOverlap="1" wp14:anchorId="197DEF64" wp14:editId="79AAB41F">
              <wp:simplePos x="0" y="0"/>
              <wp:positionH relativeFrom="column">
                <wp:posOffset>-781050</wp:posOffset>
              </wp:positionH>
              <wp:positionV relativeFrom="paragraph">
                <wp:posOffset>-361950</wp:posOffset>
              </wp:positionV>
              <wp:extent cx="4086225" cy="6858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225" cy="685800"/>
                      </a:xfrm>
                      <a:prstGeom prst="rect">
                        <a:avLst/>
                      </a:prstGeom>
                      <a:noFill/>
                      <a:ln w="9525">
                        <a:noFill/>
                        <a:miter lim="800000"/>
                        <a:headEnd/>
                        <a:tailEnd/>
                      </a:ln>
                    </wps:spPr>
                    <wps:txbx>
                      <w:txbxContent>
                        <w:p w14:paraId="6711F6AA" w14:textId="77777777" w:rsidR="0028120C" w:rsidRPr="0028120C" w:rsidRDefault="0028120C" w:rsidP="0028120C">
                          <w:pPr>
                            <w:spacing w:line="276" w:lineRule="auto"/>
                            <w:rPr>
                              <w:rFonts w:ascii="Avenir Next LT Pro" w:hAnsi="Avenir Next LT Pro"/>
                              <w:b/>
                              <w:bCs/>
                              <w:color w:val="FFFFFF" w:themeColor="background1"/>
                              <w:sz w:val="32"/>
                              <w:szCs w:val="32"/>
                            </w:rPr>
                          </w:pPr>
                          <w:r w:rsidRPr="0028120C">
                            <w:rPr>
                              <w:rFonts w:ascii="Avenir Next LT Pro" w:hAnsi="Avenir Next LT Pro"/>
                              <w:b/>
                              <w:bCs/>
                              <w:color w:val="FFFFFF" w:themeColor="background1"/>
                              <w:sz w:val="32"/>
                              <w:szCs w:val="32"/>
                            </w:rPr>
                            <w:t>INFORMATION &amp; COMMUNICATIONS TECHNOLOGY DEPARTMENT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7DEF64" id="_x0000_t202" coordsize="21600,21600" o:spt="202" path="m,l,21600r21600,l21600,xe">
              <v:stroke joinstyle="miter"/>
              <v:path gradientshapeok="t" o:connecttype="rect"/>
            </v:shapetype>
            <v:shape id="Text Box 2" o:spid="_x0000_s1026" type="#_x0000_t202" style="position:absolute;margin-left:-61.5pt;margin-top:-28.5pt;width:321.75pt;height:54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F+Y9gEAAM0DAAAOAAAAZHJzL2Uyb0RvYy54bWysU1Fv0zAQfkfiP1h+p0mrtnRR02lsDCGN&#10;gTT4Aa7jNBa2z5zdJuXXc3a6rhpviDxYvpz93X3ffV5fD9awg8KgwdV8Oik5U05Co92u5j++379b&#10;cRaicI0w4FTNjyrw683bN+veV2oGHZhGISMQF6re17yL0VdFEWSnrAgT8MpRsgW0IlKIu6JB0RO6&#10;NcWsLJdFD9h4BKlCoL93Y5JvMn7bKhm/tm1QkZmaU28xr5jXbVqLzVpUOxS+0/LUhviHLqzQjoqe&#10;oe5EFGyP+i8oqyVCgDZOJNgC2lZLlTkQm2n5is1TJ7zKXEic4M8yhf8HKx8PT/4bsjh8gIEGmEkE&#10;/wDyZ2AObjvhduoGEfpOiYYKT5NkRe9DdbqapA5VSCDb/gs0NGSxj5CBhhZtUoV4MkKnARzPoqsh&#10;Mkk/5+VqOZstOJOUW64WqzJPpRDV822PIX5SYFna1BxpqBldHB5CTN2I6vlIKubgXhuTB2sc62t+&#10;tSD4VxmrI/nOaFtzKkjf6IRE8qNr8uUotBn3VMC4E+tEdKQch+1ABxP7LTRH4o8w+oveA206wN+c&#10;9eStmodfe4GKM/PZkYZX0/k8mTEH88X7GQV4mdleZoSTBFXzyNm4vY3ZwCOjG9K61VmGl05OvZJn&#10;sjonfydTXsb51Msr3PwBAAD//wMAUEsDBBQABgAIAAAAIQAgDB5g3gAAAAsBAAAPAAAAZHJzL2Rv&#10;d25yZXYueG1sTI/BTsMwEETvSPyDtZW4tXYCoZDGqRCIa1ELReLmxtskIl5HsduEv2d7gtsb7Wh2&#10;plhPrhNnHELrSUOyUCCQKm9bqjV8vL/OH0CEaMiazhNq+MEA6/L6qjC59SNt8byLteAQCrnR0MTY&#10;51KGqkFnwsL3SHw7+sGZyHKopR3MyOGuk6lS99KZlvhDY3p8brD63p2chv3m+PV5p97qF5f1o5+U&#10;JPcotb6ZTU8rEBGn+GeGS32uDiV3OvgT2SA6DfMkveUxkSlbMrAlS1UG4sCQKJBlIf9vKH8BAAD/&#10;/wMAUEsBAi0AFAAGAAgAAAAhALaDOJL+AAAA4QEAABMAAAAAAAAAAAAAAAAAAAAAAFtDb250ZW50&#10;X1R5cGVzXS54bWxQSwECLQAUAAYACAAAACEAOP0h/9YAAACUAQAACwAAAAAAAAAAAAAAAAAvAQAA&#10;X3JlbHMvLnJlbHNQSwECLQAUAAYACAAAACEAzuxfmPYBAADNAwAADgAAAAAAAAAAAAAAAAAuAgAA&#10;ZHJzL2Uyb0RvYy54bWxQSwECLQAUAAYACAAAACEAIAweYN4AAAALAQAADwAAAAAAAAAAAAAAAABQ&#10;BAAAZHJzL2Rvd25yZXYueG1sUEsFBgAAAAAEAAQA8wAAAFsFAAAAAA==&#10;" filled="f" stroked="f">
              <v:textbox>
                <w:txbxContent>
                  <w:p w14:paraId="6711F6AA" w14:textId="77777777" w:rsidR="0028120C" w:rsidRPr="0028120C" w:rsidRDefault="0028120C" w:rsidP="0028120C">
                    <w:pPr>
                      <w:spacing w:line="276" w:lineRule="auto"/>
                      <w:rPr>
                        <w:rFonts w:ascii="Avenir Next LT Pro" w:hAnsi="Avenir Next LT Pro"/>
                        <w:b/>
                        <w:bCs/>
                        <w:color w:val="FFFFFF" w:themeColor="background1"/>
                        <w:sz w:val="32"/>
                        <w:szCs w:val="32"/>
                      </w:rPr>
                    </w:pPr>
                    <w:r w:rsidRPr="0028120C">
                      <w:rPr>
                        <w:rFonts w:ascii="Avenir Next LT Pro" w:hAnsi="Avenir Next LT Pro"/>
                        <w:b/>
                        <w:bCs/>
                        <w:color w:val="FFFFFF" w:themeColor="background1"/>
                        <w:sz w:val="32"/>
                        <w:szCs w:val="32"/>
                      </w:rPr>
                      <w:t>INFORMATION &amp; COMMUNICATIONS TECHNOLOGY DEPARTMENT</w:t>
                    </w:r>
                  </w:p>
                </w:txbxContent>
              </v:textbox>
            </v:shape>
          </w:pict>
        </mc:Fallback>
      </mc:AlternateContent>
    </w:r>
    <w:r w:rsidR="004A57A0" w:rsidRPr="00914832">
      <w:rPr>
        <w:rFonts w:ascii="Brandon Grotesque Bold" w:hAnsi="Brandon Grotesque Bold"/>
        <w:b/>
        <w:bCs/>
        <w:noProof/>
        <w:color w:val="FFFFFF" w:themeColor="background1"/>
        <w:sz w:val="40"/>
        <w:szCs w:val="40"/>
        <w:lang w:val="vi-VN"/>
      </w:rPr>
      <w:drawing>
        <wp:anchor distT="0" distB="0" distL="114300" distR="114300" simplePos="0" relativeHeight="251658240" behindDoc="1" locked="0" layoutInCell="1" allowOverlap="1" wp14:anchorId="3F8C5E02" wp14:editId="24C2438E">
          <wp:simplePos x="0" y="0"/>
          <wp:positionH relativeFrom="column">
            <wp:posOffset>-942975</wp:posOffset>
          </wp:positionH>
          <wp:positionV relativeFrom="paragraph">
            <wp:posOffset>-457200</wp:posOffset>
          </wp:positionV>
          <wp:extent cx="7550150" cy="895350"/>
          <wp:effectExtent l="0" t="0" r="0" b="0"/>
          <wp:wrapNone/>
          <wp:docPr id="154877232" name="Picture 154877232" descr="A red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red object with a white border&#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07593" cy="902162"/>
                  </a:xfrm>
                  <a:prstGeom prst="rect">
                    <a:avLst/>
                  </a:prstGeom>
                </pic:spPr>
              </pic:pic>
            </a:graphicData>
          </a:graphic>
          <wp14:sizeRelH relativeFrom="page">
            <wp14:pctWidth>0</wp14:pctWidth>
          </wp14:sizeRelH>
          <wp14:sizeRelV relativeFrom="page">
            <wp14:pctHeight>0</wp14:pctHeight>
          </wp14:sizeRelV>
        </wp:anchor>
      </w:drawing>
    </w:r>
    <w:r w:rsidR="004A57A0">
      <w:tab/>
    </w:r>
    <w:r w:rsidR="004A57A0">
      <w:tab/>
    </w:r>
    <w:r w:rsidR="004A57A0">
      <w:tab/>
    </w:r>
    <w:r w:rsidR="00736E84">
      <w:tab/>
    </w:r>
  </w:p>
  <w:p w14:paraId="7DEE9EF7" w14:textId="77777777" w:rsidR="004A57A0" w:rsidRDefault="004A57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78E"/>
    <w:multiLevelType w:val="hybridMultilevel"/>
    <w:tmpl w:val="AA0E44FC"/>
    <w:lvl w:ilvl="0" w:tplc="FDE276B6">
      <w:start w:val="1"/>
      <w:numFmt w:val="decimal"/>
      <w:lvlText w:val="•"/>
      <w:lvlJc w:val="left"/>
      <w:pPr>
        <w:ind w:left="709" w:hanging="360"/>
      </w:pPr>
    </w:lvl>
    <w:lvl w:ilvl="1" w:tplc="B30429CC">
      <w:start w:val="1"/>
      <w:numFmt w:val="lowerLetter"/>
      <w:lvlText w:val="%2."/>
      <w:lvlJc w:val="left"/>
      <w:pPr>
        <w:ind w:left="1429" w:hanging="360"/>
      </w:pPr>
    </w:lvl>
    <w:lvl w:ilvl="2" w:tplc="FFDC62AA">
      <w:start w:val="1"/>
      <w:numFmt w:val="lowerRoman"/>
      <w:lvlText w:val="%3."/>
      <w:lvlJc w:val="right"/>
      <w:pPr>
        <w:ind w:left="2149" w:hanging="180"/>
      </w:pPr>
    </w:lvl>
    <w:lvl w:ilvl="3" w:tplc="85DCAF9C">
      <w:start w:val="1"/>
      <w:numFmt w:val="decimal"/>
      <w:lvlText w:val="%4."/>
      <w:lvlJc w:val="left"/>
      <w:pPr>
        <w:ind w:left="2869" w:hanging="360"/>
      </w:pPr>
    </w:lvl>
    <w:lvl w:ilvl="4" w:tplc="93500578">
      <w:start w:val="1"/>
      <w:numFmt w:val="lowerLetter"/>
      <w:lvlText w:val="%5."/>
      <w:lvlJc w:val="left"/>
      <w:pPr>
        <w:ind w:left="3589" w:hanging="360"/>
      </w:pPr>
    </w:lvl>
    <w:lvl w:ilvl="5" w:tplc="4DBCBB9A">
      <w:start w:val="1"/>
      <w:numFmt w:val="lowerRoman"/>
      <w:lvlText w:val="%6."/>
      <w:lvlJc w:val="right"/>
      <w:pPr>
        <w:ind w:left="4309" w:hanging="180"/>
      </w:pPr>
    </w:lvl>
    <w:lvl w:ilvl="6" w:tplc="99FCEDD2">
      <w:start w:val="1"/>
      <w:numFmt w:val="decimal"/>
      <w:lvlText w:val="%7."/>
      <w:lvlJc w:val="left"/>
      <w:pPr>
        <w:ind w:left="5029" w:hanging="360"/>
      </w:pPr>
    </w:lvl>
    <w:lvl w:ilvl="7" w:tplc="4992F13E">
      <w:start w:val="1"/>
      <w:numFmt w:val="lowerLetter"/>
      <w:lvlText w:val="%8."/>
      <w:lvlJc w:val="left"/>
      <w:pPr>
        <w:ind w:left="5749" w:hanging="360"/>
      </w:pPr>
    </w:lvl>
    <w:lvl w:ilvl="8" w:tplc="859C1964">
      <w:start w:val="1"/>
      <w:numFmt w:val="lowerRoman"/>
      <w:lvlText w:val="%9."/>
      <w:lvlJc w:val="right"/>
      <w:pPr>
        <w:ind w:left="6469" w:hanging="180"/>
      </w:pPr>
    </w:lvl>
  </w:abstractNum>
  <w:abstractNum w:abstractNumId="1" w15:restartNumberingAfterBreak="0">
    <w:nsid w:val="02162FB1"/>
    <w:multiLevelType w:val="multilevel"/>
    <w:tmpl w:val="886A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10CD"/>
    <w:multiLevelType w:val="multilevel"/>
    <w:tmpl w:val="76D6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01012"/>
    <w:multiLevelType w:val="multilevel"/>
    <w:tmpl w:val="875A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8034B"/>
    <w:multiLevelType w:val="hybridMultilevel"/>
    <w:tmpl w:val="F3DE0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A2985"/>
    <w:multiLevelType w:val="multilevel"/>
    <w:tmpl w:val="3DB4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75745"/>
    <w:multiLevelType w:val="hybridMultilevel"/>
    <w:tmpl w:val="61521068"/>
    <w:lvl w:ilvl="0" w:tplc="7242A93E">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E75BAA"/>
    <w:multiLevelType w:val="hybridMultilevel"/>
    <w:tmpl w:val="4CC0D814"/>
    <w:lvl w:ilvl="0" w:tplc="BB7C16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606D11"/>
    <w:multiLevelType w:val="hybridMultilevel"/>
    <w:tmpl w:val="D720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8A13C0"/>
    <w:multiLevelType w:val="hybridMultilevel"/>
    <w:tmpl w:val="D88C0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536DF2"/>
    <w:multiLevelType w:val="multilevel"/>
    <w:tmpl w:val="5B1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E68BA"/>
    <w:multiLevelType w:val="multilevel"/>
    <w:tmpl w:val="C54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B1DDD"/>
    <w:multiLevelType w:val="multilevel"/>
    <w:tmpl w:val="D9BC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23416"/>
    <w:multiLevelType w:val="hybridMultilevel"/>
    <w:tmpl w:val="1C58E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9B1FA8"/>
    <w:multiLevelType w:val="hybridMultilevel"/>
    <w:tmpl w:val="4F2805B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30B3759C"/>
    <w:multiLevelType w:val="multilevel"/>
    <w:tmpl w:val="79A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E1764"/>
    <w:multiLevelType w:val="multilevel"/>
    <w:tmpl w:val="F33A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73073"/>
    <w:multiLevelType w:val="multilevel"/>
    <w:tmpl w:val="AE2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800D9"/>
    <w:multiLevelType w:val="hybridMultilevel"/>
    <w:tmpl w:val="FDE24F7E"/>
    <w:lvl w:ilvl="0" w:tplc="0409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DC44F83"/>
    <w:multiLevelType w:val="hybridMultilevel"/>
    <w:tmpl w:val="211EC3A2"/>
    <w:lvl w:ilvl="0" w:tplc="A0F2CE84">
      <w:start w:val="1"/>
      <w:numFmt w:val="decimal"/>
      <w:lvlText w:val="%1."/>
      <w:lvlJc w:val="left"/>
      <w:pPr>
        <w:ind w:left="720" w:hanging="360"/>
      </w:pPr>
    </w:lvl>
    <w:lvl w:ilvl="1" w:tplc="33CA4732">
      <w:numFmt w:val="decimal"/>
      <w:lvlText w:val=""/>
      <w:lvlJc w:val="left"/>
    </w:lvl>
    <w:lvl w:ilvl="2" w:tplc="C9B6026E">
      <w:numFmt w:val="decimal"/>
      <w:lvlText w:val=""/>
      <w:lvlJc w:val="left"/>
    </w:lvl>
    <w:lvl w:ilvl="3" w:tplc="A184B856">
      <w:numFmt w:val="decimal"/>
      <w:lvlText w:val=""/>
      <w:lvlJc w:val="left"/>
    </w:lvl>
    <w:lvl w:ilvl="4" w:tplc="28E8D4E2">
      <w:numFmt w:val="decimal"/>
      <w:lvlText w:val=""/>
      <w:lvlJc w:val="left"/>
    </w:lvl>
    <w:lvl w:ilvl="5" w:tplc="59A80ED0">
      <w:numFmt w:val="decimal"/>
      <w:lvlText w:val=""/>
      <w:lvlJc w:val="left"/>
    </w:lvl>
    <w:lvl w:ilvl="6" w:tplc="9648DE9C">
      <w:numFmt w:val="decimal"/>
      <w:lvlText w:val=""/>
      <w:lvlJc w:val="left"/>
    </w:lvl>
    <w:lvl w:ilvl="7" w:tplc="9496BC7C">
      <w:numFmt w:val="decimal"/>
      <w:lvlText w:val=""/>
      <w:lvlJc w:val="left"/>
    </w:lvl>
    <w:lvl w:ilvl="8" w:tplc="85243B2A">
      <w:numFmt w:val="decimal"/>
      <w:lvlText w:val=""/>
      <w:lvlJc w:val="left"/>
    </w:lvl>
  </w:abstractNum>
  <w:abstractNum w:abstractNumId="20" w15:restartNumberingAfterBreak="0">
    <w:nsid w:val="434D2271"/>
    <w:multiLevelType w:val="hybridMultilevel"/>
    <w:tmpl w:val="03B490F0"/>
    <w:lvl w:ilvl="0" w:tplc="0409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1" w15:restartNumberingAfterBreak="0">
    <w:nsid w:val="4429287E"/>
    <w:multiLevelType w:val="multilevel"/>
    <w:tmpl w:val="55AE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B4F05"/>
    <w:multiLevelType w:val="multilevel"/>
    <w:tmpl w:val="4E663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E7C8D"/>
    <w:multiLevelType w:val="multilevel"/>
    <w:tmpl w:val="BC98BEC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CAC06B1"/>
    <w:multiLevelType w:val="hybridMultilevel"/>
    <w:tmpl w:val="11E6FC32"/>
    <w:lvl w:ilvl="0" w:tplc="B44C74FA">
      <w:start w:val="1"/>
      <w:numFmt w:val="bullet"/>
      <w:lvlText w:val="o"/>
      <w:lvlJc w:val="left"/>
      <w:pPr>
        <w:ind w:left="1069" w:hanging="360"/>
      </w:pPr>
      <w:rPr>
        <w:rFonts w:ascii="Courier New" w:hAnsi="Courier New" w:hint="default"/>
      </w:rPr>
    </w:lvl>
    <w:lvl w:ilvl="1" w:tplc="36604CEC">
      <w:start w:val="1"/>
      <w:numFmt w:val="bullet"/>
      <w:lvlText w:val="o"/>
      <w:lvlJc w:val="left"/>
      <w:pPr>
        <w:ind w:left="1789" w:hanging="360"/>
      </w:pPr>
      <w:rPr>
        <w:rFonts w:ascii="Courier New" w:hAnsi="Courier New" w:hint="default"/>
      </w:rPr>
    </w:lvl>
    <w:lvl w:ilvl="2" w:tplc="7A2A3C74">
      <w:start w:val="1"/>
      <w:numFmt w:val="bullet"/>
      <w:lvlText w:val=""/>
      <w:lvlJc w:val="left"/>
      <w:pPr>
        <w:ind w:left="2509" w:hanging="360"/>
      </w:pPr>
      <w:rPr>
        <w:rFonts w:ascii="Wingdings" w:hAnsi="Wingdings" w:hint="default"/>
      </w:rPr>
    </w:lvl>
    <w:lvl w:ilvl="3" w:tplc="8AEC0E58">
      <w:start w:val="1"/>
      <w:numFmt w:val="bullet"/>
      <w:lvlText w:val=""/>
      <w:lvlJc w:val="left"/>
      <w:pPr>
        <w:ind w:left="3229" w:hanging="360"/>
      </w:pPr>
      <w:rPr>
        <w:rFonts w:ascii="Symbol" w:hAnsi="Symbol" w:hint="default"/>
      </w:rPr>
    </w:lvl>
    <w:lvl w:ilvl="4" w:tplc="967486E2">
      <w:start w:val="1"/>
      <w:numFmt w:val="bullet"/>
      <w:lvlText w:val="o"/>
      <w:lvlJc w:val="left"/>
      <w:pPr>
        <w:ind w:left="3949" w:hanging="360"/>
      </w:pPr>
      <w:rPr>
        <w:rFonts w:ascii="Courier New" w:hAnsi="Courier New" w:hint="default"/>
      </w:rPr>
    </w:lvl>
    <w:lvl w:ilvl="5" w:tplc="23749DD8">
      <w:start w:val="1"/>
      <w:numFmt w:val="bullet"/>
      <w:lvlText w:val=""/>
      <w:lvlJc w:val="left"/>
      <w:pPr>
        <w:ind w:left="4669" w:hanging="360"/>
      </w:pPr>
      <w:rPr>
        <w:rFonts w:ascii="Wingdings" w:hAnsi="Wingdings" w:hint="default"/>
      </w:rPr>
    </w:lvl>
    <w:lvl w:ilvl="6" w:tplc="FFC031C8">
      <w:start w:val="1"/>
      <w:numFmt w:val="bullet"/>
      <w:lvlText w:val=""/>
      <w:lvlJc w:val="left"/>
      <w:pPr>
        <w:ind w:left="5389" w:hanging="360"/>
      </w:pPr>
      <w:rPr>
        <w:rFonts w:ascii="Symbol" w:hAnsi="Symbol" w:hint="default"/>
      </w:rPr>
    </w:lvl>
    <w:lvl w:ilvl="7" w:tplc="501A4BE8">
      <w:start w:val="1"/>
      <w:numFmt w:val="bullet"/>
      <w:lvlText w:val="o"/>
      <w:lvlJc w:val="left"/>
      <w:pPr>
        <w:ind w:left="6109" w:hanging="360"/>
      </w:pPr>
      <w:rPr>
        <w:rFonts w:ascii="Courier New" w:hAnsi="Courier New" w:hint="default"/>
      </w:rPr>
    </w:lvl>
    <w:lvl w:ilvl="8" w:tplc="891EE336">
      <w:start w:val="1"/>
      <w:numFmt w:val="bullet"/>
      <w:lvlText w:val=""/>
      <w:lvlJc w:val="left"/>
      <w:pPr>
        <w:ind w:left="6829" w:hanging="360"/>
      </w:pPr>
      <w:rPr>
        <w:rFonts w:ascii="Wingdings" w:hAnsi="Wingdings" w:hint="default"/>
      </w:rPr>
    </w:lvl>
  </w:abstractNum>
  <w:abstractNum w:abstractNumId="25" w15:restartNumberingAfterBreak="0">
    <w:nsid w:val="5DD15F5B"/>
    <w:multiLevelType w:val="multilevel"/>
    <w:tmpl w:val="F7C0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73BB5"/>
    <w:multiLevelType w:val="hybridMultilevel"/>
    <w:tmpl w:val="ADAC1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034438"/>
    <w:multiLevelType w:val="hybridMultilevel"/>
    <w:tmpl w:val="AE405AD8"/>
    <w:lvl w:ilvl="0" w:tplc="870C464C">
      <w:start w:val="1"/>
      <w:numFmt w:val="bullet"/>
      <w:lvlText w:val="•"/>
      <w:lvlJc w:val="left"/>
      <w:pPr>
        <w:ind w:left="720" w:hanging="360"/>
      </w:pPr>
    </w:lvl>
    <w:lvl w:ilvl="1" w:tplc="2042C902">
      <w:start w:val="1"/>
      <w:numFmt w:val="bullet"/>
      <w:lvlText w:val="◦"/>
      <w:lvlJc w:val="left"/>
      <w:pPr>
        <w:ind w:left="1080" w:hanging="360"/>
      </w:pPr>
    </w:lvl>
    <w:lvl w:ilvl="2" w:tplc="00A27E5A">
      <w:numFmt w:val="decimal"/>
      <w:lvlText w:val=""/>
      <w:lvlJc w:val="left"/>
    </w:lvl>
    <w:lvl w:ilvl="3" w:tplc="A9F46968">
      <w:numFmt w:val="decimal"/>
      <w:lvlText w:val=""/>
      <w:lvlJc w:val="left"/>
    </w:lvl>
    <w:lvl w:ilvl="4" w:tplc="4C806216">
      <w:numFmt w:val="decimal"/>
      <w:lvlText w:val=""/>
      <w:lvlJc w:val="left"/>
    </w:lvl>
    <w:lvl w:ilvl="5" w:tplc="7FA691EA">
      <w:numFmt w:val="decimal"/>
      <w:lvlText w:val=""/>
      <w:lvlJc w:val="left"/>
    </w:lvl>
    <w:lvl w:ilvl="6" w:tplc="25184FEE">
      <w:numFmt w:val="decimal"/>
      <w:lvlText w:val=""/>
      <w:lvlJc w:val="left"/>
    </w:lvl>
    <w:lvl w:ilvl="7" w:tplc="B114DE26">
      <w:numFmt w:val="decimal"/>
      <w:lvlText w:val=""/>
      <w:lvlJc w:val="left"/>
    </w:lvl>
    <w:lvl w:ilvl="8" w:tplc="09A20222">
      <w:numFmt w:val="decimal"/>
      <w:lvlText w:val=""/>
      <w:lvlJc w:val="left"/>
    </w:lvl>
  </w:abstractNum>
  <w:abstractNum w:abstractNumId="28" w15:restartNumberingAfterBreak="0">
    <w:nsid w:val="60432D67"/>
    <w:multiLevelType w:val="hybridMultilevel"/>
    <w:tmpl w:val="0B704380"/>
    <w:lvl w:ilvl="0" w:tplc="DBF8551C">
      <w:start w:val="1"/>
      <w:numFmt w:val="bullet"/>
      <w:lvlText w:val="o"/>
      <w:lvlJc w:val="left"/>
      <w:pPr>
        <w:ind w:left="1069" w:hanging="360"/>
      </w:pPr>
      <w:rPr>
        <w:rFonts w:ascii="Courier New" w:hAnsi="Courier New" w:hint="default"/>
      </w:rPr>
    </w:lvl>
    <w:lvl w:ilvl="1" w:tplc="7AE070CE">
      <w:start w:val="1"/>
      <w:numFmt w:val="bullet"/>
      <w:lvlText w:val="o"/>
      <w:lvlJc w:val="left"/>
      <w:pPr>
        <w:ind w:left="1789" w:hanging="360"/>
      </w:pPr>
      <w:rPr>
        <w:rFonts w:ascii="Courier New" w:hAnsi="Courier New" w:hint="default"/>
      </w:rPr>
    </w:lvl>
    <w:lvl w:ilvl="2" w:tplc="15CCB566">
      <w:start w:val="1"/>
      <w:numFmt w:val="bullet"/>
      <w:lvlText w:val=""/>
      <w:lvlJc w:val="left"/>
      <w:pPr>
        <w:ind w:left="2509" w:hanging="360"/>
      </w:pPr>
      <w:rPr>
        <w:rFonts w:ascii="Wingdings" w:hAnsi="Wingdings" w:hint="default"/>
      </w:rPr>
    </w:lvl>
    <w:lvl w:ilvl="3" w:tplc="A7841C9E">
      <w:start w:val="1"/>
      <w:numFmt w:val="bullet"/>
      <w:lvlText w:val=""/>
      <w:lvlJc w:val="left"/>
      <w:pPr>
        <w:ind w:left="3229" w:hanging="360"/>
      </w:pPr>
      <w:rPr>
        <w:rFonts w:ascii="Symbol" w:hAnsi="Symbol" w:hint="default"/>
      </w:rPr>
    </w:lvl>
    <w:lvl w:ilvl="4" w:tplc="29FADC4A">
      <w:start w:val="1"/>
      <w:numFmt w:val="bullet"/>
      <w:lvlText w:val="o"/>
      <w:lvlJc w:val="left"/>
      <w:pPr>
        <w:ind w:left="3949" w:hanging="360"/>
      </w:pPr>
      <w:rPr>
        <w:rFonts w:ascii="Courier New" w:hAnsi="Courier New" w:hint="default"/>
      </w:rPr>
    </w:lvl>
    <w:lvl w:ilvl="5" w:tplc="AF42EC94">
      <w:start w:val="1"/>
      <w:numFmt w:val="bullet"/>
      <w:lvlText w:val=""/>
      <w:lvlJc w:val="left"/>
      <w:pPr>
        <w:ind w:left="4669" w:hanging="360"/>
      </w:pPr>
      <w:rPr>
        <w:rFonts w:ascii="Wingdings" w:hAnsi="Wingdings" w:hint="default"/>
      </w:rPr>
    </w:lvl>
    <w:lvl w:ilvl="6" w:tplc="739A649A">
      <w:start w:val="1"/>
      <w:numFmt w:val="bullet"/>
      <w:lvlText w:val=""/>
      <w:lvlJc w:val="left"/>
      <w:pPr>
        <w:ind w:left="5389" w:hanging="360"/>
      </w:pPr>
      <w:rPr>
        <w:rFonts w:ascii="Symbol" w:hAnsi="Symbol" w:hint="default"/>
      </w:rPr>
    </w:lvl>
    <w:lvl w:ilvl="7" w:tplc="08B6996A">
      <w:start w:val="1"/>
      <w:numFmt w:val="bullet"/>
      <w:lvlText w:val="o"/>
      <w:lvlJc w:val="left"/>
      <w:pPr>
        <w:ind w:left="6109" w:hanging="360"/>
      </w:pPr>
      <w:rPr>
        <w:rFonts w:ascii="Courier New" w:hAnsi="Courier New" w:hint="default"/>
      </w:rPr>
    </w:lvl>
    <w:lvl w:ilvl="8" w:tplc="FC666DFC">
      <w:start w:val="1"/>
      <w:numFmt w:val="bullet"/>
      <w:lvlText w:val=""/>
      <w:lvlJc w:val="left"/>
      <w:pPr>
        <w:ind w:left="6829" w:hanging="360"/>
      </w:pPr>
      <w:rPr>
        <w:rFonts w:ascii="Wingdings" w:hAnsi="Wingdings" w:hint="default"/>
      </w:rPr>
    </w:lvl>
  </w:abstractNum>
  <w:abstractNum w:abstractNumId="29" w15:restartNumberingAfterBreak="0">
    <w:nsid w:val="62646811"/>
    <w:multiLevelType w:val="hybridMultilevel"/>
    <w:tmpl w:val="C5920FD2"/>
    <w:lvl w:ilvl="0" w:tplc="04090001">
      <w:start w:val="1"/>
      <w:numFmt w:val="bullet"/>
      <w:lvlText w:val=""/>
      <w:lvlJc w:val="left"/>
      <w:pPr>
        <w:ind w:left="720" w:hanging="360"/>
      </w:pPr>
      <w:rPr>
        <w:rFonts w:ascii="Symbol" w:hAnsi="Symbol" w:hint="default"/>
      </w:rPr>
    </w:lvl>
    <w:lvl w:ilvl="1" w:tplc="7CF40EF4">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69E95F21"/>
    <w:multiLevelType w:val="multilevel"/>
    <w:tmpl w:val="756A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A7346B"/>
    <w:multiLevelType w:val="hybridMultilevel"/>
    <w:tmpl w:val="B59497F2"/>
    <w:lvl w:ilvl="0" w:tplc="04090003">
      <w:start w:val="1"/>
      <w:numFmt w:val="bullet"/>
      <w:lvlText w:val="o"/>
      <w:lvlJc w:val="left"/>
      <w:pPr>
        <w:ind w:left="1069" w:hanging="360"/>
      </w:pPr>
      <w:rPr>
        <w:rFonts w:ascii="Courier New" w:hAnsi="Courier New" w:cs="Courier New" w:hint="default"/>
      </w:rPr>
    </w:lvl>
    <w:lvl w:ilvl="1" w:tplc="04090005">
      <w:start w:val="1"/>
      <w:numFmt w:val="bullet"/>
      <w:lvlText w:val=""/>
      <w:lvlJc w:val="left"/>
      <w:pPr>
        <w:ind w:left="1789" w:hanging="360"/>
      </w:pPr>
      <w:rPr>
        <w:rFonts w:ascii="Wingdings" w:hAnsi="Wingdings"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6F64C215"/>
    <w:multiLevelType w:val="hybridMultilevel"/>
    <w:tmpl w:val="918C3592"/>
    <w:lvl w:ilvl="0" w:tplc="76E82D7A">
      <w:start w:val="1"/>
      <w:numFmt w:val="decimal"/>
      <w:lvlText w:val="•"/>
      <w:lvlJc w:val="left"/>
      <w:pPr>
        <w:ind w:left="720" w:hanging="360"/>
      </w:pPr>
    </w:lvl>
    <w:lvl w:ilvl="1" w:tplc="18F02658">
      <w:start w:val="1"/>
      <w:numFmt w:val="lowerLetter"/>
      <w:lvlText w:val="%2."/>
      <w:lvlJc w:val="left"/>
      <w:pPr>
        <w:ind w:left="1440" w:hanging="360"/>
      </w:pPr>
    </w:lvl>
    <w:lvl w:ilvl="2" w:tplc="7390D06E">
      <w:start w:val="1"/>
      <w:numFmt w:val="lowerRoman"/>
      <w:lvlText w:val="%3."/>
      <w:lvlJc w:val="right"/>
      <w:pPr>
        <w:ind w:left="2160" w:hanging="180"/>
      </w:pPr>
    </w:lvl>
    <w:lvl w:ilvl="3" w:tplc="C11E4EC6">
      <w:start w:val="1"/>
      <w:numFmt w:val="decimal"/>
      <w:lvlText w:val="%4."/>
      <w:lvlJc w:val="left"/>
      <w:pPr>
        <w:ind w:left="2880" w:hanging="360"/>
      </w:pPr>
    </w:lvl>
    <w:lvl w:ilvl="4" w:tplc="5084430E">
      <w:start w:val="1"/>
      <w:numFmt w:val="lowerLetter"/>
      <w:lvlText w:val="%5."/>
      <w:lvlJc w:val="left"/>
      <w:pPr>
        <w:ind w:left="3600" w:hanging="360"/>
      </w:pPr>
    </w:lvl>
    <w:lvl w:ilvl="5" w:tplc="BB60E6A2">
      <w:start w:val="1"/>
      <w:numFmt w:val="lowerRoman"/>
      <w:lvlText w:val="%6."/>
      <w:lvlJc w:val="right"/>
      <w:pPr>
        <w:ind w:left="4320" w:hanging="180"/>
      </w:pPr>
    </w:lvl>
    <w:lvl w:ilvl="6" w:tplc="7AE4FAB0">
      <w:start w:val="1"/>
      <w:numFmt w:val="decimal"/>
      <w:lvlText w:val="%7."/>
      <w:lvlJc w:val="left"/>
      <w:pPr>
        <w:ind w:left="5040" w:hanging="360"/>
      </w:pPr>
    </w:lvl>
    <w:lvl w:ilvl="7" w:tplc="DFF66E8C">
      <w:start w:val="1"/>
      <w:numFmt w:val="lowerLetter"/>
      <w:lvlText w:val="%8."/>
      <w:lvlJc w:val="left"/>
      <w:pPr>
        <w:ind w:left="5760" w:hanging="360"/>
      </w:pPr>
    </w:lvl>
    <w:lvl w:ilvl="8" w:tplc="5EE25F54">
      <w:start w:val="1"/>
      <w:numFmt w:val="lowerRoman"/>
      <w:lvlText w:val="%9."/>
      <w:lvlJc w:val="right"/>
      <w:pPr>
        <w:ind w:left="6480" w:hanging="180"/>
      </w:pPr>
    </w:lvl>
  </w:abstractNum>
  <w:abstractNum w:abstractNumId="33" w15:restartNumberingAfterBreak="0">
    <w:nsid w:val="74077B1D"/>
    <w:multiLevelType w:val="hybridMultilevel"/>
    <w:tmpl w:val="CD5A8F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5D4D78"/>
    <w:multiLevelType w:val="multilevel"/>
    <w:tmpl w:val="4F66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33C88"/>
    <w:multiLevelType w:val="multilevel"/>
    <w:tmpl w:val="BF8A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910177">
    <w:abstractNumId w:val="24"/>
  </w:num>
  <w:num w:numId="2" w16cid:durableId="8529654">
    <w:abstractNumId w:val="28"/>
  </w:num>
  <w:num w:numId="3" w16cid:durableId="1072511707">
    <w:abstractNumId w:val="0"/>
  </w:num>
  <w:num w:numId="4" w16cid:durableId="959843546">
    <w:abstractNumId w:val="32"/>
  </w:num>
  <w:num w:numId="5" w16cid:durableId="820541780">
    <w:abstractNumId w:val="7"/>
  </w:num>
  <w:num w:numId="6" w16cid:durableId="450634187">
    <w:abstractNumId w:val="6"/>
  </w:num>
  <w:num w:numId="7" w16cid:durableId="5250910">
    <w:abstractNumId w:val="4"/>
  </w:num>
  <w:num w:numId="8" w16cid:durableId="654380969">
    <w:abstractNumId w:val="29"/>
  </w:num>
  <w:num w:numId="9" w16cid:durableId="847212393">
    <w:abstractNumId w:val="31"/>
  </w:num>
  <w:num w:numId="10" w16cid:durableId="1911113118">
    <w:abstractNumId w:val="20"/>
  </w:num>
  <w:num w:numId="11" w16cid:durableId="1544900049">
    <w:abstractNumId w:val="9"/>
  </w:num>
  <w:num w:numId="12" w16cid:durableId="347175761">
    <w:abstractNumId w:val="16"/>
  </w:num>
  <w:num w:numId="13" w16cid:durableId="1086077167">
    <w:abstractNumId w:val="15"/>
  </w:num>
  <w:num w:numId="14" w16cid:durableId="2005358957">
    <w:abstractNumId w:val="30"/>
  </w:num>
  <w:num w:numId="15" w16cid:durableId="262305489">
    <w:abstractNumId w:val="34"/>
  </w:num>
  <w:num w:numId="16" w16cid:durableId="1083717845">
    <w:abstractNumId w:val="3"/>
  </w:num>
  <w:num w:numId="17" w16cid:durableId="2070954781">
    <w:abstractNumId w:val="5"/>
  </w:num>
  <w:num w:numId="18" w16cid:durableId="1066339043">
    <w:abstractNumId w:val="10"/>
  </w:num>
  <w:num w:numId="19" w16cid:durableId="788621">
    <w:abstractNumId w:val="13"/>
  </w:num>
  <w:num w:numId="20" w16cid:durableId="1918588832">
    <w:abstractNumId w:val="23"/>
  </w:num>
  <w:num w:numId="21" w16cid:durableId="862599658">
    <w:abstractNumId w:val="2"/>
  </w:num>
  <w:num w:numId="22" w16cid:durableId="566840219">
    <w:abstractNumId w:val="1"/>
  </w:num>
  <w:num w:numId="23" w16cid:durableId="309138614">
    <w:abstractNumId w:val="17"/>
  </w:num>
  <w:num w:numId="24" w16cid:durableId="1838108646">
    <w:abstractNumId w:val="22"/>
  </w:num>
  <w:num w:numId="25" w16cid:durableId="157773675">
    <w:abstractNumId w:val="25"/>
  </w:num>
  <w:num w:numId="26" w16cid:durableId="689113606">
    <w:abstractNumId w:val="12"/>
  </w:num>
  <w:num w:numId="27" w16cid:durableId="319965845">
    <w:abstractNumId w:val="11"/>
  </w:num>
  <w:num w:numId="28" w16cid:durableId="1381441038">
    <w:abstractNumId w:val="35"/>
  </w:num>
  <w:num w:numId="29" w16cid:durableId="189534157">
    <w:abstractNumId w:val="21"/>
  </w:num>
  <w:num w:numId="30" w16cid:durableId="909316727">
    <w:abstractNumId w:val="8"/>
  </w:num>
  <w:num w:numId="31" w16cid:durableId="494615497">
    <w:abstractNumId w:val="26"/>
  </w:num>
  <w:num w:numId="32" w16cid:durableId="325791908">
    <w:abstractNumId w:val="27"/>
    <w:lvlOverride w:ilvl="0">
      <w:startOverride w:val="1"/>
    </w:lvlOverride>
  </w:num>
  <w:num w:numId="33" w16cid:durableId="1642343913">
    <w:abstractNumId w:val="6"/>
  </w:num>
  <w:num w:numId="34" w16cid:durableId="518860302">
    <w:abstractNumId w:val="6"/>
  </w:num>
  <w:num w:numId="35" w16cid:durableId="1313869643">
    <w:abstractNumId w:val="6"/>
    <w:lvlOverride w:ilvl="0">
      <w:startOverride w:val="1"/>
    </w:lvlOverride>
  </w:num>
  <w:num w:numId="36" w16cid:durableId="822699685">
    <w:abstractNumId w:val="14"/>
  </w:num>
  <w:num w:numId="37" w16cid:durableId="187569504">
    <w:abstractNumId w:val="19"/>
    <w:lvlOverride w:ilvl="0">
      <w:startOverride w:val="1"/>
    </w:lvlOverride>
  </w:num>
  <w:num w:numId="38" w16cid:durableId="1080561087">
    <w:abstractNumId w:val="18"/>
  </w:num>
  <w:num w:numId="39" w16cid:durableId="710306025">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76"/>
    <w:rsid w:val="00000858"/>
    <w:rsid w:val="0000498B"/>
    <w:rsid w:val="00005293"/>
    <w:rsid w:val="00005B8F"/>
    <w:rsid w:val="00006269"/>
    <w:rsid w:val="0000771E"/>
    <w:rsid w:val="00015A6E"/>
    <w:rsid w:val="00022566"/>
    <w:rsid w:val="000233C5"/>
    <w:rsid w:val="00023CD3"/>
    <w:rsid w:val="000248E9"/>
    <w:rsid w:val="00031ED6"/>
    <w:rsid w:val="000330F6"/>
    <w:rsid w:val="0003663E"/>
    <w:rsid w:val="00037864"/>
    <w:rsid w:val="00040D0B"/>
    <w:rsid w:val="00050171"/>
    <w:rsid w:val="00054A7B"/>
    <w:rsid w:val="00061614"/>
    <w:rsid w:val="0006310C"/>
    <w:rsid w:val="00064B66"/>
    <w:rsid w:val="00066B46"/>
    <w:rsid w:val="00066C1E"/>
    <w:rsid w:val="000671D3"/>
    <w:rsid w:val="00067B0A"/>
    <w:rsid w:val="000717D2"/>
    <w:rsid w:val="00072665"/>
    <w:rsid w:val="00072675"/>
    <w:rsid w:val="00072F12"/>
    <w:rsid w:val="0007538F"/>
    <w:rsid w:val="00077E3A"/>
    <w:rsid w:val="00081451"/>
    <w:rsid w:val="00082F5C"/>
    <w:rsid w:val="00083095"/>
    <w:rsid w:val="000967A5"/>
    <w:rsid w:val="000977B6"/>
    <w:rsid w:val="000A0CB6"/>
    <w:rsid w:val="000A3772"/>
    <w:rsid w:val="000A3E25"/>
    <w:rsid w:val="000A4B13"/>
    <w:rsid w:val="000A6D96"/>
    <w:rsid w:val="000B11CE"/>
    <w:rsid w:val="000B1AA1"/>
    <w:rsid w:val="000B31C1"/>
    <w:rsid w:val="000B7F06"/>
    <w:rsid w:val="000C0603"/>
    <w:rsid w:val="000C0DCF"/>
    <w:rsid w:val="000C3D18"/>
    <w:rsid w:val="000C5499"/>
    <w:rsid w:val="000C706E"/>
    <w:rsid w:val="000D0CC9"/>
    <w:rsid w:val="000D25D2"/>
    <w:rsid w:val="000D2B60"/>
    <w:rsid w:val="000D3AAF"/>
    <w:rsid w:val="000D43AA"/>
    <w:rsid w:val="000D47C9"/>
    <w:rsid w:val="000D578E"/>
    <w:rsid w:val="000E2172"/>
    <w:rsid w:val="000E35AE"/>
    <w:rsid w:val="000E6C94"/>
    <w:rsid w:val="000F1549"/>
    <w:rsid w:val="000F3135"/>
    <w:rsid w:val="000F4D71"/>
    <w:rsid w:val="000F5D08"/>
    <w:rsid w:val="000F6E71"/>
    <w:rsid w:val="0010149C"/>
    <w:rsid w:val="00101592"/>
    <w:rsid w:val="00103428"/>
    <w:rsid w:val="00106969"/>
    <w:rsid w:val="00111253"/>
    <w:rsid w:val="00113E3C"/>
    <w:rsid w:val="001167FE"/>
    <w:rsid w:val="00120A20"/>
    <w:rsid w:val="00121F8E"/>
    <w:rsid w:val="0012243F"/>
    <w:rsid w:val="0012246B"/>
    <w:rsid w:val="00124E71"/>
    <w:rsid w:val="00126D4C"/>
    <w:rsid w:val="00132D11"/>
    <w:rsid w:val="00133ED6"/>
    <w:rsid w:val="00141004"/>
    <w:rsid w:val="00144139"/>
    <w:rsid w:val="00144FC7"/>
    <w:rsid w:val="00147DB1"/>
    <w:rsid w:val="00150A86"/>
    <w:rsid w:val="001512DA"/>
    <w:rsid w:val="00151F32"/>
    <w:rsid w:val="001521AD"/>
    <w:rsid w:val="00152B72"/>
    <w:rsid w:val="00153AC9"/>
    <w:rsid w:val="00153DFD"/>
    <w:rsid w:val="00154F62"/>
    <w:rsid w:val="001560EC"/>
    <w:rsid w:val="00156B2F"/>
    <w:rsid w:val="00161A32"/>
    <w:rsid w:val="0016414A"/>
    <w:rsid w:val="00171A59"/>
    <w:rsid w:val="00171E55"/>
    <w:rsid w:val="00173D19"/>
    <w:rsid w:val="00174D13"/>
    <w:rsid w:val="00174FA6"/>
    <w:rsid w:val="001755FB"/>
    <w:rsid w:val="001769E2"/>
    <w:rsid w:val="00180BF8"/>
    <w:rsid w:val="001822DB"/>
    <w:rsid w:val="00185C3A"/>
    <w:rsid w:val="001866DF"/>
    <w:rsid w:val="00186F02"/>
    <w:rsid w:val="00187F25"/>
    <w:rsid w:val="00190B4B"/>
    <w:rsid w:val="00190C0C"/>
    <w:rsid w:val="00190EB2"/>
    <w:rsid w:val="00190FC3"/>
    <w:rsid w:val="00194E95"/>
    <w:rsid w:val="0019798D"/>
    <w:rsid w:val="001A6F28"/>
    <w:rsid w:val="001A708C"/>
    <w:rsid w:val="001B0C19"/>
    <w:rsid w:val="001B12AA"/>
    <w:rsid w:val="001B235C"/>
    <w:rsid w:val="001B3267"/>
    <w:rsid w:val="001B39B1"/>
    <w:rsid w:val="001B69B0"/>
    <w:rsid w:val="001C0018"/>
    <w:rsid w:val="001C328E"/>
    <w:rsid w:val="001C4FA4"/>
    <w:rsid w:val="001C5079"/>
    <w:rsid w:val="001C57E9"/>
    <w:rsid w:val="001D2187"/>
    <w:rsid w:val="001D6671"/>
    <w:rsid w:val="001E2996"/>
    <w:rsid w:val="001E77C7"/>
    <w:rsid w:val="001F03D7"/>
    <w:rsid w:val="001F1CF2"/>
    <w:rsid w:val="001F5805"/>
    <w:rsid w:val="001F7209"/>
    <w:rsid w:val="00202AA0"/>
    <w:rsid w:val="002039BB"/>
    <w:rsid w:val="00204150"/>
    <w:rsid w:val="002120D8"/>
    <w:rsid w:val="00220570"/>
    <w:rsid w:val="002211DB"/>
    <w:rsid w:val="0022379A"/>
    <w:rsid w:val="00223A3B"/>
    <w:rsid w:val="00224461"/>
    <w:rsid w:val="00226088"/>
    <w:rsid w:val="00227286"/>
    <w:rsid w:val="00227D64"/>
    <w:rsid w:val="00231E57"/>
    <w:rsid w:val="00232B0D"/>
    <w:rsid w:val="00235AE3"/>
    <w:rsid w:val="00235CDD"/>
    <w:rsid w:val="00237032"/>
    <w:rsid w:val="00237D05"/>
    <w:rsid w:val="00240102"/>
    <w:rsid w:val="00244187"/>
    <w:rsid w:val="00244ADE"/>
    <w:rsid w:val="00250229"/>
    <w:rsid w:val="00251F50"/>
    <w:rsid w:val="00257327"/>
    <w:rsid w:val="00261129"/>
    <w:rsid w:val="00263351"/>
    <w:rsid w:val="002634B8"/>
    <w:rsid w:val="0026505A"/>
    <w:rsid w:val="002650C9"/>
    <w:rsid w:val="00273CED"/>
    <w:rsid w:val="002750D3"/>
    <w:rsid w:val="0027724C"/>
    <w:rsid w:val="0028120C"/>
    <w:rsid w:val="00281B44"/>
    <w:rsid w:val="0028319D"/>
    <w:rsid w:val="00283BE3"/>
    <w:rsid w:val="002852F2"/>
    <w:rsid w:val="00285BA9"/>
    <w:rsid w:val="00290050"/>
    <w:rsid w:val="00295C73"/>
    <w:rsid w:val="0029654B"/>
    <w:rsid w:val="00297146"/>
    <w:rsid w:val="002A2613"/>
    <w:rsid w:val="002A4B01"/>
    <w:rsid w:val="002A5348"/>
    <w:rsid w:val="002A6115"/>
    <w:rsid w:val="002A653F"/>
    <w:rsid w:val="002A67E6"/>
    <w:rsid w:val="002B0463"/>
    <w:rsid w:val="002B2B22"/>
    <w:rsid w:val="002B35FC"/>
    <w:rsid w:val="002B5ECD"/>
    <w:rsid w:val="002B5EF5"/>
    <w:rsid w:val="002B6130"/>
    <w:rsid w:val="002B6380"/>
    <w:rsid w:val="002B6909"/>
    <w:rsid w:val="002C393F"/>
    <w:rsid w:val="002C47B2"/>
    <w:rsid w:val="002C5456"/>
    <w:rsid w:val="002C7C2A"/>
    <w:rsid w:val="002C7EDC"/>
    <w:rsid w:val="002D0646"/>
    <w:rsid w:val="002D1B0B"/>
    <w:rsid w:val="002D53FB"/>
    <w:rsid w:val="002D72AF"/>
    <w:rsid w:val="002E15F3"/>
    <w:rsid w:val="002E1DA9"/>
    <w:rsid w:val="002E4634"/>
    <w:rsid w:val="002E5284"/>
    <w:rsid w:val="002E6600"/>
    <w:rsid w:val="002F016B"/>
    <w:rsid w:val="002F08D3"/>
    <w:rsid w:val="002F0A14"/>
    <w:rsid w:val="002F0B95"/>
    <w:rsid w:val="002F0E94"/>
    <w:rsid w:val="002F3690"/>
    <w:rsid w:val="002F4C9B"/>
    <w:rsid w:val="002F56D5"/>
    <w:rsid w:val="002F7529"/>
    <w:rsid w:val="00301C33"/>
    <w:rsid w:val="00307DA3"/>
    <w:rsid w:val="003103AB"/>
    <w:rsid w:val="00313B5A"/>
    <w:rsid w:val="00320187"/>
    <w:rsid w:val="0032050D"/>
    <w:rsid w:val="00320959"/>
    <w:rsid w:val="00323B25"/>
    <w:rsid w:val="00323FC6"/>
    <w:rsid w:val="003308C7"/>
    <w:rsid w:val="00330B22"/>
    <w:rsid w:val="00332236"/>
    <w:rsid w:val="003357F4"/>
    <w:rsid w:val="00336D40"/>
    <w:rsid w:val="003379BF"/>
    <w:rsid w:val="00345AD1"/>
    <w:rsid w:val="00346636"/>
    <w:rsid w:val="00347F2B"/>
    <w:rsid w:val="0035144D"/>
    <w:rsid w:val="00352E76"/>
    <w:rsid w:val="00356832"/>
    <w:rsid w:val="0035745E"/>
    <w:rsid w:val="00357FFB"/>
    <w:rsid w:val="00360B33"/>
    <w:rsid w:val="00360D28"/>
    <w:rsid w:val="00363C57"/>
    <w:rsid w:val="00365907"/>
    <w:rsid w:val="003673C4"/>
    <w:rsid w:val="003709BB"/>
    <w:rsid w:val="003712B2"/>
    <w:rsid w:val="003727BF"/>
    <w:rsid w:val="003733B3"/>
    <w:rsid w:val="003751BE"/>
    <w:rsid w:val="0037604B"/>
    <w:rsid w:val="00383243"/>
    <w:rsid w:val="00383876"/>
    <w:rsid w:val="00384491"/>
    <w:rsid w:val="00386709"/>
    <w:rsid w:val="00387C9E"/>
    <w:rsid w:val="003921D5"/>
    <w:rsid w:val="00392377"/>
    <w:rsid w:val="00392BFD"/>
    <w:rsid w:val="00393F74"/>
    <w:rsid w:val="00395133"/>
    <w:rsid w:val="00395B64"/>
    <w:rsid w:val="00397E41"/>
    <w:rsid w:val="003A32DA"/>
    <w:rsid w:val="003A6E50"/>
    <w:rsid w:val="003A7301"/>
    <w:rsid w:val="003A7EF0"/>
    <w:rsid w:val="003B2F40"/>
    <w:rsid w:val="003B41D8"/>
    <w:rsid w:val="003B6721"/>
    <w:rsid w:val="003C0672"/>
    <w:rsid w:val="003C3C29"/>
    <w:rsid w:val="003C46FA"/>
    <w:rsid w:val="003C7660"/>
    <w:rsid w:val="003D054C"/>
    <w:rsid w:val="003D0B0D"/>
    <w:rsid w:val="003D0B49"/>
    <w:rsid w:val="003D1352"/>
    <w:rsid w:val="003D6589"/>
    <w:rsid w:val="003D6895"/>
    <w:rsid w:val="003E171E"/>
    <w:rsid w:val="003E5AC0"/>
    <w:rsid w:val="003E7C67"/>
    <w:rsid w:val="004020D9"/>
    <w:rsid w:val="004039BA"/>
    <w:rsid w:val="00403D28"/>
    <w:rsid w:val="00404E05"/>
    <w:rsid w:val="00413132"/>
    <w:rsid w:val="004170CE"/>
    <w:rsid w:val="00417875"/>
    <w:rsid w:val="00421491"/>
    <w:rsid w:val="0042229D"/>
    <w:rsid w:val="00423E23"/>
    <w:rsid w:val="00424A0D"/>
    <w:rsid w:val="004267ED"/>
    <w:rsid w:val="004273F7"/>
    <w:rsid w:val="00427794"/>
    <w:rsid w:val="00434D37"/>
    <w:rsid w:val="004415C0"/>
    <w:rsid w:val="004439D5"/>
    <w:rsid w:val="00444D50"/>
    <w:rsid w:val="00444E91"/>
    <w:rsid w:val="00450E15"/>
    <w:rsid w:val="00450FA2"/>
    <w:rsid w:val="0045277E"/>
    <w:rsid w:val="00454BF7"/>
    <w:rsid w:val="004556A8"/>
    <w:rsid w:val="00456AD5"/>
    <w:rsid w:val="00456FE3"/>
    <w:rsid w:val="004607E6"/>
    <w:rsid w:val="00460E93"/>
    <w:rsid w:val="00466D70"/>
    <w:rsid w:val="00467C26"/>
    <w:rsid w:val="00471000"/>
    <w:rsid w:val="00472AFA"/>
    <w:rsid w:val="0047356E"/>
    <w:rsid w:val="00483804"/>
    <w:rsid w:val="00487740"/>
    <w:rsid w:val="00490C85"/>
    <w:rsid w:val="00490EF1"/>
    <w:rsid w:val="004957CA"/>
    <w:rsid w:val="004A00F2"/>
    <w:rsid w:val="004A3D14"/>
    <w:rsid w:val="004A3F6F"/>
    <w:rsid w:val="004A43FA"/>
    <w:rsid w:val="004A57A0"/>
    <w:rsid w:val="004A5CAB"/>
    <w:rsid w:val="004A5EF8"/>
    <w:rsid w:val="004A6447"/>
    <w:rsid w:val="004A7850"/>
    <w:rsid w:val="004B101E"/>
    <w:rsid w:val="004B2015"/>
    <w:rsid w:val="004B211D"/>
    <w:rsid w:val="004B3DB7"/>
    <w:rsid w:val="004B4F49"/>
    <w:rsid w:val="004B567B"/>
    <w:rsid w:val="004B7C4B"/>
    <w:rsid w:val="004C04F5"/>
    <w:rsid w:val="004C1248"/>
    <w:rsid w:val="004C1852"/>
    <w:rsid w:val="004C258F"/>
    <w:rsid w:val="004C2F93"/>
    <w:rsid w:val="004C4A8B"/>
    <w:rsid w:val="004D453A"/>
    <w:rsid w:val="004D58B2"/>
    <w:rsid w:val="004D69EA"/>
    <w:rsid w:val="004D6EE9"/>
    <w:rsid w:val="004D77F9"/>
    <w:rsid w:val="004E389E"/>
    <w:rsid w:val="004E4BDE"/>
    <w:rsid w:val="004E4BE3"/>
    <w:rsid w:val="004E6D8D"/>
    <w:rsid w:val="004F17A6"/>
    <w:rsid w:val="004F320B"/>
    <w:rsid w:val="004F395F"/>
    <w:rsid w:val="004F7B4F"/>
    <w:rsid w:val="004F7F4E"/>
    <w:rsid w:val="00505BEB"/>
    <w:rsid w:val="00510BD4"/>
    <w:rsid w:val="005135EF"/>
    <w:rsid w:val="00517D16"/>
    <w:rsid w:val="00522CCD"/>
    <w:rsid w:val="005250ED"/>
    <w:rsid w:val="005258D2"/>
    <w:rsid w:val="00532F05"/>
    <w:rsid w:val="005370AD"/>
    <w:rsid w:val="00537300"/>
    <w:rsid w:val="00540FED"/>
    <w:rsid w:val="00543A1C"/>
    <w:rsid w:val="00543F88"/>
    <w:rsid w:val="00544F9E"/>
    <w:rsid w:val="00545B77"/>
    <w:rsid w:val="00546328"/>
    <w:rsid w:val="00552F38"/>
    <w:rsid w:val="00554D62"/>
    <w:rsid w:val="00556587"/>
    <w:rsid w:val="00561AFE"/>
    <w:rsid w:val="00563271"/>
    <w:rsid w:val="00564428"/>
    <w:rsid w:val="00564B43"/>
    <w:rsid w:val="00565ACD"/>
    <w:rsid w:val="0056642B"/>
    <w:rsid w:val="0056669D"/>
    <w:rsid w:val="00570683"/>
    <w:rsid w:val="005732E8"/>
    <w:rsid w:val="005738F3"/>
    <w:rsid w:val="00573D53"/>
    <w:rsid w:val="00575F04"/>
    <w:rsid w:val="005812B2"/>
    <w:rsid w:val="005829A7"/>
    <w:rsid w:val="00582F6A"/>
    <w:rsid w:val="005831A5"/>
    <w:rsid w:val="00586419"/>
    <w:rsid w:val="00586502"/>
    <w:rsid w:val="00586791"/>
    <w:rsid w:val="00591AE9"/>
    <w:rsid w:val="0059474D"/>
    <w:rsid w:val="005967B8"/>
    <w:rsid w:val="005A0390"/>
    <w:rsid w:val="005A242D"/>
    <w:rsid w:val="005A3494"/>
    <w:rsid w:val="005A584F"/>
    <w:rsid w:val="005B084F"/>
    <w:rsid w:val="005B1259"/>
    <w:rsid w:val="005B3D1C"/>
    <w:rsid w:val="005B3F35"/>
    <w:rsid w:val="005B42A2"/>
    <w:rsid w:val="005B489C"/>
    <w:rsid w:val="005B65A3"/>
    <w:rsid w:val="005C2753"/>
    <w:rsid w:val="005C6301"/>
    <w:rsid w:val="005C6B0E"/>
    <w:rsid w:val="005C6DD8"/>
    <w:rsid w:val="005C7158"/>
    <w:rsid w:val="005C7635"/>
    <w:rsid w:val="005D075C"/>
    <w:rsid w:val="005D0D56"/>
    <w:rsid w:val="005D38DB"/>
    <w:rsid w:val="005D506D"/>
    <w:rsid w:val="005D56B9"/>
    <w:rsid w:val="005D694F"/>
    <w:rsid w:val="005D696D"/>
    <w:rsid w:val="005D6DE9"/>
    <w:rsid w:val="005D7241"/>
    <w:rsid w:val="005E55E3"/>
    <w:rsid w:val="005F242E"/>
    <w:rsid w:val="005F5E0A"/>
    <w:rsid w:val="006057CE"/>
    <w:rsid w:val="006077B7"/>
    <w:rsid w:val="00610C7F"/>
    <w:rsid w:val="00612B58"/>
    <w:rsid w:val="00612BF7"/>
    <w:rsid w:val="006134D0"/>
    <w:rsid w:val="00613A9E"/>
    <w:rsid w:val="0061417A"/>
    <w:rsid w:val="00616E22"/>
    <w:rsid w:val="00620861"/>
    <w:rsid w:val="00622B47"/>
    <w:rsid w:val="00623099"/>
    <w:rsid w:val="00623A0C"/>
    <w:rsid w:val="00626641"/>
    <w:rsid w:val="006321C4"/>
    <w:rsid w:val="00632CCC"/>
    <w:rsid w:val="00634414"/>
    <w:rsid w:val="006345FF"/>
    <w:rsid w:val="006403EE"/>
    <w:rsid w:val="00640A41"/>
    <w:rsid w:val="00641173"/>
    <w:rsid w:val="006511E6"/>
    <w:rsid w:val="00651F2D"/>
    <w:rsid w:val="00657D0F"/>
    <w:rsid w:val="006635E6"/>
    <w:rsid w:val="00665197"/>
    <w:rsid w:val="0066523D"/>
    <w:rsid w:val="00670739"/>
    <w:rsid w:val="006708C5"/>
    <w:rsid w:val="00672781"/>
    <w:rsid w:val="006741C9"/>
    <w:rsid w:val="00675CC2"/>
    <w:rsid w:val="00680359"/>
    <w:rsid w:val="00683323"/>
    <w:rsid w:val="00685F48"/>
    <w:rsid w:val="006905A2"/>
    <w:rsid w:val="00692AB2"/>
    <w:rsid w:val="006A24DC"/>
    <w:rsid w:val="006A3C36"/>
    <w:rsid w:val="006A5938"/>
    <w:rsid w:val="006A5EEA"/>
    <w:rsid w:val="006B3706"/>
    <w:rsid w:val="006B6AF4"/>
    <w:rsid w:val="006C2BEE"/>
    <w:rsid w:val="006C46C0"/>
    <w:rsid w:val="006C59D6"/>
    <w:rsid w:val="006D4665"/>
    <w:rsid w:val="006D730B"/>
    <w:rsid w:val="006E00A1"/>
    <w:rsid w:val="006E3F10"/>
    <w:rsid w:val="006E535F"/>
    <w:rsid w:val="006F063A"/>
    <w:rsid w:val="006F0BCE"/>
    <w:rsid w:val="006F299D"/>
    <w:rsid w:val="0070411C"/>
    <w:rsid w:val="00705B31"/>
    <w:rsid w:val="007143E6"/>
    <w:rsid w:val="00720562"/>
    <w:rsid w:val="007208CB"/>
    <w:rsid w:val="00722184"/>
    <w:rsid w:val="00724389"/>
    <w:rsid w:val="00726D79"/>
    <w:rsid w:val="00727872"/>
    <w:rsid w:val="007317DB"/>
    <w:rsid w:val="00736E84"/>
    <w:rsid w:val="00742486"/>
    <w:rsid w:val="00742D01"/>
    <w:rsid w:val="00743067"/>
    <w:rsid w:val="007435A3"/>
    <w:rsid w:val="0074554B"/>
    <w:rsid w:val="007461D8"/>
    <w:rsid w:val="00750B6A"/>
    <w:rsid w:val="00752FE9"/>
    <w:rsid w:val="00754894"/>
    <w:rsid w:val="007579EC"/>
    <w:rsid w:val="007611A7"/>
    <w:rsid w:val="0076494E"/>
    <w:rsid w:val="00764B40"/>
    <w:rsid w:val="00765DD9"/>
    <w:rsid w:val="00765EFE"/>
    <w:rsid w:val="00770536"/>
    <w:rsid w:val="0077174C"/>
    <w:rsid w:val="007805D0"/>
    <w:rsid w:val="007863BB"/>
    <w:rsid w:val="00786FDC"/>
    <w:rsid w:val="00787B44"/>
    <w:rsid w:val="0079019A"/>
    <w:rsid w:val="00792AA2"/>
    <w:rsid w:val="00794D1B"/>
    <w:rsid w:val="007965BE"/>
    <w:rsid w:val="00796E1B"/>
    <w:rsid w:val="007A5751"/>
    <w:rsid w:val="007B063B"/>
    <w:rsid w:val="007B574F"/>
    <w:rsid w:val="007B645E"/>
    <w:rsid w:val="007B74A0"/>
    <w:rsid w:val="007C0551"/>
    <w:rsid w:val="007C4D6A"/>
    <w:rsid w:val="007C548D"/>
    <w:rsid w:val="007C6049"/>
    <w:rsid w:val="007C6DE0"/>
    <w:rsid w:val="007D59A0"/>
    <w:rsid w:val="007D5FBB"/>
    <w:rsid w:val="007D6483"/>
    <w:rsid w:val="007DA6DA"/>
    <w:rsid w:val="007E2969"/>
    <w:rsid w:val="007E7585"/>
    <w:rsid w:val="007F2DD8"/>
    <w:rsid w:val="007F360D"/>
    <w:rsid w:val="007F4469"/>
    <w:rsid w:val="007F450F"/>
    <w:rsid w:val="007F6B1A"/>
    <w:rsid w:val="008031F4"/>
    <w:rsid w:val="00807AFA"/>
    <w:rsid w:val="00810EAB"/>
    <w:rsid w:val="00813052"/>
    <w:rsid w:val="00814F54"/>
    <w:rsid w:val="0081774C"/>
    <w:rsid w:val="00822B68"/>
    <w:rsid w:val="00823894"/>
    <w:rsid w:val="0082398A"/>
    <w:rsid w:val="008247F1"/>
    <w:rsid w:val="0082614D"/>
    <w:rsid w:val="00831301"/>
    <w:rsid w:val="0083347E"/>
    <w:rsid w:val="008349C0"/>
    <w:rsid w:val="00834DA1"/>
    <w:rsid w:val="008353AE"/>
    <w:rsid w:val="00835E2C"/>
    <w:rsid w:val="008368B5"/>
    <w:rsid w:val="0084255D"/>
    <w:rsid w:val="00844D35"/>
    <w:rsid w:val="008454A3"/>
    <w:rsid w:val="00845F64"/>
    <w:rsid w:val="008521B1"/>
    <w:rsid w:val="00853386"/>
    <w:rsid w:val="00861E98"/>
    <w:rsid w:val="0086293B"/>
    <w:rsid w:val="00864B8E"/>
    <w:rsid w:val="008671DC"/>
    <w:rsid w:val="0086765D"/>
    <w:rsid w:val="00867723"/>
    <w:rsid w:val="00870355"/>
    <w:rsid w:val="00872A75"/>
    <w:rsid w:val="00875D2D"/>
    <w:rsid w:val="008809C0"/>
    <w:rsid w:val="00883826"/>
    <w:rsid w:val="008854F5"/>
    <w:rsid w:val="00886AB3"/>
    <w:rsid w:val="008874C6"/>
    <w:rsid w:val="00887EB8"/>
    <w:rsid w:val="008935BC"/>
    <w:rsid w:val="00897427"/>
    <w:rsid w:val="008978EF"/>
    <w:rsid w:val="008A3BDE"/>
    <w:rsid w:val="008B04DD"/>
    <w:rsid w:val="008B0AC6"/>
    <w:rsid w:val="008B1F31"/>
    <w:rsid w:val="008B331C"/>
    <w:rsid w:val="008B4FA1"/>
    <w:rsid w:val="008B52BF"/>
    <w:rsid w:val="008B5824"/>
    <w:rsid w:val="008B7FEE"/>
    <w:rsid w:val="008C2C47"/>
    <w:rsid w:val="008C5FD1"/>
    <w:rsid w:val="008D0079"/>
    <w:rsid w:val="008D1375"/>
    <w:rsid w:val="008D4800"/>
    <w:rsid w:val="008D548D"/>
    <w:rsid w:val="008D5C8B"/>
    <w:rsid w:val="008D7A33"/>
    <w:rsid w:val="008E2DC3"/>
    <w:rsid w:val="008E31C8"/>
    <w:rsid w:val="008E3BFE"/>
    <w:rsid w:val="008E3D24"/>
    <w:rsid w:val="008E4966"/>
    <w:rsid w:val="008F0DB7"/>
    <w:rsid w:val="008F2E54"/>
    <w:rsid w:val="008F41BF"/>
    <w:rsid w:val="008F488D"/>
    <w:rsid w:val="008F7050"/>
    <w:rsid w:val="008F7059"/>
    <w:rsid w:val="00900F41"/>
    <w:rsid w:val="009022E7"/>
    <w:rsid w:val="0090279D"/>
    <w:rsid w:val="00903D9E"/>
    <w:rsid w:val="009051AF"/>
    <w:rsid w:val="009057C7"/>
    <w:rsid w:val="00911AC7"/>
    <w:rsid w:val="00914982"/>
    <w:rsid w:val="0091715F"/>
    <w:rsid w:val="00917EFE"/>
    <w:rsid w:val="009200F5"/>
    <w:rsid w:val="009210FE"/>
    <w:rsid w:val="00921235"/>
    <w:rsid w:val="00922CE1"/>
    <w:rsid w:val="009241E0"/>
    <w:rsid w:val="009279D5"/>
    <w:rsid w:val="00936A2F"/>
    <w:rsid w:val="00936F00"/>
    <w:rsid w:val="00941BD0"/>
    <w:rsid w:val="00944BE5"/>
    <w:rsid w:val="0094608A"/>
    <w:rsid w:val="00947A56"/>
    <w:rsid w:val="00947AB9"/>
    <w:rsid w:val="00947CBA"/>
    <w:rsid w:val="00953AA0"/>
    <w:rsid w:val="00953E15"/>
    <w:rsid w:val="00957773"/>
    <w:rsid w:val="00962849"/>
    <w:rsid w:val="00965212"/>
    <w:rsid w:val="00967F09"/>
    <w:rsid w:val="009733B1"/>
    <w:rsid w:val="00974600"/>
    <w:rsid w:val="0097532E"/>
    <w:rsid w:val="009848E7"/>
    <w:rsid w:val="00985C33"/>
    <w:rsid w:val="00985D0D"/>
    <w:rsid w:val="00986479"/>
    <w:rsid w:val="00986858"/>
    <w:rsid w:val="00987517"/>
    <w:rsid w:val="00990316"/>
    <w:rsid w:val="00991F52"/>
    <w:rsid w:val="00993554"/>
    <w:rsid w:val="00993AB3"/>
    <w:rsid w:val="00993C45"/>
    <w:rsid w:val="00995003"/>
    <w:rsid w:val="00997EA8"/>
    <w:rsid w:val="009A661F"/>
    <w:rsid w:val="009B000C"/>
    <w:rsid w:val="009B2E80"/>
    <w:rsid w:val="009B302F"/>
    <w:rsid w:val="009B38CF"/>
    <w:rsid w:val="009B5683"/>
    <w:rsid w:val="009B5E51"/>
    <w:rsid w:val="009B5E6B"/>
    <w:rsid w:val="009B64B3"/>
    <w:rsid w:val="009B6603"/>
    <w:rsid w:val="009B7021"/>
    <w:rsid w:val="009B7CBA"/>
    <w:rsid w:val="009C0BB2"/>
    <w:rsid w:val="009C53F6"/>
    <w:rsid w:val="009C5793"/>
    <w:rsid w:val="009C69DE"/>
    <w:rsid w:val="009D2BA6"/>
    <w:rsid w:val="009D3192"/>
    <w:rsid w:val="009D4D97"/>
    <w:rsid w:val="009D5680"/>
    <w:rsid w:val="009D5D13"/>
    <w:rsid w:val="009E57D6"/>
    <w:rsid w:val="009F14D3"/>
    <w:rsid w:val="009F4BB5"/>
    <w:rsid w:val="00A005B3"/>
    <w:rsid w:val="00A01CFD"/>
    <w:rsid w:val="00A04DAD"/>
    <w:rsid w:val="00A0600A"/>
    <w:rsid w:val="00A06C8B"/>
    <w:rsid w:val="00A075D7"/>
    <w:rsid w:val="00A15C6C"/>
    <w:rsid w:val="00A17F51"/>
    <w:rsid w:val="00A2048D"/>
    <w:rsid w:val="00A218FF"/>
    <w:rsid w:val="00A2216B"/>
    <w:rsid w:val="00A2218D"/>
    <w:rsid w:val="00A24CC9"/>
    <w:rsid w:val="00A27F6C"/>
    <w:rsid w:val="00A345CB"/>
    <w:rsid w:val="00A40571"/>
    <w:rsid w:val="00A42D27"/>
    <w:rsid w:val="00A51083"/>
    <w:rsid w:val="00A553C5"/>
    <w:rsid w:val="00A561CC"/>
    <w:rsid w:val="00A56352"/>
    <w:rsid w:val="00A56BE4"/>
    <w:rsid w:val="00A571EA"/>
    <w:rsid w:val="00A61960"/>
    <w:rsid w:val="00A63FAD"/>
    <w:rsid w:val="00A64D69"/>
    <w:rsid w:val="00A65CF6"/>
    <w:rsid w:val="00A65DA7"/>
    <w:rsid w:val="00A71A98"/>
    <w:rsid w:val="00A767C5"/>
    <w:rsid w:val="00A770ED"/>
    <w:rsid w:val="00A80A2D"/>
    <w:rsid w:val="00A81373"/>
    <w:rsid w:val="00A8442A"/>
    <w:rsid w:val="00A86485"/>
    <w:rsid w:val="00A912B2"/>
    <w:rsid w:val="00A91567"/>
    <w:rsid w:val="00A91A50"/>
    <w:rsid w:val="00A92562"/>
    <w:rsid w:val="00A9260F"/>
    <w:rsid w:val="00A943DA"/>
    <w:rsid w:val="00A94ED3"/>
    <w:rsid w:val="00A95698"/>
    <w:rsid w:val="00A96F82"/>
    <w:rsid w:val="00A9794B"/>
    <w:rsid w:val="00AA097E"/>
    <w:rsid w:val="00AA2CC1"/>
    <w:rsid w:val="00AA30FF"/>
    <w:rsid w:val="00AA5DF3"/>
    <w:rsid w:val="00AB012B"/>
    <w:rsid w:val="00AB38C9"/>
    <w:rsid w:val="00AB6093"/>
    <w:rsid w:val="00AC1F83"/>
    <w:rsid w:val="00AC2F14"/>
    <w:rsid w:val="00AC452A"/>
    <w:rsid w:val="00AC768C"/>
    <w:rsid w:val="00AD2592"/>
    <w:rsid w:val="00AD2A0A"/>
    <w:rsid w:val="00AD58F0"/>
    <w:rsid w:val="00AD632E"/>
    <w:rsid w:val="00AE31AC"/>
    <w:rsid w:val="00AE3E7E"/>
    <w:rsid w:val="00AE460A"/>
    <w:rsid w:val="00AF032F"/>
    <w:rsid w:val="00AF2D02"/>
    <w:rsid w:val="00AF32E7"/>
    <w:rsid w:val="00AF39A4"/>
    <w:rsid w:val="00AF7A73"/>
    <w:rsid w:val="00B00F8C"/>
    <w:rsid w:val="00B01538"/>
    <w:rsid w:val="00B02021"/>
    <w:rsid w:val="00B0217F"/>
    <w:rsid w:val="00B034E2"/>
    <w:rsid w:val="00B05CD8"/>
    <w:rsid w:val="00B06EA7"/>
    <w:rsid w:val="00B13E7E"/>
    <w:rsid w:val="00B156DE"/>
    <w:rsid w:val="00B164C0"/>
    <w:rsid w:val="00B20022"/>
    <w:rsid w:val="00B21A48"/>
    <w:rsid w:val="00B225F0"/>
    <w:rsid w:val="00B30454"/>
    <w:rsid w:val="00B30DCA"/>
    <w:rsid w:val="00B35601"/>
    <w:rsid w:val="00B37541"/>
    <w:rsid w:val="00B40862"/>
    <w:rsid w:val="00B40BA3"/>
    <w:rsid w:val="00B413BB"/>
    <w:rsid w:val="00B42D77"/>
    <w:rsid w:val="00B44268"/>
    <w:rsid w:val="00B44648"/>
    <w:rsid w:val="00B50DB5"/>
    <w:rsid w:val="00B50E50"/>
    <w:rsid w:val="00B521D6"/>
    <w:rsid w:val="00B5361B"/>
    <w:rsid w:val="00B5369E"/>
    <w:rsid w:val="00B53B14"/>
    <w:rsid w:val="00B554EB"/>
    <w:rsid w:val="00B5799D"/>
    <w:rsid w:val="00B61865"/>
    <w:rsid w:val="00B65AA6"/>
    <w:rsid w:val="00B66ABC"/>
    <w:rsid w:val="00B709BE"/>
    <w:rsid w:val="00B734CE"/>
    <w:rsid w:val="00B76B80"/>
    <w:rsid w:val="00B80817"/>
    <w:rsid w:val="00B80F49"/>
    <w:rsid w:val="00B82170"/>
    <w:rsid w:val="00B85E9D"/>
    <w:rsid w:val="00B86F34"/>
    <w:rsid w:val="00B93D5F"/>
    <w:rsid w:val="00B9411A"/>
    <w:rsid w:val="00B95305"/>
    <w:rsid w:val="00BA0F8E"/>
    <w:rsid w:val="00BA2F86"/>
    <w:rsid w:val="00BA3233"/>
    <w:rsid w:val="00BA761A"/>
    <w:rsid w:val="00BA779B"/>
    <w:rsid w:val="00BA7D95"/>
    <w:rsid w:val="00BB0B3F"/>
    <w:rsid w:val="00BB7341"/>
    <w:rsid w:val="00BC0F2C"/>
    <w:rsid w:val="00BC63B3"/>
    <w:rsid w:val="00BC6799"/>
    <w:rsid w:val="00BC7769"/>
    <w:rsid w:val="00BD36C8"/>
    <w:rsid w:val="00BD43DA"/>
    <w:rsid w:val="00BD6101"/>
    <w:rsid w:val="00BD6EE4"/>
    <w:rsid w:val="00BD7DE9"/>
    <w:rsid w:val="00BE0D94"/>
    <w:rsid w:val="00BE0E29"/>
    <w:rsid w:val="00BE2452"/>
    <w:rsid w:val="00BE38FE"/>
    <w:rsid w:val="00BE4092"/>
    <w:rsid w:val="00BE5165"/>
    <w:rsid w:val="00BE613B"/>
    <w:rsid w:val="00BE6E46"/>
    <w:rsid w:val="00BF16B5"/>
    <w:rsid w:val="00BF2643"/>
    <w:rsid w:val="00BF2DAA"/>
    <w:rsid w:val="00BF49AB"/>
    <w:rsid w:val="00C011C8"/>
    <w:rsid w:val="00C03A3B"/>
    <w:rsid w:val="00C05644"/>
    <w:rsid w:val="00C065E2"/>
    <w:rsid w:val="00C105CF"/>
    <w:rsid w:val="00C1731B"/>
    <w:rsid w:val="00C22445"/>
    <w:rsid w:val="00C24C8A"/>
    <w:rsid w:val="00C25943"/>
    <w:rsid w:val="00C26BC5"/>
    <w:rsid w:val="00C3108F"/>
    <w:rsid w:val="00C31D84"/>
    <w:rsid w:val="00C32F12"/>
    <w:rsid w:val="00C35717"/>
    <w:rsid w:val="00C35A1B"/>
    <w:rsid w:val="00C3670D"/>
    <w:rsid w:val="00C4026C"/>
    <w:rsid w:val="00C4134E"/>
    <w:rsid w:val="00C41666"/>
    <w:rsid w:val="00C42C11"/>
    <w:rsid w:val="00C42DF6"/>
    <w:rsid w:val="00C4494E"/>
    <w:rsid w:val="00C52CC1"/>
    <w:rsid w:val="00C52F88"/>
    <w:rsid w:val="00C56888"/>
    <w:rsid w:val="00C57553"/>
    <w:rsid w:val="00C601CD"/>
    <w:rsid w:val="00C601F3"/>
    <w:rsid w:val="00C604E4"/>
    <w:rsid w:val="00C605F1"/>
    <w:rsid w:val="00C65130"/>
    <w:rsid w:val="00C65FE7"/>
    <w:rsid w:val="00C66176"/>
    <w:rsid w:val="00C73889"/>
    <w:rsid w:val="00C8120C"/>
    <w:rsid w:val="00C8424D"/>
    <w:rsid w:val="00C85D21"/>
    <w:rsid w:val="00C86E22"/>
    <w:rsid w:val="00C86EFB"/>
    <w:rsid w:val="00C86F32"/>
    <w:rsid w:val="00C871FE"/>
    <w:rsid w:val="00C91F09"/>
    <w:rsid w:val="00C9204A"/>
    <w:rsid w:val="00C960BD"/>
    <w:rsid w:val="00C96B8B"/>
    <w:rsid w:val="00C9791D"/>
    <w:rsid w:val="00CA64A4"/>
    <w:rsid w:val="00CA6E76"/>
    <w:rsid w:val="00CA730A"/>
    <w:rsid w:val="00CB0355"/>
    <w:rsid w:val="00CB1102"/>
    <w:rsid w:val="00CB35A4"/>
    <w:rsid w:val="00CB37A8"/>
    <w:rsid w:val="00CC078D"/>
    <w:rsid w:val="00CC4A80"/>
    <w:rsid w:val="00CC63E0"/>
    <w:rsid w:val="00CD0489"/>
    <w:rsid w:val="00CD0E59"/>
    <w:rsid w:val="00CD2090"/>
    <w:rsid w:val="00CD48B9"/>
    <w:rsid w:val="00CD53FC"/>
    <w:rsid w:val="00CE1C3A"/>
    <w:rsid w:val="00CE7A15"/>
    <w:rsid w:val="00CF42A9"/>
    <w:rsid w:val="00CF4B1B"/>
    <w:rsid w:val="00CF56E4"/>
    <w:rsid w:val="00CF67CB"/>
    <w:rsid w:val="00D0250A"/>
    <w:rsid w:val="00D0255E"/>
    <w:rsid w:val="00D029C7"/>
    <w:rsid w:val="00D02E2C"/>
    <w:rsid w:val="00D037C3"/>
    <w:rsid w:val="00D0442B"/>
    <w:rsid w:val="00D109EA"/>
    <w:rsid w:val="00D12181"/>
    <w:rsid w:val="00D1344F"/>
    <w:rsid w:val="00D13725"/>
    <w:rsid w:val="00D14C8E"/>
    <w:rsid w:val="00D21768"/>
    <w:rsid w:val="00D22B64"/>
    <w:rsid w:val="00D2345C"/>
    <w:rsid w:val="00D23888"/>
    <w:rsid w:val="00D25DBE"/>
    <w:rsid w:val="00D27B62"/>
    <w:rsid w:val="00D30BAA"/>
    <w:rsid w:val="00D30DAF"/>
    <w:rsid w:val="00D32469"/>
    <w:rsid w:val="00D329BC"/>
    <w:rsid w:val="00D33E2E"/>
    <w:rsid w:val="00D3444B"/>
    <w:rsid w:val="00D37725"/>
    <w:rsid w:val="00D40992"/>
    <w:rsid w:val="00D41D14"/>
    <w:rsid w:val="00D42A92"/>
    <w:rsid w:val="00D434AC"/>
    <w:rsid w:val="00D438DC"/>
    <w:rsid w:val="00D43E5D"/>
    <w:rsid w:val="00D442AF"/>
    <w:rsid w:val="00D44A2D"/>
    <w:rsid w:val="00D46691"/>
    <w:rsid w:val="00D5127D"/>
    <w:rsid w:val="00D535E8"/>
    <w:rsid w:val="00D55FB4"/>
    <w:rsid w:val="00D573B9"/>
    <w:rsid w:val="00D6346E"/>
    <w:rsid w:val="00D64586"/>
    <w:rsid w:val="00D6563D"/>
    <w:rsid w:val="00D721A3"/>
    <w:rsid w:val="00D73A5B"/>
    <w:rsid w:val="00D75041"/>
    <w:rsid w:val="00D759DE"/>
    <w:rsid w:val="00D8253A"/>
    <w:rsid w:val="00D833B1"/>
    <w:rsid w:val="00D853C6"/>
    <w:rsid w:val="00D86DBF"/>
    <w:rsid w:val="00D9251D"/>
    <w:rsid w:val="00D92AE6"/>
    <w:rsid w:val="00D96AF5"/>
    <w:rsid w:val="00DA1FCC"/>
    <w:rsid w:val="00DA61B8"/>
    <w:rsid w:val="00DA6931"/>
    <w:rsid w:val="00DB185A"/>
    <w:rsid w:val="00DB35D4"/>
    <w:rsid w:val="00DB41E5"/>
    <w:rsid w:val="00DB4827"/>
    <w:rsid w:val="00DB6288"/>
    <w:rsid w:val="00DC1A0A"/>
    <w:rsid w:val="00DC34E3"/>
    <w:rsid w:val="00DC4C15"/>
    <w:rsid w:val="00DC5A5B"/>
    <w:rsid w:val="00DD4953"/>
    <w:rsid w:val="00DD73E0"/>
    <w:rsid w:val="00DE0F0E"/>
    <w:rsid w:val="00DE3EAC"/>
    <w:rsid w:val="00DF073B"/>
    <w:rsid w:val="00DF0AAA"/>
    <w:rsid w:val="00DF2810"/>
    <w:rsid w:val="00DF53EF"/>
    <w:rsid w:val="00DF544F"/>
    <w:rsid w:val="00DF6268"/>
    <w:rsid w:val="00DF7C75"/>
    <w:rsid w:val="00E0107A"/>
    <w:rsid w:val="00E022BB"/>
    <w:rsid w:val="00E0236F"/>
    <w:rsid w:val="00E02447"/>
    <w:rsid w:val="00E045C2"/>
    <w:rsid w:val="00E05765"/>
    <w:rsid w:val="00E10D8A"/>
    <w:rsid w:val="00E11A08"/>
    <w:rsid w:val="00E13A09"/>
    <w:rsid w:val="00E17F80"/>
    <w:rsid w:val="00E20131"/>
    <w:rsid w:val="00E2088B"/>
    <w:rsid w:val="00E22059"/>
    <w:rsid w:val="00E2251A"/>
    <w:rsid w:val="00E237B9"/>
    <w:rsid w:val="00E25BAF"/>
    <w:rsid w:val="00E26B98"/>
    <w:rsid w:val="00E26D49"/>
    <w:rsid w:val="00E2775A"/>
    <w:rsid w:val="00E305BF"/>
    <w:rsid w:val="00E30736"/>
    <w:rsid w:val="00E33F9A"/>
    <w:rsid w:val="00E36B3D"/>
    <w:rsid w:val="00E41368"/>
    <w:rsid w:val="00E42096"/>
    <w:rsid w:val="00E43A20"/>
    <w:rsid w:val="00E45308"/>
    <w:rsid w:val="00E45AE4"/>
    <w:rsid w:val="00E46820"/>
    <w:rsid w:val="00E4736F"/>
    <w:rsid w:val="00E5031F"/>
    <w:rsid w:val="00E507AD"/>
    <w:rsid w:val="00E52345"/>
    <w:rsid w:val="00E5443C"/>
    <w:rsid w:val="00E5632D"/>
    <w:rsid w:val="00E5643D"/>
    <w:rsid w:val="00E575A9"/>
    <w:rsid w:val="00E578D2"/>
    <w:rsid w:val="00E61987"/>
    <w:rsid w:val="00E62B4C"/>
    <w:rsid w:val="00E62E4F"/>
    <w:rsid w:val="00E64720"/>
    <w:rsid w:val="00E66463"/>
    <w:rsid w:val="00E67536"/>
    <w:rsid w:val="00E706E4"/>
    <w:rsid w:val="00E709D4"/>
    <w:rsid w:val="00E71C7B"/>
    <w:rsid w:val="00E74517"/>
    <w:rsid w:val="00E7506A"/>
    <w:rsid w:val="00E753A2"/>
    <w:rsid w:val="00E761D4"/>
    <w:rsid w:val="00E77839"/>
    <w:rsid w:val="00E77AF8"/>
    <w:rsid w:val="00E77ECB"/>
    <w:rsid w:val="00E8071A"/>
    <w:rsid w:val="00E83E5C"/>
    <w:rsid w:val="00E84006"/>
    <w:rsid w:val="00E84DC3"/>
    <w:rsid w:val="00E865AE"/>
    <w:rsid w:val="00E87E58"/>
    <w:rsid w:val="00E90ECA"/>
    <w:rsid w:val="00E95DF6"/>
    <w:rsid w:val="00E97148"/>
    <w:rsid w:val="00EA0F5C"/>
    <w:rsid w:val="00EA41D9"/>
    <w:rsid w:val="00EA651C"/>
    <w:rsid w:val="00EB239E"/>
    <w:rsid w:val="00EB5775"/>
    <w:rsid w:val="00EB7228"/>
    <w:rsid w:val="00EC107F"/>
    <w:rsid w:val="00EC23F3"/>
    <w:rsid w:val="00ED47C9"/>
    <w:rsid w:val="00ED6859"/>
    <w:rsid w:val="00ED79F7"/>
    <w:rsid w:val="00EE1044"/>
    <w:rsid w:val="00EE2186"/>
    <w:rsid w:val="00EE3D90"/>
    <w:rsid w:val="00EE4A3C"/>
    <w:rsid w:val="00EE6225"/>
    <w:rsid w:val="00EE65F2"/>
    <w:rsid w:val="00EE6E72"/>
    <w:rsid w:val="00EE729C"/>
    <w:rsid w:val="00EF0C43"/>
    <w:rsid w:val="00EF4AB0"/>
    <w:rsid w:val="00EF5345"/>
    <w:rsid w:val="00EF5F2C"/>
    <w:rsid w:val="00F024D2"/>
    <w:rsid w:val="00F03607"/>
    <w:rsid w:val="00F03A39"/>
    <w:rsid w:val="00F132CC"/>
    <w:rsid w:val="00F13873"/>
    <w:rsid w:val="00F13E41"/>
    <w:rsid w:val="00F148CF"/>
    <w:rsid w:val="00F171EB"/>
    <w:rsid w:val="00F21348"/>
    <w:rsid w:val="00F224D8"/>
    <w:rsid w:val="00F22E90"/>
    <w:rsid w:val="00F27715"/>
    <w:rsid w:val="00F31723"/>
    <w:rsid w:val="00F31D6E"/>
    <w:rsid w:val="00F31D7D"/>
    <w:rsid w:val="00F34680"/>
    <w:rsid w:val="00F3485F"/>
    <w:rsid w:val="00F35DCA"/>
    <w:rsid w:val="00F36A8D"/>
    <w:rsid w:val="00F36FF3"/>
    <w:rsid w:val="00F3753D"/>
    <w:rsid w:val="00F40731"/>
    <w:rsid w:val="00F41B4C"/>
    <w:rsid w:val="00F4227D"/>
    <w:rsid w:val="00F44434"/>
    <w:rsid w:val="00F47E16"/>
    <w:rsid w:val="00F51080"/>
    <w:rsid w:val="00F522BF"/>
    <w:rsid w:val="00F539A4"/>
    <w:rsid w:val="00F5488A"/>
    <w:rsid w:val="00F548A0"/>
    <w:rsid w:val="00F5546C"/>
    <w:rsid w:val="00F61D92"/>
    <w:rsid w:val="00F643CA"/>
    <w:rsid w:val="00F646B0"/>
    <w:rsid w:val="00F67FDB"/>
    <w:rsid w:val="00F74715"/>
    <w:rsid w:val="00F75181"/>
    <w:rsid w:val="00F76D5D"/>
    <w:rsid w:val="00F80F76"/>
    <w:rsid w:val="00F81EA4"/>
    <w:rsid w:val="00F82F08"/>
    <w:rsid w:val="00F83F77"/>
    <w:rsid w:val="00F85924"/>
    <w:rsid w:val="00F87BC1"/>
    <w:rsid w:val="00F90A34"/>
    <w:rsid w:val="00F9203B"/>
    <w:rsid w:val="00F92E9E"/>
    <w:rsid w:val="00F93127"/>
    <w:rsid w:val="00F97746"/>
    <w:rsid w:val="00F97B00"/>
    <w:rsid w:val="00FA33F4"/>
    <w:rsid w:val="00FA3983"/>
    <w:rsid w:val="00FA559A"/>
    <w:rsid w:val="00FA6775"/>
    <w:rsid w:val="00FA78C0"/>
    <w:rsid w:val="00FB0D00"/>
    <w:rsid w:val="00FB2846"/>
    <w:rsid w:val="00FB4603"/>
    <w:rsid w:val="00FB4CCA"/>
    <w:rsid w:val="00FB602A"/>
    <w:rsid w:val="00FC19F5"/>
    <w:rsid w:val="00FC6809"/>
    <w:rsid w:val="00FD2049"/>
    <w:rsid w:val="00FD2B2A"/>
    <w:rsid w:val="00FE1F51"/>
    <w:rsid w:val="00FE393B"/>
    <w:rsid w:val="00FE5885"/>
    <w:rsid w:val="00FF0535"/>
    <w:rsid w:val="00FF522F"/>
    <w:rsid w:val="00FF67BE"/>
    <w:rsid w:val="00FF7ADF"/>
    <w:rsid w:val="0113FF74"/>
    <w:rsid w:val="01361ED7"/>
    <w:rsid w:val="015B72C1"/>
    <w:rsid w:val="01E96201"/>
    <w:rsid w:val="02E33032"/>
    <w:rsid w:val="030490EF"/>
    <w:rsid w:val="033436FE"/>
    <w:rsid w:val="03D632FC"/>
    <w:rsid w:val="03EC6C77"/>
    <w:rsid w:val="04738BEF"/>
    <w:rsid w:val="048AA93A"/>
    <w:rsid w:val="04BDE777"/>
    <w:rsid w:val="05F55111"/>
    <w:rsid w:val="0693383B"/>
    <w:rsid w:val="06CF5552"/>
    <w:rsid w:val="090053C1"/>
    <w:rsid w:val="095AD235"/>
    <w:rsid w:val="09D611F8"/>
    <w:rsid w:val="09F1FD45"/>
    <w:rsid w:val="0AD503F1"/>
    <w:rsid w:val="0AE5E7E0"/>
    <w:rsid w:val="0B713AED"/>
    <w:rsid w:val="0B774CF1"/>
    <w:rsid w:val="0B77EE30"/>
    <w:rsid w:val="0B915498"/>
    <w:rsid w:val="0C00E3B8"/>
    <w:rsid w:val="0CE0054D"/>
    <w:rsid w:val="0DD3814A"/>
    <w:rsid w:val="0E9DC222"/>
    <w:rsid w:val="0F4D3BA5"/>
    <w:rsid w:val="0F656BF5"/>
    <w:rsid w:val="0F6BB595"/>
    <w:rsid w:val="0FD4E544"/>
    <w:rsid w:val="10204866"/>
    <w:rsid w:val="10590A7F"/>
    <w:rsid w:val="111881A3"/>
    <w:rsid w:val="11770F70"/>
    <w:rsid w:val="1286E896"/>
    <w:rsid w:val="12923CB5"/>
    <w:rsid w:val="1377B907"/>
    <w:rsid w:val="1408776B"/>
    <w:rsid w:val="140F75B8"/>
    <w:rsid w:val="1422408B"/>
    <w:rsid w:val="1503B629"/>
    <w:rsid w:val="1538BD50"/>
    <w:rsid w:val="158D6BB9"/>
    <w:rsid w:val="159730C7"/>
    <w:rsid w:val="159FD09A"/>
    <w:rsid w:val="15A319C5"/>
    <w:rsid w:val="16247235"/>
    <w:rsid w:val="1657B2E8"/>
    <w:rsid w:val="165C1277"/>
    <w:rsid w:val="16A27831"/>
    <w:rsid w:val="16EE8D90"/>
    <w:rsid w:val="174BE146"/>
    <w:rsid w:val="17F69EFA"/>
    <w:rsid w:val="17FECFF9"/>
    <w:rsid w:val="191BBADA"/>
    <w:rsid w:val="1953A36D"/>
    <w:rsid w:val="19A929DF"/>
    <w:rsid w:val="19E67C6B"/>
    <w:rsid w:val="1A30D751"/>
    <w:rsid w:val="1A491D6B"/>
    <w:rsid w:val="1A5DCF57"/>
    <w:rsid w:val="1A6E92BF"/>
    <w:rsid w:val="1A7ACAF3"/>
    <w:rsid w:val="1AAB9A21"/>
    <w:rsid w:val="1AC3AB0F"/>
    <w:rsid w:val="1B43B40E"/>
    <w:rsid w:val="1BD29D46"/>
    <w:rsid w:val="1BE7FB34"/>
    <w:rsid w:val="1C2E93CB"/>
    <w:rsid w:val="1D3474A9"/>
    <w:rsid w:val="1D7BDCFC"/>
    <w:rsid w:val="1DCF7EBF"/>
    <w:rsid w:val="1DFAAE98"/>
    <w:rsid w:val="1ED083A2"/>
    <w:rsid w:val="1F36F6F5"/>
    <w:rsid w:val="1FC13493"/>
    <w:rsid w:val="1FD249D3"/>
    <w:rsid w:val="2042E7B9"/>
    <w:rsid w:val="204ED9DD"/>
    <w:rsid w:val="2207BF83"/>
    <w:rsid w:val="223831EB"/>
    <w:rsid w:val="225436B7"/>
    <w:rsid w:val="22B34F0E"/>
    <w:rsid w:val="230EE9E9"/>
    <w:rsid w:val="23CD73E1"/>
    <w:rsid w:val="24004A61"/>
    <w:rsid w:val="24298C2C"/>
    <w:rsid w:val="249D5737"/>
    <w:rsid w:val="24AA52F9"/>
    <w:rsid w:val="24AC14DD"/>
    <w:rsid w:val="24D75BA1"/>
    <w:rsid w:val="2597C7D4"/>
    <w:rsid w:val="25D14BA2"/>
    <w:rsid w:val="25F082B1"/>
    <w:rsid w:val="26A1FFBE"/>
    <w:rsid w:val="271C5592"/>
    <w:rsid w:val="275BEC4F"/>
    <w:rsid w:val="27A08C2A"/>
    <w:rsid w:val="288D1415"/>
    <w:rsid w:val="28DF93FF"/>
    <w:rsid w:val="291D9C69"/>
    <w:rsid w:val="29CB8E7D"/>
    <w:rsid w:val="2AD6210D"/>
    <w:rsid w:val="2B11E7C1"/>
    <w:rsid w:val="2B72268D"/>
    <w:rsid w:val="2BAF0463"/>
    <w:rsid w:val="2BE0A40E"/>
    <w:rsid w:val="2C36819C"/>
    <w:rsid w:val="2D7CAF6A"/>
    <w:rsid w:val="2EB915BA"/>
    <w:rsid w:val="302FA7F3"/>
    <w:rsid w:val="3070EDD4"/>
    <w:rsid w:val="307BBD92"/>
    <w:rsid w:val="308883B3"/>
    <w:rsid w:val="30DD8CC4"/>
    <w:rsid w:val="31A7615D"/>
    <w:rsid w:val="3226EAB4"/>
    <w:rsid w:val="3294F461"/>
    <w:rsid w:val="32D1DCF0"/>
    <w:rsid w:val="3357DBE7"/>
    <w:rsid w:val="33EAB111"/>
    <w:rsid w:val="33F9DBD0"/>
    <w:rsid w:val="3404E512"/>
    <w:rsid w:val="343856E2"/>
    <w:rsid w:val="3488003F"/>
    <w:rsid w:val="3555930D"/>
    <w:rsid w:val="35D79EC5"/>
    <w:rsid w:val="373769D9"/>
    <w:rsid w:val="37C28327"/>
    <w:rsid w:val="38E24701"/>
    <w:rsid w:val="3943A8A0"/>
    <w:rsid w:val="3A92FDA0"/>
    <w:rsid w:val="3AD5B605"/>
    <w:rsid w:val="3B767810"/>
    <w:rsid w:val="3BBBC87F"/>
    <w:rsid w:val="3BDC4E8D"/>
    <w:rsid w:val="3BECC30C"/>
    <w:rsid w:val="3C660542"/>
    <w:rsid w:val="3CA0ED2C"/>
    <w:rsid w:val="3CA837CA"/>
    <w:rsid w:val="3CCE1577"/>
    <w:rsid w:val="3D67CFF6"/>
    <w:rsid w:val="3D7EE6BA"/>
    <w:rsid w:val="3E46CB3A"/>
    <w:rsid w:val="3E525138"/>
    <w:rsid w:val="3E6386B3"/>
    <w:rsid w:val="3E7801D7"/>
    <w:rsid w:val="3FAAAA31"/>
    <w:rsid w:val="40211B1A"/>
    <w:rsid w:val="405FA90F"/>
    <w:rsid w:val="40904243"/>
    <w:rsid w:val="410CC373"/>
    <w:rsid w:val="417CFC0A"/>
    <w:rsid w:val="41C5EE29"/>
    <w:rsid w:val="427F4B9E"/>
    <w:rsid w:val="43733497"/>
    <w:rsid w:val="437C9A74"/>
    <w:rsid w:val="440BBDF2"/>
    <w:rsid w:val="454AD884"/>
    <w:rsid w:val="454D8BF8"/>
    <w:rsid w:val="454EEF9E"/>
    <w:rsid w:val="4578849C"/>
    <w:rsid w:val="45E32FDE"/>
    <w:rsid w:val="46607EA3"/>
    <w:rsid w:val="467ADD4A"/>
    <w:rsid w:val="474080A8"/>
    <w:rsid w:val="475BF394"/>
    <w:rsid w:val="47ED2091"/>
    <w:rsid w:val="48CBDA91"/>
    <w:rsid w:val="4B265E5C"/>
    <w:rsid w:val="4B50228C"/>
    <w:rsid w:val="4C10C7AE"/>
    <w:rsid w:val="4C90D031"/>
    <w:rsid w:val="4CAA6B17"/>
    <w:rsid w:val="4CADD034"/>
    <w:rsid w:val="4D585C37"/>
    <w:rsid w:val="4DAD8D7C"/>
    <w:rsid w:val="4E08B2FD"/>
    <w:rsid w:val="4E587394"/>
    <w:rsid w:val="4FEB3CFE"/>
    <w:rsid w:val="50799A72"/>
    <w:rsid w:val="50838790"/>
    <w:rsid w:val="5090579A"/>
    <w:rsid w:val="51B223BA"/>
    <w:rsid w:val="52C0E7AC"/>
    <w:rsid w:val="52D3DDAD"/>
    <w:rsid w:val="52F7B5E7"/>
    <w:rsid w:val="5379675F"/>
    <w:rsid w:val="5397AB1A"/>
    <w:rsid w:val="54BD8466"/>
    <w:rsid w:val="54CF79FA"/>
    <w:rsid w:val="55BD6029"/>
    <w:rsid w:val="55CBBBE4"/>
    <w:rsid w:val="55F4798F"/>
    <w:rsid w:val="569ACF5D"/>
    <w:rsid w:val="56AE480E"/>
    <w:rsid w:val="5720F87A"/>
    <w:rsid w:val="5848FD8D"/>
    <w:rsid w:val="5855A0AA"/>
    <w:rsid w:val="58B755E5"/>
    <w:rsid w:val="596BA24B"/>
    <w:rsid w:val="59756720"/>
    <w:rsid w:val="59784A8C"/>
    <w:rsid w:val="59A69C6F"/>
    <w:rsid w:val="5A5DD383"/>
    <w:rsid w:val="5C641425"/>
    <w:rsid w:val="5C761CDD"/>
    <w:rsid w:val="5C9DA527"/>
    <w:rsid w:val="5D128DAA"/>
    <w:rsid w:val="5D223242"/>
    <w:rsid w:val="5D4A5E36"/>
    <w:rsid w:val="5F7AA932"/>
    <w:rsid w:val="5F94A17D"/>
    <w:rsid w:val="60204BFE"/>
    <w:rsid w:val="608069BD"/>
    <w:rsid w:val="60927634"/>
    <w:rsid w:val="61D7C658"/>
    <w:rsid w:val="624757C8"/>
    <w:rsid w:val="62DE5E6B"/>
    <w:rsid w:val="638CC1FB"/>
    <w:rsid w:val="638EC896"/>
    <w:rsid w:val="6393F07E"/>
    <w:rsid w:val="63A26158"/>
    <w:rsid w:val="63C63B0E"/>
    <w:rsid w:val="64650CD8"/>
    <w:rsid w:val="648CE642"/>
    <w:rsid w:val="64DD15C5"/>
    <w:rsid w:val="653BF29D"/>
    <w:rsid w:val="66AB0B77"/>
    <w:rsid w:val="67392930"/>
    <w:rsid w:val="68D82A4B"/>
    <w:rsid w:val="69F76D4A"/>
    <w:rsid w:val="6A0C089F"/>
    <w:rsid w:val="6A144135"/>
    <w:rsid w:val="6A644545"/>
    <w:rsid w:val="6B28E643"/>
    <w:rsid w:val="6C0325CB"/>
    <w:rsid w:val="6C11F9C4"/>
    <w:rsid w:val="6C59BEAF"/>
    <w:rsid w:val="6C92D804"/>
    <w:rsid w:val="6D5DCC28"/>
    <w:rsid w:val="6EF57A38"/>
    <w:rsid w:val="6EFC91AB"/>
    <w:rsid w:val="6F03376A"/>
    <w:rsid w:val="6F48C30A"/>
    <w:rsid w:val="6F70A571"/>
    <w:rsid w:val="6FFBF42F"/>
    <w:rsid w:val="7107D64A"/>
    <w:rsid w:val="713F28BC"/>
    <w:rsid w:val="7163A088"/>
    <w:rsid w:val="7166CA7F"/>
    <w:rsid w:val="717FEE60"/>
    <w:rsid w:val="72567CC9"/>
    <w:rsid w:val="7274D2B4"/>
    <w:rsid w:val="7377B796"/>
    <w:rsid w:val="73CCD210"/>
    <w:rsid w:val="73DB7595"/>
    <w:rsid w:val="73F73E2F"/>
    <w:rsid w:val="7471CF8F"/>
    <w:rsid w:val="74DF0F5A"/>
    <w:rsid w:val="751AB27E"/>
    <w:rsid w:val="7561D8D2"/>
    <w:rsid w:val="756A98E3"/>
    <w:rsid w:val="75B3CE82"/>
    <w:rsid w:val="773D859A"/>
    <w:rsid w:val="77D4FF8B"/>
    <w:rsid w:val="7912CFD7"/>
    <w:rsid w:val="79A8E6AB"/>
    <w:rsid w:val="79E32317"/>
    <w:rsid w:val="7A13493F"/>
    <w:rsid w:val="7A7864CD"/>
    <w:rsid w:val="7A7C928A"/>
    <w:rsid w:val="7ACF20D2"/>
    <w:rsid w:val="7ADD0A0A"/>
    <w:rsid w:val="7B5347E7"/>
    <w:rsid w:val="7C0298BC"/>
    <w:rsid w:val="7C20482D"/>
    <w:rsid w:val="7DCAC500"/>
    <w:rsid w:val="7DE77FFE"/>
    <w:rsid w:val="7EE5FBE2"/>
    <w:rsid w:val="7FD2AB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03ED5"/>
  <w15:chartTrackingRefBased/>
  <w15:docId w15:val="{ACE119DA-501A-418D-AFF9-AD9E18DA9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7C5"/>
    <w:pPr>
      <w:spacing w:after="0" w:line="240" w:lineRule="auto"/>
    </w:pPr>
    <w:rPr>
      <w:rFonts w:asciiTheme="minorHAnsi" w:eastAsia="Times New Roman" w:hAnsiTheme="minorHAnsi" w:cs="Times New Roman"/>
      <w:kern w:val="0"/>
      <w:sz w:val="16"/>
      <w14:ligatures w14:val="none"/>
    </w:rPr>
  </w:style>
  <w:style w:type="paragraph" w:styleId="Heading1">
    <w:name w:val="heading 1"/>
    <w:basedOn w:val="Normal"/>
    <w:next w:val="Normal"/>
    <w:link w:val="Heading1Char"/>
    <w:qFormat/>
    <w:rsid w:val="00CA6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077B7"/>
    <w:pPr>
      <w:keepNext/>
      <w:keepLines/>
      <w:numPr>
        <w:numId w:val="6"/>
      </w:numPr>
      <w:spacing w:before="160"/>
      <w:textboxTightWrap w:val="allLines"/>
      <w:outlineLvl w:val="1"/>
    </w:pPr>
    <w:rPr>
      <w:rFonts w:ascii="Calibri" w:eastAsiaTheme="majorEastAsia" w:hAnsi="Calibri" w:cstheme="majorBidi"/>
      <w:color w:val="156082" w:themeColor="accent1"/>
      <w:sz w:val="28"/>
      <w:szCs w:val="32"/>
    </w:rPr>
  </w:style>
  <w:style w:type="paragraph" w:styleId="Heading3">
    <w:name w:val="heading 3"/>
    <w:basedOn w:val="Normal"/>
    <w:next w:val="Normal"/>
    <w:link w:val="Heading3Char"/>
    <w:unhideWhenUsed/>
    <w:qFormat/>
    <w:rsid w:val="00DF073B"/>
    <w:pPr>
      <w:keepNext/>
      <w:keepLines/>
      <w:spacing w:before="160" w:after="80"/>
      <w:outlineLvl w:val="2"/>
    </w:pPr>
    <w:rPr>
      <w:rFonts w:ascii="Calibri" w:eastAsiaTheme="majorEastAsia" w:hAnsi="Calibri" w:cstheme="majorBidi"/>
      <w:b/>
      <w:sz w:val="24"/>
      <w:szCs w:val="28"/>
    </w:rPr>
  </w:style>
  <w:style w:type="paragraph" w:styleId="Heading4">
    <w:name w:val="heading 4"/>
    <w:basedOn w:val="Normal"/>
    <w:next w:val="Normal"/>
    <w:link w:val="Heading4Char"/>
    <w:uiPriority w:val="9"/>
    <w:semiHidden/>
    <w:unhideWhenUsed/>
    <w:qFormat/>
    <w:rsid w:val="00CA6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E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E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E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E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6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077B7"/>
    <w:rPr>
      <w:rFonts w:eastAsiaTheme="majorEastAsia" w:cstheme="majorBidi"/>
      <w:color w:val="156082" w:themeColor="accent1"/>
      <w:kern w:val="0"/>
      <w:sz w:val="28"/>
      <w:szCs w:val="32"/>
      <w14:ligatures w14:val="none"/>
    </w:rPr>
  </w:style>
  <w:style w:type="character" w:customStyle="1" w:styleId="Heading3Char">
    <w:name w:val="Heading 3 Char"/>
    <w:basedOn w:val="DefaultParagraphFont"/>
    <w:link w:val="Heading3"/>
    <w:rsid w:val="00DF073B"/>
    <w:rPr>
      <w:rFonts w:eastAsiaTheme="majorEastAsia" w:cstheme="majorBidi"/>
      <w:b/>
      <w:kern w:val="0"/>
      <w:sz w:val="24"/>
      <w:szCs w:val="28"/>
      <w14:ligatures w14:val="none"/>
    </w:rPr>
  </w:style>
  <w:style w:type="character" w:customStyle="1" w:styleId="Heading4Char">
    <w:name w:val="Heading 4 Char"/>
    <w:basedOn w:val="DefaultParagraphFont"/>
    <w:link w:val="Heading4"/>
    <w:uiPriority w:val="9"/>
    <w:semiHidden/>
    <w:rsid w:val="00CA6E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6E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6E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6E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6E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6E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6E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E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6E76"/>
    <w:pPr>
      <w:spacing w:before="160"/>
      <w:jc w:val="center"/>
    </w:pPr>
    <w:rPr>
      <w:i/>
      <w:iCs/>
      <w:color w:val="404040" w:themeColor="text1" w:themeTint="BF"/>
    </w:rPr>
  </w:style>
  <w:style w:type="character" w:customStyle="1" w:styleId="QuoteChar">
    <w:name w:val="Quote Char"/>
    <w:basedOn w:val="DefaultParagraphFont"/>
    <w:link w:val="Quote"/>
    <w:uiPriority w:val="29"/>
    <w:rsid w:val="00CA6E76"/>
    <w:rPr>
      <w:i/>
      <w:iCs/>
      <w:color w:val="404040" w:themeColor="text1" w:themeTint="BF"/>
    </w:rPr>
  </w:style>
  <w:style w:type="paragraph" w:styleId="ListParagraph">
    <w:name w:val="List Paragraph"/>
    <w:basedOn w:val="Normal"/>
    <w:qFormat/>
    <w:rsid w:val="00CA6E76"/>
    <w:pPr>
      <w:ind w:left="720"/>
      <w:contextualSpacing/>
    </w:pPr>
  </w:style>
  <w:style w:type="character" w:styleId="IntenseEmphasis">
    <w:name w:val="Intense Emphasis"/>
    <w:basedOn w:val="DefaultParagraphFont"/>
    <w:uiPriority w:val="21"/>
    <w:qFormat/>
    <w:rsid w:val="00CA6E76"/>
    <w:rPr>
      <w:i/>
      <w:iCs/>
      <w:color w:val="0F4761" w:themeColor="accent1" w:themeShade="BF"/>
    </w:rPr>
  </w:style>
  <w:style w:type="paragraph" w:styleId="IntenseQuote">
    <w:name w:val="Intense Quote"/>
    <w:basedOn w:val="Normal"/>
    <w:next w:val="Normal"/>
    <w:link w:val="IntenseQuoteChar"/>
    <w:uiPriority w:val="30"/>
    <w:qFormat/>
    <w:rsid w:val="00CA6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E76"/>
    <w:rPr>
      <w:i/>
      <w:iCs/>
      <w:color w:val="0F4761" w:themeColor="accent1" w:themeShade="BF"/>
    </w:rPr>
  </w:style>
  <w:style w:type="character" w:styleId="IntenseReference">
    <w:name w:val="Intense Reference"/>
    <w:basedOn w:val="DefaultParagraphFont"/>
    <w:uiPriority w:val="32"/>
    <w:qFormat/>
    <w:rsid w:val="00CA6E76"/>
    <w:rPr>
      <w:b/>
      <w:bCs/>
      <w:smallCaps/>
      <w:color w:val="0F4761" w:themeColor="accent1" w:themeShade="BF"/>
      <w:spacing w:val="5"/>
    </w:rPr>
  </w:style>
  <w:style w:type="paragraph" w:customStyle="1" w:styleId="TableHeading">
    <w:name w:val="Table Heading"/>
    <w:rsid w:val="001C4FA4"/>
    <w:pPr>
      <w:spacing w:before="60" w:after="60" w:line="240" w:lineRule="auto"/>
    </w:pPr>
    <w:rPr>
      <w:rFonts w:ascii="Arial" w:eastAsia="Times New Roman" w:hAnsi="Arial" w:cs="Arial"/>
      <w:b/>
      <w:kern w:val="0"/>
      <w:szCs w:val="22"/>
      <w14:ligatures w14:val="none"/>
    </w:rPr>
  </w:style>
  <w:style w:type="character" w:customStyle="1" w:styleId="TableTextChar">
    <w:name w:val="Table Text Char"/>
    <w:link w:val="TableText"/>
    <w:locked/>
    <w:rsid w:val="001C4FA4"/>
    <w:rPr>
      <w:rFonts w:ascii="Arial" w:hAnsi="Arial" w:cs="Arial"/>
    </w:rPr>
  </w:style>
  <w:style w:type="paragraph" w:customStyle="1" w:styleId="TableText">
    <w:name w:val="Table Text"/>
    <w:link w:val="TableTextChar"/>
    <w:qFormat/>
    <w:rsid w:val="001C4FA4"/>
    <w:pPr>
      <w:spacing w:before="60" w:after="60" w:line="240" w:lineRule="auto"/>
    </w:pPr>
    <w:rPr>
      <w:rFonts w:ascii="Arial" w:hAnsi="Arial" w:cs="Arial"/>
    </w:rPr>
  </w:style>
  <w:style w:type="character" w:styleId="Hyperlink">
    <w:name w:val="Hyperlink"/>
    <w:basedOn w:val="DefaultParagraphFont"/>
    <w:uiPriority w:val="99"/>
    <w:unhideWhenUsed/>
    <w:rsid w:val="008B7FEE"/>
    <w:rPr>
      <w:color w:val="467886" w:themeColor="hyperlink"/>
      <w:u w:val="single"/>
    </w:rPr>
  </w:style>
  <w:style w:type="character" w:styleId="UnresolvedMention">
    <w:name w:val="Unresolved Mention"/>
    <w:basedOn w:val="DefaultParagraphFont"/>
    <w:uiPriority w:val="99"/>
    <w:semiHidden/>
    <w:unhideWhenUsed/>
    <w:rsid w:val="008B7FEE"/>
    <w:rPr>
      <w:color w:val="605E5C"/>
      <w:shd w:val="clear" w:color="auto" w:fill="E1DFDD"/>
    </w:rPr>
  </w:style>
  <w:style w:type="paragraph" w:styleId="TableofFigures">
    <w:name w:val="table of figures"/>
    <w:next w:val="Normal"/>
    <w:uiPriority w:val="99"/>
    <w:unhideWhenUsed/>
    <w:rsid w:val="00AA097E"/>
    <w:pPr>
      <w:spacing w:after="0" w:line="240" w:lineRule="auto"/>
      <w:ind w:left="320" w:hanging="320"/>
    </w:pPr>
    <w:rPr>
      <w:rFonts w:asciiTheme="minorHAnsi" w:eastAsia="Times New Roman" w:hAnsiTheme="minorHAnsi" w:cs="Times New Roman"/>
      <w:smallCaps/>
      <w:kern w:val="0"/>
      <w:sz w:val="20"/>
      <w:szCs w:val="20"/>
      <w14:ligatures w14:val="none"/>
    </w:rPr>
  </w:style>
  <w:style w:type="character" w:styleId="CommentReference">
    <w:name w:val="annotation reference"/>
    <w:basedOn w:val="DefaultParagraphFont"/>
    <w:uiPriority w:val="99"/>
    <w:semiHidden/>
    <w:unhideWhenUsed/>
    <w:rsid w:val="006E535F"/>
    <w:rPr>
      <w:sz w:val="16"/>
      <w:szCs w:val="16"/>
    </w:rPr>
  </w:style>
  <w:style w:type="paragraph" w:styleId="CommentText">
    <w:name w:val="annotation text"/>
    <w:basedOn w:val="Normal"/>
    <w:link w:val="CommentTextChar"/>
    <w:uiPriority w:val="99"/>
    <w:unhideWhenUsed/>
    <w:rsid w:val="006E535F"/>
    <w:rPr>
      <w:sz w:val="20"/>
      <w:szCs w:val="20"/>
    </w:rPr>
  </w:style>
  <w:style w:type="character" w:customStyle="1" w:styleId="CommentTextChar">
    <w:name w:val="Comment Text Char"/>
    <w:basedOn w:val="DefaultParagraphFont"/>
    <w:link w:val="CommentText"/>
    <w:uiPriority w:val="99"/>
    <w:rsid w:val="006E535F"/>
    <w:rPr>
      <w:rFonts w:asciiTheme="minorHAnsi" w:eastAsia="Times New Roman" w:hAnsiTheme="minorHAns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E535F"/>
    <w:rPr>
      <w:b/>
      <w:bCs/>
    </w:rPr>
  </w:style>
  <w:style w:type="character" w:customStyle="1" w:styleId="CommentSubjectChar">
    <w:name w:val="Comment Subject Char"/>
    <w:basedOn w:val="CommentTextChar"/>
    <w:link w:val="CommentSubject"/>
    <w:uiPriority w:val="99"/>
    <w:semiHidden/>
    <w:rsid w:val="006E535F"/>
    <w:rPr>
      <w:rFonts w:asciiTheme="minorHAnsi" w:eastAsia="Times New Roman" w:hAnsiTheme="minorHAnsi" w:cs="Times New Roman"/>
      <w:b/>
      <w:bCs/>
      <w:kern w:val="0"/>
      <w:sz w:val="20"/>
      <w:szCs w:val="20"/>
      <w14:ligatures w14:val="none"/>
    </w:rPr>
  </w:style>
  <w:style w:type="paragraph" w:styleId="NormalWeb">
    <w:name w:val="Normal (Web)"/>
    <w:basedOn w:val="Normal"/>
    <w:uiPriority w:val="99"/>
    <w:unhideWhenUsed/>
    <w:rsid w:val="00985D0D"/>
    <w:pPr>
      <w:spacing w:before="100" w:beforeAutospacing="1" w:after="100" w:afterAutospacing="1"/>
    </w:pPr>
    <w:rPr>
      <w:rFonts w:ascii="Times New Roman" w:hAnsi="Times New Roman"/>
      <w:sz w:val="24"/>
    </w:rPr>
  </w:style>
  <w:style w:type="paragraph" w:styleId="Header">
    <w:name w:val="header"/>
    <w:basedOn w:val="Normal"/>
    <w:link w:val="HeaderChar"/>
    <w:uiPriority w:val="99"/>
    <w:unhideWhenUsed/>
    <w:rsid w:val="000F6E71"/>
    <w:pPr>
      <w:tabs>
        <w:tab w:val="center" w:pos="4680"/>
        <w:tab w:val="right" w:pos="9360"/>
      </w:tabs>
    </w:pPr>
  </w:style>
  <w:style w:type="character" w:customStyle="1" w:styleId="HeaderChar">
    <w:name w:val="Header Char"/>
    <w:basedOn w:val="DefaultParagraphFont"/>
    <w:link w:val="Header"/>
    <w:uiPriority w:val="99"/>
    <w:rsid w:val="000F6E71"/>
    <w:rPr>
      <w:rFonts w:asciiTheme="minorHAnsi" w:eastAsia="Times New Roman" w:hAnsiTheme="minorHAnsi" w:cs="Times New Roman"/>
      <w:kern w:val="0"/>
      <w:sz w:val="16"/>
      <w14:ligatures w14:val="none"/>
    </w:rPr>
  </w:style>
  <w:style w:type="paragraph" w:styleId="Footer">
    <w:name w:val="footer"/>
    <w:basedOn w:val="Normal"/>
    <w:link w:val="FooterChar"/>
    <w:uiPriority w:val="99"/>
    <w:unhideWhenUsed/>
    <w:rsid w:val="000F6E71"/>
    <w:pPr>
      <w:tabs>
        <w:tab w:val="center" w:pos="4680"/>
        <w:tab w:val="right" w:pos="9360"/>
      </w:tabs>
    </w:pPr>
  </w:style>
  <w:style w:type="character" w:customStyle="1" w:styleId="FooterChar">
    <w:name w:val="Footer Char"/>
    <w:basedOn w:val="DefaultParagraphFont"/>
    <w:link w:val="Footer"/>
    <w:uiPriority w:val="99"/>
    <w:rsid w:val="000F6E71"/>
    <w:rPr>
      <w:rFonts w:asciiTheme="minorHAnsi" w:eastAsia="Times New Roman" w:hAnsiTheme="minorHAnsi" w:cs="Times New Roman"/>
      <w:kern w:val="0"/>
      <w:sz w:val="16"/>
      <w14:ligatures w14:val="none"/>
    </w:rPr>
  </w:style>
  <w:style w:type="paragraph" w:styleId="Revision">
    <w:name w:val="Revision"/>
    <w:hidden/>
    <w:uiPriority w:val="99"/>
    <w:semiHidden/>
    <w:rsid w:val="000B11CE"/>
    <w:pPr>
      <w:spacing w:after="0" w:line="240" w:lineRule="auto"/>
    </w:pPr>
    <w:rPr>
      <w:rFonts w:asciiTheme="minorHAnsi" w:eastAsia="Times New Roman" w:hAnsiTheme="minorHAnsi" w:cs="Times New Roman"/>
      <w:kern w:val="0"/>
      <w:sz w:val="16"/>
      <w14:ligatures w14:val="none"/>
    </w:rPr>
  </w:style>
  <w:style w:type="paragraph" w:styleId="TOC1">
    <w:name w:val="toc 1"/>
    <w:basedOn w:val="Normal"/>
    <w:next w:val="Normal"/>
    <w:autoRedefine/>
    <w:uiPriority w:val="39"/>
    <w:unhideWhenUsed/>
    <w:rsid w:val="00F40731"/>
    <w:pPr>
      <w:spacing w:after="100"/>
    </w:pPr>
    <w:rPr>
      <w:rFonts w:ascii="Calibri" w:hAnsi="Calibri"/>
      <w:sz w:val="22"/>
    </w:rPr>
  </w:style>
  <w:style w:type="paragraph" w:styleId="TOC2">
    <w:name w:val="toc 2"/>
    <w:basedOn w:val="Normal"/>
    <w:next w:val="Normal"/>
    <w:autoRedefine/>
    <w:uiPriority w:val="39"/>
    <w:unhideWhenUsed/>
    <w:rsid w:val="00F40731"/>
    <w:pPr>
      <w:spacing w:after="100"/>
      <w:ind w:left="160"/>
    </w:pPr>
    <w:rPr>
      <w:rFonts w:ascii="Calibri" w:hAnsi="Calibri"/>
      <w:sz w:val="22"/>
    </w:rPr>
  </w:style>
  <w:style w:type="paragraph" w:styleId="TOC3">
    <w:name w:val="toc 3"/>
    <w:basedOn w:val="Normal"/>
    <w:next w:val="Normal"/>
    <w:autoRedefine/>
    <w:uiPriority w:val="39"/>
    <w:unhideWhenUsed/>
    <w:rsid w:val="00B13E7E"/>
    <w:pPr>
      <w:spacing w:after="100"/>
      <w:ind w:left="320"/>
    </w:pPr>
  </w:style>
  <w:style w:type="paragraph" w:styleId="BodyText">
    <w:name w:val="Body Text"/>
    <w:basedOn w:val="Normal"/>
    <w:link w:val="BodyTextChar"/>
    <w:uiPriority w:val="1"/>
    <w:qFormat/>
    <w:rsid w:val="00D64586"/>
    <w:pPr>
      <w:widowControl w:val="0"/>
      <w:autoSpaceDE w:val="0"/>
      <w:autoSpaceDN w:val="0"/>
    </w:pPr>
    <w:rPr>
      <w:rFonts w:ascii="Arial" w:eastAsia="Arial" w:hAnsi="Arial" w:cs="Arial"/>
      <w:szCs w:val="16"/>
    </w:rPr>
  </w:style>
  <w:style w:type="character" w:customStyle="1" w:styleId="BodyTextChar">
    <w:name w:val="Body Text Char"/>
    <w:basedOn w:val="DefaultParagraphFont"/>
    <w:link w:val="BodyText"/>
    <w:uiPriority w:val="1"/>
    <w:rsid w:val="00D64586"/>
    <w:rPr>
      <w:rFonts w:ascii="Arial" w:eastAsia="Arial" w:hAnsi="Arial" w:cs="Arial"/>
      <w:kern w:val="0"/>
      <w:sz w:val="16"/>
      <w:szCs w:val="16"/>
      <w14:ligatures w14:val="none"/>
    </w:rPr>
  </w:style>
  <w:style w:type="table" w:styleId="TableGrid">
    <w:name w:val="Table Grid"/>
    <w:basedOn w:val="TableNormal"/>
    <w:uiPriority w:val="59"/>
    <w:rsid w:val="00867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211DB"/>
    <w:pPr>
      <w:spacing w:before="240" w:after="0" w:line="259" w:lineRule="auto"/>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7377">
      <w:bodyDiv w:val="1"/>
      <w:marLeft w:val="0"/>
      <w:marRight w:val="0"/>
      <w:marTop w:val="0"/>
      <w:marBottom w:val="0"/>
      <w:divBdr>
        <w:top w:val="none" w:sz="0" w:space="0" w:color="auto"/>
        <w:left w:val="none" w:sz="0" w:space="0" w:color="auto"/>
        <w:bottom w:val="none" w:sz="0" w:space="0" w:color="auto"/>
        <w:right w:val="none" w:sz="0" w:space="0" w:color="auto"/>
      </w:divBdr>
    </w:div>
    <w:div w:id="230164804">
      <w:bodyDiv w:val="1"/>
      <w:marLeft w:val="0"/>
      <w:marRight w:val="0"/>
      <w:marTop w:val="0"/>
      <w:marBottom w:val="0"/>
      <w:divBdr>
        <w:top w:val="none" w:sz="0" w:space="0" w:color="auto"/>
        <w:left w:val="none" w:sz="0" w:space="0" w:color="auto"/>
        <w:bottom w:val="none" w:sz="0" w:space="0" w:color="auto"/>
        <w:right w:val="none" w:sz="0" w:space="0" w:color="auto"/>
      </w:divBdr>
    </w:div>
    <w:div w:id="232743188">
      <w:bodyDiv w:val="1"/>
      <w:marLeft w:val="0"/>
      <w:marRight w:val="0"/>
      <w:marTop w:val="0"/>
      <w:marBottom w:val="0"/>
      <w:divBdr>
        <w:top w:val="none" w:sz="0" w:space="0" w:color="auto"/>
        <w:left w:val="none" w:sz="0" w:space="0" w:color="auto"/>
        <w:bottom w:val="none" w:sz="0" w:space="0" w:color="auto"/>
        <w:right w:val="none" w:sz="0" w:space="0" w:color="auto"/>
      </w:divBdr>
    </w:div>
    <w:div w:id="268197509">
      <w:bodyDiv w:val="1"/>
      <w:marLeft w:val="0"/>
      <w:marRight w:val="0"/>
      <w:marTop w:val="0"/>
      <w:marBottom w:val="0"/>
      <w:divBdr>
        <w:top w:val="none" w:sz="0" w:space="0" w:color="auto"/>
        <w:left w:val="none" w:sz="0" w:space="0" w:color="auto"/>
        <w:bottom w:val="none" w:sz="0" w:space="0" w:color="auto"/>
        <w:right w:val="none" w:sz="0" w:space="0" w:color="auto"/>
      </w:divBdr>
    </w:div>
    <w:div w:id="425272009">
      <w:bodyDiv w:val="1"/>
      <w:marLeft w:val="0"/>
      <w:marRight w:val="0"/>
      <w:marTop w:val="0"/>
      <w:marBottom w:val="0"/>
      <w:divBdr>
        <w:top w:val="none" w:sz="0" w:space="0" w:color="auto"/>
        <w:left w:val="none" w:sz="0" w:space="0" w:color="auto"/>
        <w:bottom w:val="none" w:sz="0" w:space="0" w:color="auto"/>
        <w:right w:val="none" w:sz="0" w:space="0" w:color="auto"/>
      </w:divBdr>
    </w:div>
    <w:div w:id="646008677">
      <w:bodyDiv w:val="1"/>
      <w:marLeft w:val="0"/>
      <w:marRight w:val="0"/>
      <w:marTop w:val="0"/>
      <w:marBottom w:val="0"/>
      <w:divBdr>
        <w:top w:val="none" w:sz="0" w:space="0" w:color="auto"/>
        <w:left w:val="none" w:sz="0" w:space="0" w:color="auto"/>
        <w:bottom w:val="none" w:sz="0" w:space="0" w:color="auto"/>
        <w:right w:val="none" w:sz="0" w:space="0" w:color="auto"/>
      </w:divBdr>
    </w:div>
    <w:div w:id="692074514">
      <w:bodyDiv w:val="1"/>
      <w:marLeft w:val="0"/>
      <w:marRight w:val="0"/>
      <w:marTop w:val="0"/>
      <w:marBottom w:val="0"/>
      <w:divBdr>
        <w:top w:val="none" w:sz="0" w:space="0" w:color="auto"/>
        <w:left w:val="none" w:sz="0" w:space="0" w:color="auto"/>
        <w:bottom w:val="none" w:sz="0" w:space="0" w:color="auto"/>
        <w:right w:val="none" w:sz="0" w:space="0" w:color="auto"/>
      </w:divBdr>
    </w:div>
    <w:div w:id="737240325">
      <w:bodyDiv w:val="1"/>
      <w:marLeft w:val="0"/>
      <w:marRight w:val="0"/>
      <w:marTop w:val="0"/>
      <w:marBottom w:val="0"/>
      <w:divBdr>
        <w:top w:val="none" w:sz="0" w:space="0" w:color="auto"/>
        <w:left w:val="none" w:sz="0" w:space="0" w:color="auto"/>
        <w:bottom w:val="none" w:sz="0" w:space="0" w:color="auto"/>
        <w:right w:val="none" w:sz="0" w:space="0" w:color="auto"/>
      </w:divBdr>
    </w:div>
    <w:div w:id="956376151">
      <w:bodyDiv w:val="1"/>
      <w:marLeft w:val="0"/>
      <w:marRight w:val="0"/>
      <w:marTop w:val="0"/>
      <w:marBottom w:val="0"/>
      <w:divBdr>
        <w:top w:val="none" w:sz="0" w:space="0" w:color="auto"/>
        <w:left w:val="none" w:sz="0" w:space="0" w:color="auto"/>
        <w:bottom w:val="none" w:sz="0" w:space="0" w:color="auto"/>
        <w:right w:val="none" w:sz="0" w:space="0" w:color="auto"/>
      </w:divBdr>
    </w:div>
    <w:div w:id="1002732552">
      <w:bodyDiv w:val="1"/>
      <w:marLeft w:val="0"/>
      <w:marRight w:val="0"/>
      <w:marTop w:val="0"/>
      <w:marBottom w:val="0"/>
      <w:divBdr>
        <w:top w:val="none" w:sz="0" w:space="0" w:color="auto"/>
        <w:left w:val="none" w:sz="0" w:space="0" w:color="auto"/>
        <w:bottom w:val="none" w:sz="0" w:space="0" w:color="auto"/>
        <w:right w:val="none" w:sz="0" w:space="0" w:color="auto"/>
      </w:divBdr>
    </w:div>
    <w:div w:id="1083331433">
      <w:bodyDiv w:val="1"/>
      <w:marLeft w:val="0"/>
      <w:marRight w:val="0"/>
      <w:marTop w:val="0"/>
      <w:marBottom w:val="0"/>
      <w:divBdr>
        <w:top w:val="none" w:sz="0" w:space="0" w:color="auto"/>
        <w:left w:val="none" w:sz="0" w:space="0" w:color="auto"/>
        <w:bottom w:val="none" w:sz="0" w:space="0" w:color="auto"/>
        <w:right w:val="none" w:sz="0" w:space="0" w:color="auto"/>
      </w:divBdr>
    </w:div>
    <w:div w:id="1099714724">
      <w:bodyDiv w:val="1"/>
      <w:marLeft w:val="0"/>
      <w:marRight w:val="0"/>
      <w:marTop w:val="0"/>
      <w:marBottom w:val="0"/>
      <w:divBdr>
        <w:top w:val="none" w:sz="0" w:space="0" w:color="auto"/>
        <w:left w:val="none" w:sz="0" w:space="0" w:color="auto"/>
        <w:bottom w:val="none" w:sz="0" w:space="0" w:color="auto"/>
        <w:right w:val="none" w:sz="0" w:space="0" w:color="auto"/>
      </w:divBdr>
    </w:div>
    <w:div w:id="1444955749">
      <w:bodyDiv w:val="1"/>
      <w:marLeft w:val="0"/>
      <w:marRight w:val="0"/>
      <w:marTop w:val="0"/>
      <w:marBottom w:val="0"/>
      <w:divBdr>
        <w:top w:val="none" w:sz="0" w:space="0" w:color="auto"/>
        <w:left w:val="none" w:sz="0" w:space="0" w:color="auto"/>
        <w:bottom w:val="none" w:sz="0" w:space="0" w:color="auto"/>
        <w:right w:val="none" w:sz="0" w:space="0" w:color="auto"/>
      </w:divBdr>
    </w:div>
    <w:div w:id="1482229406">
      <w:bodyDiv w:val="1"/>
      <w:marLeft w:val="0"/>
      <w:marRight w:val="0"/>
      <w:marTop w:val="0"/>
      <w:marBottom w:val="0"/>
      <w:divBdr>
        <w:top w:val="none" w:sz="0" w:space="0" w:color="auto"/>
        <w:left w:val="none" w:sz="0" w:space="0" w:color="auto"/>
        <w:bottom w:val="none" w:sz="0" w:space="0" w:color="auto"/>
        <w:right w:val="none" w:sz="0" w:space="0" w:color="auto"/>
      </w:divBdr>
    </w:div>
    <w:div w:id="1587374782">
      <w:bodyDiv w:val="1"/>
      <w:marLeft w:val="0"/>
      <w:marRight w:val="0"/>
      <w:marTop w:val="0"/>
      <w:marBottom w:val="0"/>
      <w:divBdr>
        <w:top w:val="none" w:sz="0" w:space="0" w:color="auto"/>
        <w:left w:val="none" w:sz="0" w:space="0" w:color="auto"/>
        <w:bottom w:val="none" w:sz="0" w:space="0" w:color="auto"/>
        <w:right w:val="none" w:sz="0" w:space="0" w:color="auto"/>
      </w:divBdr>
    </w:div>
    <w:div w:id="1628660187">
      <w:bodyDiv w:val="1"/>
      <w:marLeft w:val="0"/>
      <w:marRight w:val="0"/>
      <w:marTop w:val="0"/>
      <w:marBottom w:val="0"/>
      <w:divBdr>
        <w:top w:val="none" w:sz="0" w:space="0" w:color="auto"/>
        <w:left w:val="none" w:sz="0" w:space="0" w:color="auto"/>
        <w:bottom w:val="none" w:sz="0" w:space="0" w:color="auto"/>
        <w:right w:val="none" w:sz="0" w:space="0" w:color="auto"/>
      </w:divBdr>
    </w:div>
    <w:div w:id="1707101815">
      <w:bodyDiv w:val="1"/>
      <w:marLeft w:val="0"/>
      <w:marRight w:val="0"/>
      <w:marTop w:val="0"/>
      <w:marBottom w:val="0"/>
      <w:divBdr>
        <w:top w:val="none" w:sz="0" w:space="0" w:color="auto"/>
        <w:left w:val="none" w:sz="0" w:space="0" w:color="auto"/>
        <w:bottom w:val="none" w:sz="0" w:space="0" w:color="auto"/>
        <w:right w:val="none" w:sz="0" w:space="0" w:color="auto"/>
      </w:divBdr>
    </w:div>
    <w:div w:id="1778939872">
      <w:bodyDiv w:val="1"/>
      <w:marLeft w:val="0"/>
      <w:marRight w:val="0"/>
      <w:marTop w:val="0"/>
      <w:marBottom w:val="0"/>
      <w:divBdr>
        <w:top w:val="none" w:sz="0" w:space="0" w:color="auto"/>
        <w:left w:val="none" w:sz="0" w:space="0" w:color="auto"/>
        <w:bottom w:val="none" w:sz="0" w:space="0" w:color="auto"/>
        <w:right w:val="none" w:sz="0" w:space="0" w:color="auto"/>
      </w:divBdr>
    </w:div>
    <w:div w:id="199983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info@buv.edu.vn" TargetMode="External"/><Relationship Id="rId1" Type="http://schemas.openxmlformats.org/officeDocument/2006/relationships/hyperlink" Target="http://www.buv.edu.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af387f-4756-4592-b0c6-c4a5ef8bcea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E01DFD08A8E94CBFFE66D46977DCE6" ma:contentTypeVersion="13" ma:contentTypeDescription="Create a new document." ma:contentTypeScope="" ma:versionID="e72da654b80461076bde4f8a67037470">
  <xsd:schema xmlns:xsd="http://www.w3.org/2001/XMLSchema" xmlns:xs="http://www.w3.org/2001/XMLSchema" xmlns:p="http://schemas.microsoft.com/office/2006/metadata/properties" xmlns:ns2="60af387f-4756-4592-b0c6-c4a5ef8bceaf" xmlns:ns3="6cf1e9cc-dc38-4474-bf84-4d3730dd2b02" targetNamespace="http://schemas.microsoft.com/office/2006/metadata/properties" ma:root="true" ma:fieldsID="834b5acc98517c186b96595db4a434c2" ns2:_="" ns3:_="">
    <xsd:import namespace="60af387f-4756-4592-b0c6-c4a5ef8bceaf"/>
    <xsd:import namespace="6cf1e9cc-dc38-4474-bf84-4d3730dd2b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f387f-4756-4592-b0c6-c4a5ef8bc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7127902-b77f-44b1-9ce2-42b9b512e8d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f1e9cc-dc38-4474-bf84-4d3730dd2b0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A6F3DA-0945-42C2-A141-E23D606E8D7C}">
  <ds:schemaRefs>
    <ds:schemaRef ds:uri="http://schemas.microsoft.com/office/2006/metadata/properties"/>
    <ds:schemaRef ds:uri="http://schemas.microsoft.com/office/infopath/2007/PartnerControls"/>
    <ds:schemaRef ds:uri="60af387f-4756-4592-b0c6-c4a5ef8bceaf"/>
  </ds:schemaRefs>
</ds:datastoreItem>
</file>

<file path=customXml/itemProps2.xml><?xml version="1.0" encoding="utf-8"?>
<ds:datastoreItem xmlns:ds="http://schemas.openxmlformats.org/officeDocument/2006/customXml" ds:itemID="{164CD2F0-05A3-43A8-BAF8-38C13FAF5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f387f-4756-4592-b0c6-c4a5ef8bceaf"/>
    <ds:schemaRef ds:uri="6cf1e9cc-dc38-4474-bf84-4d3730dd2b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7195F7-DE1D-45DD-A5B5-41BB0E9C9101}">
  <ds:schemaRefs>
    <ds:schemaRef ds:uri="http://schemas.openxmlformats.org/officeDocument/2006/bibliography"/>
  </ds:schemaRefs>
</ds:datastoreItem>
</file>

<file path=customXml/itemProps4.xml><?xml version="1.0" encoding="utf-8"?>
<ds:datastoreItem xmlns:ds="http://schemas.openxmlformats.org/officeDocument/2006/customXml" ds:itemID="{533EEB3E-E144-447F-8336-5DD627D1DC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3718</Words>
  <Characters>21198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AlDoori</dc:creator>
  <cp:keywords/>
  <dc:description/>
  <cp:lastModifiedBy>Omar Al-Doori</cp:lastModifiedBy>
  <cp:revision>2</cp:revision>
  <cp:lastPrinted>2026-06-16T08:09:00Z</cp:lastPrinted>
  <dcterms:created xsi:type="dcterms:W3CDTF">2026-09-24T09:29:00Z</dcterms:created>
  <dcterms:modified xsi:type="dcterms:W3CDTF">2026-09-24T09:29:00Z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0x010100FBE01DFD08A8E94CBFFE66D46977DCE6</vt:lpwstr>
  </property>
  <property fmtid="{D5CDD505-2E9C-101B-9397-08002B2CF9AE}" pid="3" name="MediaServiceImageTags">
    <vt:lpwstr/>
  </property>
  <property fmtid="{D5CDD505-2E9C-101B-9397-08002B2CF9AE}" pid="4" name="docLang">
    <vt:lpwstr>en</vt:lpwstr>
  </property>
  <property fmtid="{D5CDD505-2E9C-101B-9397-08002B2CF9AE}" pid="5" name="AIGC">
    <vt:lpwstr>{"Label":"1","ContentProducer":"MiniMax AI","ProduceID":"user:453686922647937030/node:442663451718012/ts:1789639508641","ReservedCode1":"","ContentPropagator":"MiniMax AI","PropagateID":"user:453686922647937030/node:442663451718012/ts:1789639508641","ReservedCode2":""}</vt:lpwstr>
  </property>
</Properties>
</file>